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82A04" w14:textId="77777777" w:rsidR="0056579D" w:rsidRPr="00DE2465" w:rsidRDefault="0056579D" w:rsidP="00230E7E">
      <w:pPr>
        <w:rPr>
          <w:b/>
          <w:sz w:val="28"/>
          <w:szCs w:val="28"/>
        </w:rPr>
      </w:pPr>
      <w:r w:rsidRPr="00DE2465">
        <w:rPr>
          <w:b/>
          <w:sz w:val="28"/>
          <w:szCs w:val="28"/>
        </w:rPr>
        <w:t>CHARAKTERYSTYKA PRZEDSIĘWZIĘCIA</w:t>
      </w:r>
    </w:p>
    <w:p w14:paraId="7BD0B97C" w14:textId="498BDC9D" w:rsidR="0015532E" w:rsidRDefault="0056579D" w:rsidP="00230E7E">
      <w:pPr>
        <w:rPr>
          <w:b/>
        </w:rPr>
      </w:pPr>
      <w:r w:rsidRPr="0015532E">
        <w:rPr>
          <w:b/>
        </w:rPr>
        <w:t>Działanie:</w:t>
      </w:r>
      <w:r w:rsidR="0015532E" w:rsidRPr="0015532E">
        <w:rPr>
          <w:b/>
        </w:rPr>
        <w:t xml:space="preserve"> </w:t>
      </w:r>
      <w:r w:rsidR="00A5609B" w:rsidRPr="00A5609B">
        <w:rPr>
          <w:b/>
        </w:rPr>
        <w:t>1.6. Promowanie wykorzystywania wysokosprawnej kogeneracji ciepła i energii elektrycznej w oparciu o zapotrzebowanie na ciepło użytkowe</w:t>
      </w:r>
    </w:p>
    <w:p w14:paraId="3D677750" w14:textId="08E65AB6" w:rsidR="00A5609B" w:rsidRDefault="00A5609B" w:rsidP="00230E7E">
      <w:pPr>
        <w:rPr>
          <w:b/>
        </w:rPr>
      </w:pPr>
      <w:r>
        <w:rPr>
          <w:b/>
        </w:rPr>
        <w:t xml:space="preserve">Poddziałanie: </w:t>
      </w:r>
      <w:r w:rsidRPr="00A5609B">
        <w:rPr>
          <w:b/>
        </w:rPr>
        <w:t>1.6.2. Sieci ciepłownicze i chłodnicze dla źródeł wysokosprawnej kogeneracji</w:t>
      </w:r>
    </w:p>
    <w:p w14:paraId="1168C8AE" w14:textId="1BC54E32" w:rsidR="0015532E" w:rsidRDefault="0056579D" w:rsidP="00A5609B">
      <w:pPr>
        <w:jc w:val="both"/>
        <w:rPr>
          <w:b/>
        </w:rPr>
      </w:pPr>
      <w:r>
        <w:rPr>
          <w:b/>
        </w:rPr>
        <w:t>Nazwa projektu:</w:t>
      </w:r>
      <w:r w:rsidR="0059040C">
        <w:rPr>
          <w:b/>
        </w:rPr>
        <w:t xml:space="preserve"> </w:t>
      </w:r>
      <w:r w:rsidR="00A5609B" w:rsidRPr="00A5609B">
        <w:rPr>
          <w:b/>
        </w:rPr>
        <w:t xml:space="preserve">Budowa sieci ciepłowniczych w Gminie Siechnice w rejonie ulic: Czeremchowej, Kalinowej i </w:t>
      </w:r>
      <w:proofErr w:type="spellStart"/>
      <w:r w:rsidR="00A5609B" w:rsidRPr="00A5609B">
        <w:rPr>
          <w:b/>
        </w:rPr>
        <w:t>Prawocińskie</w:t>
      </w:r>
      <w:r w:rsidR="00A5609B">
        <w:rPr>
          <w:b/>
        </w:rPr>
        <w:t>j</w:t>
      </w:r>
      <w:proofErr w:type="spellEnd"/>
      <w:r w:rsidR="00A5609B">
        <w:rPr>
          <w:b/>
        </w:rPr>
        <w:t xml:space="preserve"> na terenie osiedla </w:t>
      </w:r>
      <w:proofErr w:type="spellStart"/>
      <w:r w:rsidR="00A5609B">
        <w:rPr>
          <w:b/>
        </w:rPr>
        <w:t>Prawocin</w:t>
      </w:r>
      <w:proofErr w:type="spellEnd"/>
      <w:r w:rsidR="00A5609B">
        <w:rPr>
          <w:b/>
        </w:rPr>
        <w:t xml:space="preserve"> w </w:t>
      </w:r>
      <w:r w:rsidR="00A5609B" w:rsidRPr="00A5609B">
        <w:rPr>
          <w:b/>
        </w:rPr>
        <w:t>Siechnicach</w:t>
      </w:r>
      <w:r w:rsidR="00A5609B">
        <w:rPr>
          <w:b/>
        </w:rPr>
        <w:t>.</w:t>
      </w:r>
    </w:p>
    <w:p w14:paraId="7BE76DC9" w14:textId="314DE79F" w:rsidR="0056579D" w:rsidRDefault="0091713A" w:rsidP="00230E7E">
      <w:pPr>
        <w:rPr>
          <w:b/>
        </w:rPr>
      </w:pPr>
      <w:r>
        <w:rPr>
          <w:b/>
        </w:rPr>
        <w:t xml:space="preserve">Numer projektu: </w:t>
      </w:r>
      <w:r w:rsidR="00A5609B" w:rsidRPr="00A5609B">
        <w:rPr>
          <w:b/>
        </w:rPr>
        <w:t>POIS.01.06.02-00-0010/16</w:t>
      </w:r>
    </w:p>
    <w:p w14:paraId="786BA928" w14:textId="576A32A8" w:rsidR="0056579D" w:rsidRDefault="0056579D" w:rsidP="00230E7E">
      <w:pPr>
        <w:rPr>
          <w:b/>
        </w:rPr>
      </w:pPr>
      <w:r>
        <w:rPr>
          <w:b/>
        </w:rPr>
        <w:t>Beneficjent:</w:t>
      </w:r>
      <w:r w:rsidR="0059040C">
        <w:rPr>
          <w:b/>
        </w:rPr>
        <w:t xml:space="preserve"> </w:t>
      </w:r>
      <w:r w:rsidR="00A5609B" w:rsidRPr="00A5609B">
        <w:rPr>
          <w:b/>
        </w:rPr>
        <w:t>Zespół Elektrociepłowni Wrocławskich Kogeneracja Spółka Akcyjna</w:t>
      </w:r>
    </w:p>
    <w:p w14:paraId="55456E86" w14:textId="12C97A6C" w:rsidR="0056579D" w:rsidRDefault="0056579D" w:rsidP="00230E7E">
      <w:pPr>
        <w:rPr>
          <w:b/>
        </w:rPr>
      </w:pPr>
      <w:r>
        <w:rPr>
          <w:b/>
        </w:rPr>
        <w:t>Wartość projektu:</w:t>
      </w:r>
      <w:r w:rsidR="0059040C">
        <w:rPr>
          <w:b/>
        </w:rPr>
        <w:t xml:space="preserve"> </w:t>
      </w:r>
      <w:r w:rsidR="00A5609B" w:rsidRPr="00A5609B">
        <w:rPr>
          <w:b/>
        </w:rPr>
        <w:t>2</w:t>
      </w:r>
      <w:r w:rsidR="00A5609B">
        <w:rPr>
          <w:b/>
        </w:rPr>
        <w:t xml:space="preserve"> </w:t>
      </w:r>
      <w:r w:rsidR="00A5609B" w:rsidRPr="00A5609B">
        <w:rPr>
          <w:b/>
        </w:rPr>
        <w:t>251</w:t>
      </w:r>
      <w:r w:rsidR="00A5609B">
        <w:rPr>
          <w:b/>
        </w:rPr>
        <w:t xml:space="preserve"> </w:t>
      </w:r>
      <w:r w:rsidR="00A5609B" w:rsidRPr="00A5609B">
        <w:rPr>
          <w:b/>
        </w:rPr>
        <w:t>145,08</w:t>
      </w:r>
      <w:r w:rsidR="0059040C">
        <w:rPr>
          <w:b/>
        </w:rPr>
        <w:t>PLN</w:t>
      </w:r>
    </w:p>
    <w:p w14:paraId="5C60D485" w14:textId="49EF3692" w:rsidR="0059040C" w:rsidRDefault="0056579D" w:rsidP="00A5609B">
      <w:pPr>
        <w:spacing w:line="240" w:lineRule="auto"/>
        <w:jc w:val="both"/>
      </w:pPr>
      <w:r>
        <w:rPr>
          <w:b/>
        </w:rPr>
        <w:t>Krótki opis:</w:t>
      </w:r>
      <w:r w:rsidR="0059040C">
        <w:rPr>
          <w:b/>
        </w:rPr>
        <w:t xml:space="preserve"> </w:t>
      </w:r>
      <w:r w:rsidR="00A5609B">
        <w:t xml:space="preserve">Projekt polega na budowie osiedlowych sieci ciepłowniczych w rejonie ul. w rejonie ulic: Czeremchowej, Kalinowej i </w:t>
      </w:r>
      <w:proofErr w:type="spellStart"/>
      <w:r w:rsidR="00A5609B">
        <w:t>Prawocińskiej</w:t>
      </w:r>
      <w:proofErr w:type="spellEnd"/>
      <w:r w:rsidR="00A5609B">
        <w:t xml:space="preserve"> na terenie osiedla </w:t>
      </w:r>
      <w:proofErr w:type="spellStart"/>
      <w:r w:rsidR="00A5609B">
        <w:t>Prawocin</w:t>
      </w:r>
      <w:proofErr w:type="spellEnd"/>
      <w:r w:rsidR="00A5609B">
        <w:t xml:space="preserve"> w Siechnicach. Działki: 83/17; 617; 144/8; 655; 144/13; 144/17; 618; 597; 595/2; 596; 34; 33; 32/2; 30; 29; 28; 27; 26; 25; Obręb: Siechnice, AM-1 oraz dz.: 86; 96/4; 96/6; 20/15; 85/2; 20/11; 23/1, Obręb </w:t>
      </w:r>
      <w:proofErr w:type="spellStart"/>
      <w:r w:rsidR="00A5609B">
        <w:t>Prawocin</w:t>
      </w:r>
      <w:proofErr w:type="spellEnd"/>
      <w:r w:rsidR="00A5609B">
        <w:t xml:space="preserve">, AM-1, planowanych do przyszłego podłączenia osiedli mieszkaniowych. Zrealizowany z ramach zakres: od włączenia do istniejącej sieci 2 x DN150 przy ul. Opolskiej (okolice punku Z0), wzdłuż ulicy Czeremchowej do trójnika T4 (przy ul. Kalinowej), wzdłuż ulicy Kalinowej do studni </w:t>
      </w:r>
      <w:proofErr w:type="spellStart"/>
      <w:r w:rsidR="00A5609B">
        <w:t>Ss</w:t>
      </w:r>
      <w:proofErr w:type="spellEnd"/>
      <w:r w:rsidR="00A5609B">
        <w:t xml:space="preserve"> (odwodnienia) przy punkcie Z77/10 przy ul. </w:t>
      </w:r>
      <w:proofErr w:type="spellStart"/>
      <w:r w:rsidR="00A5609B">
        <w:t>Prawocińskiej</w:t>
      </w:r>
      <w:proofErr w:type="spellEnd"/>
      <w:r w:rsidR="00A5609B">
        <w:t xml:space="preserve">. </w:t>
      </w:r>
    </w:p>
    <w:p w14:paraId="2BF0A4CE" w14:textId="77777777" w:rsidR="00A5609B" w:rsidRPr="00A5609B" w:rsidRDefault="00A5609B" w:rsidP="00A5609B">
      <w:pPr>
        <w:spacing w:line="240" w:lineRule="auto"/>
        <w:jc w:val="both"/>
      </w:pPr>
    </w:p>
    <w:p w14:paraId="09C5D3F4" w14:textId="77777777" w:rsidR="0056579D" w:rsidRPr="00DE2465" w:rsidRDefault="00230E7E" w:rsidP="00230E7E">
      <w:pPr>
        <w:rPr>
          <w:b/>
          <w:sz w:val="28"/>
          <w:szCs w:val="28"/>
        </w:rPr>
      </w:pPr>
      <w:r w:rsidRPr="00DE2465">
        <w:rPr>
          <w:b/>
          <w:sz w:val="28"/>
          <w:szCs w:val="28"/>
        </w:rPr>
        <w:t>ZAKRES ORAZ SKUTECZNOŚĆ ROZWIĄZAŃ ZWIĄZANYCH Z KLIMATEM</w:t>
      </w:r>
    </w:p>
    <w:tbl>
      <w:tblPr>
        <w:tblStyle w:val="Tabela-Siatka"/>
        <w:tblW w:w="0" w:type="auto"/>
        <w:tblLayout w:type="fixed"/>
        <w:tblLook w:val="04A0" w:firstRow="1" w:lastRow="0" w:firstColumn="1" w:lastColumn="0" w:noHBand="0" w:noVBand="1"/>
      </w:tblPr>
      <w:tblGrid>
        <w:gridCol w:w="2689"/>
        <w:gridCol w:w="2126"/>
        <w:gridCol w:w="2410"/>
        <w:gridCol w:w="1701"/>
        <w:gridCol w:w="5068"/>
      </w:tblGrid>
      <w:tr w:rsidR="006D6EC3" w14:paraId="704E64E8" w14:textId="77777777" w:rsidTr="00C63E3F">
        <w:tc>
          <w:tcPr>
            <w:tcW w:w="13994" w:type="dxa"/>
            <w:gridSpan w:val="5"/>
            <w:shd w:val="clear" w:color="auto" w:fill="A8D08D" w:themeFill="accent6" w:themeFillTint="99"/>
          </w:tcPr>
          <w:p w14:paraId="0560DEC2" w14:textId="77777777" w:rsidR="006D6EC3" w:rsidRDefault="00F928E8" w:rsidP="00230E7E">
            <w:r w:rsidRPr="004662BE">
              <w:rPr>
                <w:b/>
              </w:rPr>
              <w:t>ROZWIĄZANIA ZWIĄZANE ZE ZWIĘKSZANIEM ODPORNOŚCI INWESTYCJI NA ZMIANY KLIMATU, ZAGROŻENIA KLĘSKAMI ŻYWIOŁOWYMI LUB KATASTROFAMI NATURALNYMI</w:t>
            </w:r>
          </w:p>
        </w:tc>
      </w:tr>
      <w:tr w:rsidR="00F928E8" w14:paraId="2F5752F1" w14:textId="77777777" w:rsidTr="00E10773">
        <w:tc>
          <w:tcPr>
            <w:tcW w:w="2689" w:type="dxa"/>
            <w:shd w:val="clear" w:color="auto" w:fill="E2EFD9" w:themeFill="accent6" w:themeFillTint="33"/>
          </w:tcPr>
          <w:p w14:paraId="0A820D79" w14:textId="77777777"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2126" w:type="dxa"/>
            <w:shd w:val="clear" w:color="auto" w:fill="E2EFD9" w:themeFill="accent6" w:themeFillTint="33"/>
          </w:tcPr>
          <w:p w14:paraId="3A4B91BB" w14:textId="77777777" w:rsidR="006D6EC3" w:rsidRPr="004D43D1" w:rsidRDefault="006D6EC3" w:rsidP="00230E7E">
            <w:pPr>
              <w:rPr>
                <w:b/>
                <w:sz w:val="20"/>
                <w:szCs w:val="20"/>
              </w:rPr>
            </w:pPr>
            <w:r w:rsidRPr="004D43D1">
              <w:rPr>
                <w:b/>
                <w:sz w:val="20"/>
                <w:szCs w:val="20"/>
              </w:rPr>
              <w:t>POTENCJALNY ISTOTNY WPŁYW</w:t>
            </w:r>
          </w:p>
        </w:tc>
        <w:tc>
          <w:tcPr>
            <w:tcW w:w="2410" w:type="dxa"/>
            <w:shd w:val="clear" w:color="auto" w:fill="E2EFD9" w:themeFill="accent6" w:themeFillTint="33"/>
          </w:tcPr>
          <w:p w14:paraId="0022844F" w14:textId="77777777" w:rsidR="006D6EC3" w:rsidRPr="004D43D1" w:rsidRDefault="006D6EC3" w:rsidP="00230E7E">
            <w:pPr>
              <w:rPr>
                <w:b/>
                <w:sz w:val="20"/>
                <w:szCs w:val="20"/>
              </w:rPr>
            </w:pPr>
            <w:r w:rsidRPr="004D43D1">
              <w:rPr>
                <w:b/>
                <w:sz w:val="20"/>
                <w:szCs w:val="20"/>
              </w:rPr>
              <w:t>SPOSÓB UWZGLĘDNIENIA</w:t>
            </w:r>
          </w:p>
        </w:tc>
        <w:tc>
          <w:tcPr>
            <w:tcW w:w="1701" w:type="dxa"/>
            <w:shd w:val="clear" w:color="auto" w:fill="E2EFD9" w:themeFill="accent6" w:themeFillTint="33"/>
          </w:tcPr>
          <w:p w14:paraId="473A8837" w14:textId="77777777"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068" w:type="dxa"/>
            <w:shd w:val="clear" w:color="auto" w:fill="E2EFD9" w:themeFill="accent6" w:themeFillTint="33"/>
          </w:tcPr>
          <w:p w14:paraId="2B8884B1" w14:textId="77777777"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14:paraId="2B2562CC" w14:textId="77777777" w:rsidTr="00E10773">
        <w:tc>
          <w:tcPr>
            <w:tcW w:w="2689" w:type="dxa"/>
          </w:tcPr>
          <w:p w14:paraId="4415BCD2" w14:textId="77777777" w:rsidR="006D6EC3" w:rsidRPr="006C2FD2" w:rsidRDefault="006D6EC3" w:rsidP="006D6EC3">
            <w:pPr>
              <w:rPr>
                <w:sz w:val="20"/>
                <w:szCs w:val="20"/>
              </w:rPr>
            </w:pPr>
            <w:r w:rsidRPr="006C2FD2">
              <w:rPr>
                <w:sz w:val="20"/>
                <w:szCs w:val="20"/>
              </w:rPr>
              <w:t xml:space="preserve">Stopniowy wzrost temperatury powietrza (np. dłuższe okresy oscylowania temperatury w okolicach O st. C) i związane z nimi </w:t>
            </w:r>
            <w:r w:rsidRPr="006C2FD2">
              <w:rPr>
                <w:sz w:val="20"/>
                <w:szCs w:val="20"/>
              </w:rPr>
              <w:lastRenderedPageBreak/>
              <w:t>niekorzystne zjawiska (np. oblodzenie).</w:t>
            </w:r>
          </w:p>
        </w:tc>
        <w:tc>
          <w:tcPr>
            <w:tcW w:w="2126" w:type="dxa"/>
          </w:tcPr>
          <w:p w14:paraId="10F992E4" w14:textId="2679A81D" w:rsidR="006D6EC3" w:rsidRPr="006C2FD2" w:rsidRDefault="00A5609B" w:rsidP="00E10773">
            <w:pPr>
              <w:rPr>
                <w:sz w:val="20"/>
                <w:szCs w:val="20"/>
              </w:rPr>
            </w:pPr>
            <w:r>
              <w:rPr>
                <w:sz w:val="20"/>
                <w:szCs w:val="20"/>
              </w:rPr>
              <w:lastRenderedPageBreak/>
              <w:t>NIE</w:t>
            </w:r>
          </w:p>
        </w:tc>
        <w:tc>
          <w:tcPr>
            <w:tcW w:w="2410" w:type="dxa"/>
          </w:tcPr>
          <w:p w14:paraId="5184FD0F" w14:textId="685249A9" w:rsidR="006D6EC3" w:rsidRPr="00E10773" w:rsidRDefault="00E10773" w:rsidP="00E10773">
            <w:pPr>
              <w:jc w:val="both"/>
              <w:rPr>
                <w:sz w:val="20"/>
                <w:szCs w:val="20"/>
              </w:rPr>
            </w:pPr>
            <w:r>
              <w:rPr>
                <w:sz w:val="20"/>
                <w:szCs w:val="20"/>
              </w:rPr>
              <w:t>Mróz</w:t>
            </w:r>
          </w:p>
        </w:tc>
        <w:tc>
          <w:tcPr>
            <w:tcW w:w="1701" w:type="dxa"/>
          </w:tcPr>
          <w:p w14:paraId="75ED062E" w14:textId="78118874" w:rsidR="006D6EC3" w:rsidRPr="006C2FD2" w:rsidRDefault="00A5609B" w:rsidP="006D6EC3">
            <w:pPr>
              <w:rPr>
                <w:sz w:val="20"/>
                <w:szCs w:val="20"/>
              </w:rPr>
            </w:pPr>
            <w:r>
              <w:rPr>
                <w:sz w:val="20"/>
                <w:szCs w:val="20"/>
              </w:rPr>
              <w:t>NIE</w:t>
            </w:r>
          </w:p>
        </w:tc>
        <w:tc>
          <w:tcPr>
            <w:tcW w:w="5068" w:type="dxa"/>
          </w:tcPr>
          <w:p w14:paraId="5637863B" w14:textId="102CAA71" w:rsidR="00604C64" w:rsidRPr="001D33B0" w:rsidRDefault="007155C1" w:rsidP="007155C1">
            <w:pPr>
              <w:jc w:val="both"/>
              <w:rPr>
                <w:sz w:val="20"/>
                <w:szCs w:val="20"/>
              </w:rPr>
            </w:pPr>
            <w:r>
              <w:rPr>
                <w:sz w:val="20"/>
                <w:szCs w:val="20"/>
              </w:rPr>
              <w:t xml:space="preserve">Stwierdzono, iż ryzyko jest na poziomie praktycznie nieistotnym, jednocześnie niezależnym od Beneficjenta, stąd jako środki minimalizujące wskazano jedynie na działania organizacyjne oraz samą technologię rur preizolowanych, jako najbardziej nowoczesną, zapewniającą </w:t>
            </w:r>
            <w:r>
              <w:rPr>
                <w:sz w:val="20"/>
                <w:szCs w:val="20"/>
              </w:rPr>
              <w:lastRenderedPageBreak/>
              <w:t>najwyższą możliwą odporność na niekorzystne warunki panujące w gruncie.</w:t>
            </w:r>
          </w:p>
        </w:tc>
      </w:tr>
      <w:tr w:rsidR="007155C1" w14:paraId="5178E7FD" w14:textId="77777777" w:rsidTr="00E10773">
        <w:tc>
          <w:tcPr>
            <w:tcW w:w="2689" w:type="dxa"/>
          </w:tcPr>
          <w:p w14:paraId="544BEC06" w14:textId="77777777" w:rsidR="007155C1" w:rsidRPr="006C2FD2" w:rsidRDefault="007155C1" w:rsidP="007155C1">
            <w:pPr>
              <w:rPr>
                <w:sz w:val="20"/>
                <w:szCs w:val="20"/>
              </w:rPr>
            </w:pPr>
            <w:r w:rsidRPr="006C2FD2">
              <w:rPr>
                <w:sz w:val="20"/>
                <w:szCs w:val="20"/>
              </w:rPr>
              <w:lastRenderedPageBreak/>
              <w:t>Ekstremalny wzrost temperatury i związane z nimi zjawiska (np. fale upałów, pożary, miejskie wyspy ciepła)</w:t>
            </w:r>
          </w:p>
        </w:tc>
        <w:tc>
          <w:tcPr>
            <w:tcW w:w="2126" w:type="dxa"/>
          </w:tcPr>
          <w:p w14:paraId="7FAA79B1" w14:textId="5B4DB250" w:rsidR="007155C1" w:rsidRPr="006C2FD2" w:rsidRDefault="007155C1" w:rsidP="007155C1">
            <w:pPr>
              <w:rPr>
                <w:sz w:val="20"/>
                <w:szCs w:val="20"/>
              </w:rPr>
            </w:pPr>
            <w:r>
              <w:rPr>
                <w:sz w:val="20"/>
                <w:szCs w:val="20"/>
              </w:rPr>
              <w:t xml:space="preserve">NIE </w:t>
            </w:r>
          </w:p>
        </w:tc>
        <w:tc>
          <w:tcPr>
            <w:tcW w:w="2410" w:type="dxa"/>
          </w:tcPr>
          <w:p w14:paraId="4A0B817F" w14:textId="4EFF4AF3" w:rsidR="007155C1" w:rsidRPr="001D33B0" w:rsidRDefault="007155C1" w:rsidP="007155C1">
            <w:pPr>
              <w:rPr>
                <w:sz w:val="20"/>
                <w:szCs w:val="20"/>
              </w:rPr>
            </w:pPr>
            <w:r>
              <w:rPr>
                <w:sz w:val="20"/>
                <w:szCs w:val="20"/>
              </w:rPr>
              <w:t>Upały</w:t>
            </w:r>
          </w:p>
        </w:tc>
        <w:tc>
          <w:tcPr>
            <w:tcW w:w="1701" w:type="dxa"/>
          </w:tcPr>
          <w:p w14:paraId="3673CB44" w14:textId="77777777" w:rsidR="007155C1" w:rsidRPr="006C2FD2" w:rsidRDefault="007155C1" w:rsidP="007155C1">
            <w:pPr>
              <w:rPr>
                <w:sz w:val="20"/>
                <w:szCs w:val="20"/>
              </w:rPr>
            </w:pPr>
            <w:r w:rsidRPr="006C2FD2">
              <w:rPr>
                <w:sz w:val="20"/>
                <w:szCs w:val="20"/>
              </w:rPr>
              <w:t>NIE</w:t>
            </w:r>
          </w:p>
        </w:tc>
        <w:tc>
          <w:tcPr>
            <w:tcW w:w="5068" w:type="dxa"/>
          </w:tcPr>
          <w:p w14:paraId="7032371B" w14:textId="12B0ED67" w:rsidR="007155C1" w:rsidRPr="001D33B0" w:rsidRDefault="007155C1" w:rsidP="007155C1">
            <w:pPr>
              <w:jc w:val="both"/>
              <w:rPr>
                <w:sz w:val="20"/>
                <w:szCs w:val="20"/>
              </w:rPr>
            </w:pPr>
            <w:r>
              <w:rPr>
                <w:sz w:val="20"/>
                <w:szCs w:val="20"/>
              </w:rPr>
              <w:t>Stwierdzono, iż ryzyko jest na poziomie praktycznie nieistotnym, jednocześnie niezależnym od Beneficjenta, stąd jako środki minimalizujące wskazano jedynie na działania organizacyjne oraz samą technologię rur preizolowanych, jako najbardziej nowoczesną, zapewniającą najwyższą możliwą odporność na niekorzystne warunki panujące w gruncie.</w:t>
            </w:r>
          </w:p>
        </w:tc>
      </w:tr>
      <w:tr w:rsidR="007155C1" w14:paraId="3861FE36" w14:textId="77777777" w:rsidTr="00E10773">
        <w:tc>
          <w:tcPr>
            <w:tcW w:w="2689" w:type="dxa"/>
          </w:tcPr>
          <w:p w14:paraId="2668C561" w14:textId="77777777" w:rsidR="007155C1" w:rsidRPr="006C2FD2" w:rsidRDefault="007155C1" w:rsidP="007155C1">
            <w:pPr>
              <w:rPr>
                <w:sz w:val="20"/>
                <w:szCs w:val="20"/>
              </w:rPr>
            </w:pPr>
            <w:r w:rsidRPr="006C2FD2">
              <w:rPr>
                <w:sz w:val="20"/>
                <w:szCs w:val="20"/>
              </w:rPr>
              <w:t>Stopniowe zmiany ilości opadów i związana z nimi dostępność wody (np. susze, deficyty wody, zmniejszenie przepływów w ciekach)</w:t>
            </w:r>
          </w:p>
        </w:tc>
        <w:tc>
          <w:tcPr>
            <w:tcW w:w="2126" w:type="dxa"/>
          </w:tcPr>
          <w:p w14:paraId="1C68E65E" w14:textId="01C7DD07" w:rsidR="007155C1" w:rsidRPr="006C2FD2" w:rsidRDefault="007155C1" w:rsidP="007155C1">
            <w:pPr>
              <w:rPr>
                <w:sz w:val="20"/>
                <w:szCs w:val="20"/>
              </w:rPr>
            </w:pPr>
            <w:r>
              <w:rPr>
                <w:sz w:val="20"/>
                <w:szCs w:val="20"/>
              </w:rPr>
              <w:t>NIE</w:t>
            </w:r>
          </w:p>
        </w:tc>
        <w:tc>
          <w:tcPr>
            <w:tcW w:w="2410" w:type="dxa"/>
          </w:tcPr>
          <w:p w14:paraId="7F5A6C9A" w14:textId="1C81EEEC" w:rsidR="007155C1" w:rsidRPr="00E10773" w:rsidRDefault="007155C1" w:rsidP="007155C1">
            <w:pPr>
              <w:jc w:val="both"/>
              <w:rPr>
                <w:sz w:val="20"/>
                <w:szCs w:val="20"/>
              </w:rPr>
            </w:pPr>
            <w:r>
              <w:rPr>
                <w:sz w:val="20"/>
                <w:szCs w:val="20"/>
              </w:rPr>
              <w:t>Ulewy, śnieg, powodzie</w:t>
            </w:r>
          </w:p>
        </w:tc>
        <w:tc>
          <w:tcPr>
            <w:tcW w:w="1701" w:type="dxa"/>
          </w:tcPr>
          <w:p w14:paraId="4B054296" w14:textId="4DF0224F" w:rsidR="007155C1" w:rsidRPr="006C2FD2" w:rsidRDefault="007155C1" w:rsidP="007155C1">
            <w:pPr>
              <w:rPr>
                <w:sz w:val="20"/>
                <w:szCs w:val="20"/>
              </w:rPr>
            </w:pPr>
            <w:r>
              <w:rPr>
                <w:sz w:val="20"/>
                <w:szCs w:val="20"/>
              </w:rPr>
              <w:t>NIE</w:t>
            </w:r>
          </w:p>
        </w:tc>
        <w:tc>
          <w:tcPr>
            <w:tcW w:w="5068" w:type="dxa"/>
          </w:tcPr>
          <w:p w14:paraId="7F537521" w14:textId="77777777" w:rsidR="007155C1" w:rsidRDefault="007155C1" w:rsidP="007155C1">
            <w:pPr>
              <w:jc w:val="both"/>
              <w:rPr>
                <w:sz w:val="20"/>
                <w:szCs w:val="20"/>
              </w:rPr>
            </w:pPr>
            <w:r>
              <w:rPr>
                <w:sz w:val="20"/>
                <w:szCs w:val="20"/>
              </w:rPr>
              <w:t>Stwierdzono, iż ryzyko jest na poziomie praktycznie nieistotnym, jednocześnie niezależnym od Beneficjenta, stąd jako środki minimalizujące wskazano jedynie na działania organizacyjne oraz samą technologię rur preizolowanych, jako najbardziej nowoczesną, zapewniającą najwyższą możliwą odporność na niekorzystne warunki panujące w gruncie.</w:t>
            </w:r>
          </w:p>
          <w:p w14:paraId="7098FE55" w14:textId="0F8A5B18" w:rsidR="007155C1" w:rsidRPr="001D33B0" w:rsidRDefault="007155C1" w:rsidP="007155C1">
            <w:pPr>
              <w:jc w:val="both"/>
              <w:rPr>
                <w:sz w:val="20"/>
                <w:szCs w:val="20"/>
              </w:rPr>
            </w:pPr>
            <w:r>
              <w:rPr>
                <w:sz w:val="20"/>
                <w:szCs w:val="20"/>
              </w:rPr>
              <w:t>Powodzie – stwierdzono, iż t</w:t>
            </w:r>
            <w:r w:rsidRPr="007155C1">
              <w:rPr>
                <w:sz w:val="20"/>
                <w:szCs w:val="20"/>
              </w:rPr>
              <w:t>rasa rurociągów została dobrana tak</w:t>
            </w:r>
            <w:r>
              <w:rPr>
                <w:sz w:val="20"/>
                <w:szCs w:val="20"/>
              </w:rPr>
              <w:t>,</w:t>
            </w:r>
            <w:r w:rsidRPr="007155C1">
              <w:rPr>
                <w:sz w:val="20"/>
                <w:szCs w:val="20"/>
              </w:rPr>
              <w:t xml:space="preserve"> aby w najmniejszym stopniu pokrywała się z obszarem zasięgu występowania powodzi.</w:t>
            </w:r>
          </w:p>
        </w:tc>
      </w:tr>
      <w:tr w:rsidR="007155C1" w14:paraId="1C630E7F" w14:textId="77777777" w:rsidTr="00E10773">
        <w:tc>
          <w:tcPr>
            <w:tcW w:w="2689" w:type="dxa"/>
          </w:tcPr>
          <w:p w14:paraId="226236DC" w14:textId="6EF6AFFC" w:rsidR="007155C1" w:rsidRPr="006C2FD2" w:rsidRDefault="007155C1" w:rsidP="007155C1">
            <w:pPr>
              <w:rPr>
                <w:sz w:val="20"/>
                <w:szCs w:val="20"/>
              </w:rPr>
            </w:pPr>
            <w:r w:rsidRPr="006C2FD2">
              <w:rPr>
                <w:sz w:val="20"/>
                <w:szCs w:val="20"/>
              </w:rPr>
              <w:t>Wzrost maksymalnej prędkość wiatru i związane z nimi zjawiska (np. wichury)</w:t>
            </w:r>
          </w:p>
        </w:tc>
        <w:tc>
          <w:tcPr>
            <w:tcW w:w="2126" w:type="dxa"/>
          </w:tcPr>
          <w:p w14:paraId="2CDF5636" w14:textId="5D7185C0" w:rsidR="007155C1" w:rsidRPr="006C2FD2" w:rsidRDefault="007155C1" w:rsidP="007155C1">
            <w:pPr>
              <w:rPr>
                <w:sz w:val="20"/>
                <w:szCs w:val="20"/>
              </w:rPr>
            </w:pPr>
            <w:r>
              <w:rPr>
                <w:sz w:val="20"/>
                <w:szCs w:val="20"/>
              </w:rPr>
              <w:t>NIE</w:t>
            </w:r>
          </w:p>
        </w:tc>
        <w:tc>
          <w:tcPr>
            <w:tcW w:w="2410" w:type="dxa"/>
          </w:tcPr>
          <w:p w14:paraId="0EFB299D" w14:textId="1990EA94" w:rsidR="007155C1" w:rsidRPr="00E10773" w:rsidRDefault="007155C1" w:rsidP="007155C1">
            <w:pPr>
              <w:jc w:val="both"/>
              <w:rPr>
                <w:sz w:val="20"/>
                <w:szCs w:val="20"/>
              </w:rPr>
            </w:pPr>
            <w:r>
              <w:rPr>
                <w:sz w:val="20"/>
                <w:szCs w:val="20"/>
              </w:rPr>
              <w:t>Silny wiatr</w:t>
            </w:r>
          </w:p>
        </w:tc>
        <w:tc>
          <w:tcPr>
            <w:tcW w:w="1701" w:type="dxa"/>
          </w:tcPr>
          <w:p w14:paraId="54783743" w14:textId="010BC5D2" w:rsidR="007155C1" w:rsidRPr="006C2FD2" w:rsidRDefault="007155C1" w:rsidP="007155C1">
            <w:pPr>
              <w:rPr>
                <w:sz w:val="20"/>
                <w:szCs w:val="20"/>
              </w:rPr>
            </w:pPr>
            <w:r w:rsidRPr="006C2FD2">
              <w:rPr>
                <w:sz w:val="20"/>
                <w:szCs w:val="20"/>
              </w:rPr>
              <w:t>NIE</w:t>
            </w:r>
          </w:p>
        </w:tc>
        <w:tc>
          <w:tcPr>
            <w:tcW w:w="5068" w:type="dxa"/>
          </w:tcPr>
          <w:p w14:paraId="1A1E6DB2" w14:textId="40D22C4D" w:rsidR="007155C1" w:rsidRPr="001D33B0" w:rsidRDefault="007155C1" w:rsidP="007155C1">
            <w:pPr>
              <w:jc w:val="both"/>
              <w:rPr>
                <w:sz w:val="20"/>
                <w:szCs w:val="20"/>
              </w:rPr>
            </w:pPr>
            <w:r>
              <w:rPr>
                <w:sz w:val="20"/>
                <w:szCs w:val="20"/>
              </w:rPr>
              <w:t>Stwierdzono, iż ryzyko jest na poziomie praktycznie nieistotnym, jednocześnie niezależnym od Beneficjenta, stąd jako środki minimalizujące wskazano jedynie na działania organizacyjne oraz samą technologię rur preizolowanych, jako najbardziej nowoczesną, zapewniającą najwyższą możliwą odporność na niekorzystne warunki panujące w gruncie.</w:t>
            </w:r>
          </w:p>
        </w:tc>
      </w:tr>
      <w:tr w:rsidR="00E10773" w14:paraId="636FA872" w14:textId="77777777" w:rsidTr="00E10773">
        <w:tc>
          <w:tcPr>
            <w:tcW w:w="2689" w:type="dxa"/>
          </w:tcPr>
          <w:p w14:paraId="1F2FE6E5" w14:textId="02A5E010" w:rsidR="00E10773" w:rsidRPr="006C2FD2" w:rsidRDefault="00E10773" w:rsidP="00E10773">
            <w:pPr>
              <w:rPr>
                <w:sz w:val="20"/>
                <w:szCs w:val="20"/>
              </w:rPr>
            </w:pPr>
            <w:r w:rsidRPr="006C2FD2">
              <w:rPr>
                <w:sz w:val="20"/>
                <w:szCs w:val="20"/>
              </w:rPr>
              <w:t xml:space="preserve">Erozja gleby i związane z nimi zjawiska (np. osuwiska, drenaż) </w:t>
            </w:r>
          </w:p>
        </w:tc>
        <w:tc>
          <w:tcPr>
            <w:tcW w:w="2126" w:type="dxa"/>
          </w:tcPr>
          <w:p w14:paraId="0BB9A0FB" w14:textId="0D6DEE50" w:rsidR="00E10773" w:rsidRPr="006C2FD2" w:rsidRDefault="00E10773" w:rsidP="00E10773">
            <w:pPr>
              <w:rPr>
                <w:sz w:val="20"/>
                <w:szCs w:val="20"/>
              </w:rPr>
            </w:pPr>
            <w:r w:rsidRPr="006C2FD2">
              <w:rPr>
                <w:sz w:val="20"/>
                <w:szCs w:val="20"/>
              </w:rPr>
              <w:t>NIE</w:t>
            </w:r>
          </w:p>
        </w:tc>
        <w:tc>
          <w:tcPr>
            <w:tcW w:w="2410" w:type="dxa"/>
          </w:tcPr>
          <w:p w14:paraId="6B618317" w14:textId="2CAB9778" w:rsidR="00E10773" w:rsidRPr="006C2FD2" w:rsidRDefault="00E10773" w:rsidP="00E10773">
            <w:pPr>
              <w:rPr>
                <w:sz w:val="20"/>
                <w:szCs w:val="20"/>
              </w:rPr>
            </w:pPr>
          </w:p>
        </w:tc>
        <w:tc>
          <w:tcPr>
            <w:tcW w:w="1701" w:type="dxa"/>
          </w:tcPr>
          <w:p w14:paraId="16EEF541" w14:textId="103A72C8" w:rsidR="00E10773" w:rsidRPr="006C2FD2" w:rsidRDefault="00E10773" w:rsidP="00E10773">
            <w:pPr>
              <w:rPr>
                <w:sz w:val="20"/>
                <w:szCs w:val="20"/>
              </w:rPr>
            </w:pPr>
            <w:r>
              <w:rPr>
                <w:sz w:val="20"/>
                <w:szCs w:val="20"/>
              </w:rPr>
              <w:t>NIE</w:t>
            </w:r>
          </w:p>
        </w:tc>
        <w:tc>
          <w:tcPr>
            <w:tcW w:w="5068" w:type="dxa"/>
          </w:tcPr>
          <w:p w14:paraId="1F643C72" w14:textId="16EFD541" w:rsidR="00E10773" w:rsidRPr="001D33B0" w:rsidRDefault="00E10773" w:rsidP="00E10773">
            <w:pPr>
              <w:jc w:val="both"/>
              <w:rPr>
                <w:sz w:val="20"/>
                <w:szCs w:val="20"/>
              </w:rPr>
            </w:pPr>
          </w:p>
        </w:tc>
      </w:tr>
      <w:tr w:rsidR="00E10773" w14:paraId="3371FFD0" w14:textId="77777777" w:rsidTr="00E10773">
        <w:tc>
          <w:tcPr>
            <w:tcW w:w="2689" w:type="dxa"/>
          </w:tcPr>
          <w:p w14:paraId="4D9E15C0" w14:textId="77777777" w:rsidR="00E10773" w:rsidRPr="006C2FD2" w:rsidRDefault="00E10773" w:rsidP="00E10773">
            <w:pPr>
              <w:rPr>
                <w:sz w:val="20"/>
                <w:szCs w:val="20"/>
              </w:rPr>
            </w:pPr>
            <w:r w:rsidRPr="006C2FD2">
              <w:rPr>
                <w:sz w:val="20"/>
                <w:szCs w:val="20"/>
              </w:rPr>
              <w:t>Inne (jakie?)</w:t>
            </w:r>
          </w:p>
          <w:p w14:paraId="44B535A6" w14:textId="77777777" w:rsidR="00E10773" w:rsidRPr="006C2FD2" w:rsidRDefault="00E10773" w:rsidP="00E10773">
            <w:pPr>
              <w:rPr>
                <w:sz w:val="20"/>
                <w:szCs w:val="20"/>
              </w:rPr>
            </w:pPr>
          </w:p>
        </w:tc>
        <w:tc>
          <w:tcPr>
            <w:tcW w:w="2126" w:type="dxa"/>
          </w:tcPr>
          <w:p w14:paraId="76D80568" w14:textId="376449EE" w:rsidR="00E10773" w:rsidRPr="006C2FD2" w:rsidRDefault="00A5609B" w:rsidP="00E10773">
            <w:pPr>
              <w:rPr>
                <w:sz w:val="20"/>
                <w:szCs w:val="20"/>
              </w:rPr>
            </w:pPr>
            <w:r>
              <w:rPr>
                <w:sz w:val="20"/>
                <w:szCs w:val="20"/>
              </w:rPr>
              <w:t>TAK</w:t>
            </w:r>
          </w:p>
        </w:tc>
        <w:tc>
          <w:tcPr>
            <w:tcW w:w="2410" w:type="dxa"/>
          </w:tcPr>
          <w:p w14:paraId="58545A65" w14:textId="54EBB375" w:rsidR="00E10773" w:rsidRPr="00A5609B" w:rsidRDefault="00A5609B" w:rsidP="00E10773">
            <w:pPr>
              <w:rPr>
                <w:sz w:val="20"/>
                <w:szCs w:val="20"/>
              </w:rPr>
            </w:pPr>
            <w:r w:rsidRPr="00A5609B">
              <w:rPr>
                <w:sz w:val="20"/>
              </w:rPr>
              <w:t>Niewłaściwa analiza warunków klimatycznych mających wpływ na popyt na energię do celów ogrzewania lub chłodzenia</w:t>
            </w:r>
          </w:p>
        </w:tc>
        <w:tc>
          <w:tcPr>
            <w:tcW w:w="1701" w:type="dxa"/>
          </w:tcPr>
          <w:p w14:paraId="371CB905" w14:textId="04553341" w:rsidR="00E10773" w:rsidRPr="006C2FD2" w:rsidRDefault="00E10773" w:rsidP="00E10773">
            <w:pPr>
              <w:rPr>
                <w:sz w:val="20"/>
                <w:szCs w:val="20"/>
              </w:rPr>
            </w:pPr>
            <w:r w:rsidRPr="006C2FD2">
              <w:rPr>
                <w:sz w:val="20"/>
                <w:szCs w:val="20"/>
              </w:rPr>
              <w:t>NIE</w:t>
            </w:r>
          </w:p>
        </w:tc>
        <w:tc>
          <w:tcPr>
            <w:tcW w:w="5068" w:type="dxa"/>
          </w:tcPr>
          <w:p w14:paraId="1DED4B64" w14:textId="2F5A6FB0" w:rsidR="00A5609B" w:rsidRPr="00A5609B" w:rsidRDefault="007155C1" w:rsidP="00A5609B">
            <w:pPr>
              <w:jc w:val="both"/>
              <w:rPr>
                <w:sz w:val="20"/>
                <w:szCs w:val="20"/>
              </w:rPr>
            </w:pPr>
            <w:r>
              <w:rPr>
                <w:sz w:val="20"/>
                <w:szCs w:val="20"/>
              </w:rPr>
              <w:t>Stwierdzono b</w:t>
            </w:r>
            <w:r w:rsidR="00A5609B" w:rsidRPr="00A5609B">
              <w:rPr>
                <w:sz w:val="20"/>
                <w:szCs w:val="20"/>
              </w:rPr>
              <w:t>rak możliwo</w:t>
            </w:r>
            <w:r w:rsidR="00A5609B">
              <w:rPr>
                <w:sz w:val="20"/>
                <w:szCs w:val="20"/>
              </w:rPr>
              <w:t xml:space="preserve">ści zapobiegania ryzyku. Ryzyko </w:t>
            </w:r>
            <w:r w:rsidR="00A5609B" w:rsidRPr="00A5609B">
              <w:rPr>
                <w:sz w:val="20"/>
                <w:szCs w:val="20"/>
              </w:rPr>
              <w:t>niezależne od beneficjenta. Działania minimalizujące: Działania na rzecz poszerzania rynku odbiorców, aktywny marketing, promocja ciepła sieciowego w celu dotarcia z ofertą do nowych grup odbiorców.</w:t>
            </w:r>
          </w:p>
        </w:tc>
      </w:tr>
      <w:tr w:rsidR="00E10773" w14:paraId="68CC1FA3" w14:textId="77777777" w:rsidTr="00E10773">
        <w:tc>
          <w:tcPr>
            <w:tcW w:w="4815" w:type="dxa"/>
            <w:gridSpan w:val="2"/>
            <w:shd w:val="clear" w:color="auto" w:fill="E2EFD9" w:themeFill="accent6" w:themeFillTint="33"/>
          </w:tcPr>
          <w:p w14:paraId="376FA927" w14:textId="77777777" w:rsidR="00E10773" w:rsidRPr="004D43D1" w:rsidRDefault="00E10773" w:rsidP="00E10773">
            <w:pPr>
              <w:rPr>
                <w:b/>
                <w:sz w:val="20"/>
                <w:szCs w:val="20"/>
              </w:rPr>
            </w:pPr>
            <w:r w:rsidRPr="004D43D1">
              <w:rPr>
                <w:b/>
                <w:sz w:val="20"/>
                <w:szCs w:val="20"/>
              </w:rPr>
              <w:t>ZAKRES ANALIZ KLIMATYCZNYCH</w:t>
            </w:r>
          </w:p>
        </w:tc>
        <w:tc>
          <w:tcPr>
            <w:tcW w:w="2410" w:type="dxa"/>
            <w:shd w:val="clear" w:color="auto" w:fill="E2EFD9" w:themeFill="accent6" w:themeFillTint="33"/>
          </w:tcPr>
          <w:p w14:paraId="51B907CC" w14:textId="77777777" w:rsidR="00E10773" w:rsidRPr="004D43D1" w:rsidRDefault="00E10773" w:rsidP="00E1077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6769" w:type="dxa"/>
            <w:gridSpan w:val="2"/>
            <w:shd w:val="clear" w:color="auto" w:fill="E2EFD9" w:themeFill="accent6" w:themeFillTint="33"/>
          </w:tcPr>
          <w:p w14:paraId="426CF3A7" w14:textId="77777777" w:rsidR="00E10773" w:rsidRPr="004D43D1" w:rsidRDefault="00E10773" w:rsidP="00E10773">
            <w:pPr>
              <w:rPr>
                <w:b/>
                <w:sz w:val="20"/>
                <w:szCs w:val="20"/>
              </w:rPr>
            </w:pPr>
            <w:r w:rsidRPr="004D43D1">
              <w:rPr>
                <w:b/>
                <w:sz w:val="20"/>
                <w:szCs w:val="20"/>
              </w:rPr>
              <w:t>PODEJŚCIE METODOLOGICZNE?</w:t>
            </w:r>
          </w:p>
        </w:tc>
      </w:tr>
      <w:tr w:rsidR="00E10773" w14:paraId="79CA8F2D" w14:textId="77777777" w:rsidTr="00E10773">
        <w:tc>
          <w:tcPr>
            <w:tcW w:w="4815" w:type="dxa"/>
            <w:gridSpan w:val="2"/>
          </w:tcPr>
          <w:p w14:paraId="79E6A579" w14:textId="77777777" w:rsidR="00E10773" w:rsidRPr="006C2FD2" w:rsidRDefault="00E10773" w:rsidP="00E10773">
            <w:r w:rsidRPr="006C2FD2">
              <w:lastRenderedPageBreak/>
              <w:t>Aktualne zagrożenia klimatyczne</w:t>
            </w:r>
          </w:p>
        </w:tc>
        <w:tc>
          <w:tcPr>
            <w:tcW w:w="2410" w:type="dxa"/>
          </w:tcPr>
          <w:p w14:paraId="20671D6D" w14:textId="77777777" w:rsidR="00E10773" w:rsidRPr="006C2FD2" w:rsidRDefault="00E10773" w:rsidP="00E10773">
            <w:r w:rsidRPr="006C2FD2">
              <w:t>TAK</w:t>
            </w:r>
          </w:p>
        </w:tc>
        <w:tc>
          <w:tcPr>
            <w:tcW w:w="6769" w:type="dxa"/>
            <w:gridSpan w:val="2"/>
          </w:tcPr>
          <w:p w14:paraId="7C2D8815" w14:textId="3E6B7C06" w:rsidR="00E10773" w:rsidRPr="00A5609B" w:rsidRDefault="00A5609B" w:rsidP="00A5609B">
            <w:pPr>
              <w:jc w:val="both"/>
              <w:rPr>
                <w:sz w:val="20"/>
                <w:szCs w:val="20"/>
              </w:rPr>
            </w:pPr>
            <w:r>
              <w:rPr>
                <w:sz w:val="20"/>
                <w:szCs w:val="20"/>
              </w:rPr>
              <w:t>Wzięto pod uwagę zagrożenia klimatyczne, które mogą wystąpić na etapie robót budowlanych: n</w:t>
            </w:r>
            <w:r w:rsidRPr="00A5609B">
              <w:rPr>
                <w:sz w:val="20"/>
                <w:szCs w:val="20"/>
              </w:rPr>
              <w:t>ieoczekiwane niekorzystne warunk</w:t>
            </w:r>
            <w:r>
              <w:rPr>
                <w:sz w:val="20"/>
                <w:szCs w:val="20"/>
              </w:rPr>
              <w:t>i klimatyczne takie jak powódź, mróz, ulewa, upał</w:t>
            </w:r>
            <w:r w:rsidRPr="00A5609B">
              <w:rPr>
                <w:sz w:val="20"/>
                <w:szCs w:val="20"/>
              </w:rPr>
              <w:t>.</w:t>
            </w:r>
            <w:r>
              <w:rPr>
                <w:sz w:val="20"/>
                <w:szCs w:val="20"/>
              </w:rPr>
              <w:t xml:space="preserve"> Prawdopodobieństwo wystąpienia określono jako niskie, a istotność ryzyka jako średnie. </w:t>
            </w:r>
          </w:p>
        </w:tc>
      </w:tr>
      <w:tr w:rsidR="00E10773" w14:paraId="0949F650" w14:textId="77777777" w:rsidTr="00E10773">
        <w:tc>
          <w:tcPr>
            <w:tcW w:w="4815" w:type="dxa"/>
            <w:gridSpan w:val="2"/>
          </w:tcPr>
          <w:p w14:paraId="6AE3B3CC" w14:textId="77777777" w:rsidR="00E10773" w:rsidRPr="006C2FD2" w:rsidRDefault="00E10773" w:rsidP="00E10773">
            <w:r w:rsidRPr="006C2FD2">
              <w:t>Przyszłe zagrożenia klimatyczne</w:t>
            </w:r>
          </w:p>
        </w:tc>
        <w:tc>
          <w:tcPr>
            <w:tcW w:w="2410" w:type="dxa"/>
          </w:tcPr>
          <w:p w14:paraId="3C757C17" w14:textId="77777777" w:rsidR="00E10773" w:rsidRPr="006C2FD2" w:rsidRDefault="00E10773" w:rsidP="00E10773">
            <w:r w:rsidRPr="006C2FD2">
              <w:t>TAK</w:t>
            </w:r>
          </w:p>
        </w:tc>
        <w:tc>
          <w:tcPr>
            <w:tcW w:w="6769" w:type="dxa"/>
            <w:gridSpan w:val="2"/>
          </w:tcPr>
          <w:p w14:paraId="1770612E" w14:textId="77777777" w:rsidR="00E10773" w:rsidRPr="00A5609B" w:rsidRDefault="00A5609B" w:rsidP="00A5609B">
            <w:pPr>
              <w:jc w:val="both"/>
              <w:rPr>
                <w:sz w:val="20"/>
                <w:szCs w:val="20"/>
              </w:rPr>
            </w:pPr>
            <w:r w:rsidRPr="00A5609B">
              <w:rPr>
                <w:sz w:val="20"/>
                <w:szCs w:val="20"/>
              </w:rPr>
              <w:t xml:space="preserve">Dla etapu operacyjnego określono  zjawiska klimatyczne i pogodowe takie jak: ulewy, upału, mróz, mgły, silne wiatry. </w:t>
            </w:r>
            <w:r w:rsidRPr="00A5609B">
              <w:rPr>
                <w:sz w:val="20"/>
                <w:szCs w:val="20"/>
              </w:rPr>
              <w:cr/>
              <w:t xml:space="preserve">Prawdopodobieństwo wystąpienia określono jako niskie oraz stwierdzono nieistotność tego typu </w:t>
            </w:r>
            <w:proofErr w:type="spellStart"/>
            <w:r w:rsidRPr="00A5609B">
              <w:rPr>
                <w:sz w:val="20"/>
                <w:szCs w:val="20"/>
              </w:rPr>
              <w:t>ryzyk</w:t>
            </w:r>
            <w:proofErr w:type="spellEnd"/>
            <w:r w:rsidRPr="00A5609B">
              <w:rPr>
                <w:sz w:val="20"/>
                <w:szCs w:val="20"/>
              </w:rPr>
              <w:t>.</w:t>
            </w:r>
          </w:p>
          <w:p w14:paraId="5B8223F0" w14:textId="77777777" w:rsidR="00A5609B" w:rsidRDefault="00A5609B" w:rsidP="00A5609B">
            <w:pPr>
              <w:jc w:val="both"/>
              <w:rPr>
                <w:sz w:val="20"/>
                <w:szCs w:val="20"/>
              </w:rPr>
            </w:pPr>
            <w:r w:rsidRPr="00A5609B">
              <w:rPr>
                <w:sz w:val="20"/>
                <w:szCs w:val="20"/>
              </w:rPr>
              <w:t xml:space="preserve">Ponadto uwzględniono </w:t>
            </w:r>
            <w:r>
              <w:rPr>
                <w:sz w:val="20"/>
                <w:szCs w:val="20"/>
              </w:rPr>
              <w:t>czynnik taki jak n</w:t>
            </w:r>
            <w:r w:rsidRPr="00A5609B">
              <w:rPr>
                <w:sz w:val="20"/>
                <w:szCs w:val="20"/>
              </w:rPr>
              <w:t>iewłaściwa analiza warunków klimatycznych mających wpływ na popyt na energię do celów ogrzewania lub chłodzenia. Warunki klimatyczne oddziałują na sprzedaż ciepła zarówno</w:t>
            </w:r>
            <w:r>
              <w:rPr>
                <w:sz w:val="20"/>
                <w:szCs w:val="20"/>
              </w:rPr>
              <w:t xml:space="preserve"> </w:t>
            </w:r>
            <w:r w:rsidRPr="00A5609B">
              <w:rPr>
                <w:sz w:val="20"/>
                <w:szCs w:val="20"/>
              </w:rPr>
              <w:t>długoterminowo jak i w krótkim okresie Sprzedaż ciepła w krótkim</w:t>
            </w:r>
            <w:r>
              <w:rPr>
                <w:sz w:val="20"/>
                <w:szCs w:val="20"/>
              </w:rPr>
              <w:t xml:space="preserve"> </w:t>
            </w:r>
            <w:r w:rsidRPr="00A5609B">
              <w:rPr>
                <w:sz w:val="20"/>
                <w:szCs w:val="20"/>
              </w:rPr>
              <w:t xml:space="preserve">okresie jest silnie uzależniona od temperatur zewnętrznych. </w:t>
            </w:r>
          </w:p>
          <w:p w14:paraId="6933F4F9" w14:textId="5230509E" w:rsidR="00A5609B" w:rsidRPr="00A5609B" w:rsidRDefault="00A5609B" w:rsidP="00A5609B">
            <w:pPr>
              <w:jc w:val="both"/>
              <w:rPr>
                <w:sz w:val="20"/>
                <w:szCs w:val="20"/>
              </w:rPr>
            </w:pPr>
            <w:r>
              <w:rPr>
                <w:sz w:val="20"/>
                <w:szCs w:val="20"/>
              </w:rPr>
              <w:t>Ostatecznie jednak w WS zawarto stwierdzenie, iż: „J</w:t>
            </w:r>
            <w:r w:rsidRPr="00A5609B">
              <w:rPr>
                <w:sz w:val="20"/>
                <w:szCs w:val="20"/>
              </w:rPr>
              <w:t>est to</w:t>
            </w:r>
            <w:r>
              <w:rPr>
                <w:sz w:val="20"/>
                <w:szCs w:val="20"/>
              </w:rPr>
              <w:t xml:space="preserve"> j</w:t>
            </w:r>
            <w:r w:rsidRPr="00A5609B">
              <w:rPr>
                <w:sz w:val="20"/>
                <w:szCs w:val="20"/>
              </w:rPr>
              <w:t>ednak ryzyko niezależne od Przedsiębiorstwa, niemożliwe do</w:t>
            </w:r>
            <w:r>
              <w:rPr>
                <w:sz w:val="20"/>
                <w:szCs w:val="20"/>
              </w:rPr>
              <w:t xml:space="preserve"> </w:t>
            </w:r>
            <w:r w:rsidRPr="00A5609B">
              <w:rPr>
                <w:sz w:val="20"/>
                <w:szCs w:val="20"/>
              </w:rPr>
              <w:t>przewidzenia na podstawie analiz z warunków pogodowych w</w:t>
            </w:r>
            <w:r>
              <w:rPr>
                <w:sz w:val="20"/>
                <w:szCs w:val="20"/>
              </w:rPr>
              <w:t xml:space="preserve"> </w:t>
            </w:r>
            <w:r w:rsidRPr="00A5609B">
              <w:rPr>
                <w:sz w:val="20"/>
                <w:szCs w:val="20"/>
              </w:rPr>
              <w:t>poprzednich latach. O trwałych zmianach klimatycznych można</w:t>
            </w:r>
            <w:r>
              <w:rPr>
                <w:sz w:val="20"/>
                <w:szCs w:val="20"/>
              </w:rPr>
              <w:t xml:space="preserve"> </w:t>
            </w:r>
            <w:r w:rsidRPr="00A5609B">
              <w:rPr>
                <w:sz w:val="20"/>
                <w:szCs w:val="20"/>
              </w:rPr>
              <w:t>mówić na podstawie obserwacji zmian klimatu w okresach znacznie</w:t>
            </w:r>
            <w:r>
              <w:rPr>
                <w:sz w:val="20"/>
                <w:szCs w:val="20"/>
              </w:rPr>
              <w:t xml:space="preserve"> </w:t>
            </w:r>
            <w:r w:rsidRPr="00A5609B">
              <w:rPr>
                <w:sz w:val="20"/>
                <w:szCs w:val="20"/>
              </w:rPr>
              <w:t xml:space="preserve">dłuższych </w:t>
            </w:r>
            <w:r>
              <w:rPr>
                <w:sz w:val="20"/>
                <w:szCs w:val="20"/>
              </w:rPr>
              <w:t>niż okres wymaganej trwałości”, co sugeruje, że Beneficjent w ramach analizy ryzyka nie rozpatrywał dłuższego okresu, w którym to istotne ryzyko będzie miało coraz większe znaczenie, jedynie rozpatrywano wymagany okres trwałości projektu.</w:t>
            </w:r>
          </w:p>
        </w:tc>
      </w:tr>
      <w:tr w:rsidR="00E10773" w14:paraId="0BAA842A" w14:textId="77777777" w:rsidTr="00C63E3F">
        <w:tc>
          <w:tcPr>
            <w:tcW w:w="13994" w:type="dxa"/>
            <w:gridSpan w:val="5"/>
            <w:shd w:val="clear" w:color="auto" w:fill="E2EFD9" w:themeFill="accent6" w:themeFillTint="33"/>
          </w:tcPr>
          <w:p w14:paraId="757B0638" w14:textId="77227E0F" w:rsidR="00E10773" w:rsidRPr="00E7407F" w:rsidRDefault="00E10773" w:rsidP="00E10773">
            <w:pPr>
              <w:rPr>
                <w:b/>
                <w:sz w:val="20"/>
                <w:szCs w:val="20"/>
              </w:rPr>
            </w:pPr>
            <w:r>
              <w:rPr>
                <w:b/>
                <w:sz w:val="20"/>
                <w:szCs w:val="20"/>
              </w:rPr>
              <w:t>OCENA PODEJŚCIA DO SZACOWANIA RYZYK KLIMATYCZNYCH W KONTEKŚCIE ZAŁOŻEŃ PO</w:t>
            </w:r>
            <w:r w:rsidR="00D41775">
              <w:rPr>
                <w:b/>
                <w:sz w:val="20"/>
                <w:szCs w:val="20"/>
              </w:rPr>
              <w:t>RADNIKA</w:t>
            </w:r>
          </w:p>
        </w:tc>
      </w:tr>
      <w:tr w:rsidR="00E10773" w14:paraId="5D3801AD" w14:textId="77777777" w:rsidTr="00C63E3F">
        <w:tc>
          <w:tcPr>
            <w:tcW w:w="13994" w:type="dxa"/>
            <w:gridSpan w:val="5"/>
            <w:shd w:val="clear" w:color="auto" w:fill="auto"/>
          </w:tcPr>
          <w:p w14:paraId="632D558E" w14:textId="177E7AED" w:rsidR="00E10773" w:rsidRPr="00FB363E" w:rsidRDefault="007155C1" w:rsidP="007155C1">
            <w:pPr>
              <w:jc w:val="both"/>
              <w:rPr>
                <w:sz w:val="20"/>
              </w:rPr>
            </w:pPr>
            <w:r>
              <w:rPr>
                <w:sz w:val="20"/>
                <w:szCs w:val="20"/>
              </w:rPr>
              <w:t xml:space="preserve">W ramach SW </w:t>
            </w:r>
            <w:r>
              <w:rPr>
                <w:sz w:val="20"/>
              </w:rPr>
              <w:t>przeprowadzono ogólną analizę</w:t>
            </w:r>
            <w:r w:rsidR="00E10773" w:rsidRPr="001D33B0">
              <w:rPr>
                <w:sz w:val="20"/>
              </w:rPr>
              <w:t xml:space="preserve"> ryzyk</w:t>
            </w:r>
            <w:r>
              <w:rPr>
                <w:sz w:val="20"/>
              </w:rPr>
              <w:t>a, w której ujęto kwestie czynników</w:t>
            </w:r>
            <w:r w:rsidR="00E10773" w:rsidRPr="001D33B0">
              <w:rPr>
                <w:sz w:val="20"/>
              </w:rPr>
              <w:t xml:space="preserve"> klimatycznych</w:t>
            </w:r>
            <w:r>
              <w:rPr>
                <w:sz w:val="20"/>
              </w:rPr>
              <w:t>, lecz nie</w:t>
            </w:r>
            <w:r w:rsidR="00E10773" w:rsidRPr="001D33B0">
              <w:rPr>
                <w:sz w:val="20"/>
              </w:rPr>
              <w:t xml:space="preserve"> była </w:t>
            </w:r>
            <w:r>
              <w:rPr>
                <w:sz w:val="20"/>
              </w:rPr>
              <w:t xml:space="preserve">ona </w:t>
            </w:r>
            <w:r w:rsidR="00E10773" w:rsidRPr="001D33B0">
              <w:rPr>
                <w:sz w:val="20"/>
              </w:rPr>
              <w:t xml:space="preserve">poprzedzona analizą wrażliwości, ekspozycji i podatności na czynniki klimatyczne. Dla kluczowych czynników wskazano przyjęte w projekcie założenia technologiczne, które wskazują na odporność na kluczowe czynniki klimatyczne. </w:t>
            </w:r>
            <w:r>
              <w:rPr>
                <w:sz w:val="20"/>
              </w:rPr>
              <w:t>Dla okresu</w:t>
            </w:r>
            <w:r w:rsidR="00E10773" w:rsidRPr="001D33B0">
              <w:rPr>
                <w:sz w:val="20"/>
              </w:rPr>
              <w:t xml:space="preserve"> eksploatacji </w:t>
            </w:r>
            <w:r>
              <w:rPr>
                <w:sz w:val="20"/>
              </w:rPr>
              <w:t xml:space="preserve">nie </w:t>
            </w:r>
            <w:r w:rsidR="00E10773" w:rsidRPr="001D33B0">
              <w:rPr>
                <w:sz w:val="20"/>
              </w:rPr>
              <w:t xml:space="preserve">wskazano ostatecznie </w:t>
            </w:r>
            <w:r>
              <w:rPr>
                <w:sz w:val="20"/>
              </w:rPr>
              <w:t>żadnego czynnika ryzyka klimatycznego, który mógłby mieć realny wpływ na funkcjonowanie infrastruktury tego typu.</w:t>
            </w:r>
          </w:p>
        </w:tc>
      </w:tr>
      <w:tr w:rsidR="00E10773" w14:paraId="022BCA8E" w14:textId="77777777" w:rsidTr="00C63E3F">
        <w:tc>
          <w:tcPr>
            <w:tcW w:w="13994" w:type="dxa"/>
            <w:gridSpan w:val="5"/>
            <w:shd w:val="clear" w:color="auto" w:fill="E2EFD9" w:themeFill="accent6" w:themeFillTint="33"/>
          </w:tcPr>
          <w:p w14:paraId="48A52290" w14:textId="77777777" w:rsidR="00E10773" w:rsidRPr="006C2FD2" w:rsidRDefault="00E10773" w:rsidP="00E10773">
            <w:pPr>
              <w:rPr>
                <w:b/>
                <w:sz w:val="20"/>
                <w:szCs w:val="20"/>
              </w:rPr>
            </w:pPr>
            <w:r w:rsidRPr="006C2FD2">
              <w:rPr>
                <w:b/>
                <w:sz w:val="20"/>
                <w:szCs w:val="20"/>
              </w:rPr>
              <w:t>ADEKWATNOŚĆ I SKUTECZNOŚĆ ZASTOSOWANYCH ROZWIĄZAŃ ZABEZPIECZAJĄCYCH</w:t>
            </w:r>
          </w:p>
        </w:tc>
      </w:tr>
      <w:tr w:rsidR="00E10773" w14:paraId="4B15B9DA" w14:textId="77777777" w:rsidTr="00C63E3F">
        <w:tc>
          <w:tcPr>
            <w:tcW w:w="13994" w:type="dxa"/>
            <w:gridSpan w:val="5"/>
          </w:tcPr>
          <w:p w14:paraId="3DDFBB00" w14:textId="6A3EA332" w:rsidR="00E10773" w:rsidRPr="007155C1" w:rsidRDefault="00E10773" w:rsidP="00E10773">
            <w:pPr>
              <w:rPr>
                <w:sz w:val="20"/>
              </w:rPr>
            </w:pPr>
            <w:r w:rsidRPr="007155C1">
              <w:rPr>
                <w:sz w:val="20"/>
              </w:rPr>
              <w:t>Proponowane opcje adaptacyjne mają przede wszystkich charakter organizacyjny, nie wpływają na zmianę kształtu projektu.</w:t>
            </w:r>
          </w:p>
        </w:tc>
      </w:tr>
      <w:tr w:rsidR="00E10773" w14:paraId="439C3E8D" w14:textId="77777777" w:rsidTr="00C63E3F">
        <w:tc>
          <w:tcPr>
            <w:tcW w:w="13994" w:type="dxa"/>
            <w:gridSpan w:val="5"/>
            <w:shd w:val="clear" w:color="auto" w:fill="A8D08D" w:themeFill="accent6" w:themeFillTint="99"/>
          </w:tcPr>
          <w:p w14:paraId="1B87CBA5" w14:textId="77777777" w:rsidR="00E10773" w:rsidRDefault="00E10773" w:rsidP="00E10773">
            <w:pPr>
              <w:rPr>
                <w:b/>
              </w:rPr>
            </w:pPr>
            <w:r w:rsidRPr="004662BE">
              <w:rPr>
                <w:b/>
              </w:rPr>
              <w:t>ROZWIĄZANIA ZWIĄZANE Z ŁAGODZENIEM ZMIAN KLIMATU</w:t>
            </w:r>
          </w:p>
        </w:tc>
      </w:tr>
      <w:tr w:rsidR="00E10773" w:rsidRPr="00F928E8" w14:paraId="31A3856D" w14:textId="77777777" w:rsidTr="00C63E3F">
        <w:tc>
          <w:tcPr>
            <w:tcW w:w="13994" w:type="dxa"/>
            <w:gridSpan w:val="5"/>
            <w:shd w:val="clear" w:color="auto" w:fill="E2EFD9" w:themeFill="accent6" w:themeFillTint="33"/>
          </w:tcPr>
          <w:p w14:paraId="5C18773F" w14:textId="77777777" w:rsidR="00E10773" w:rsidRPr="00F928E8" w:rsidRDefault="00E10773" w:rsidP="00E10773">
            <w:pPr>
              <w:rPr>
                <w:b/>
                <w:sz w:val="20"/>
                <w:szCs w:val="20"/>
              </w:rPr>
            </w:pPr>
            <w:r w:rsidRPr="00F928E8">
              <w:rPr>
                <w:b/>
                <w:sz w:val="20"/>
                <w:szCs w:val="20"/>
              </w:rPr>
              <w:t>ZAKRES ZASTOSOWANYCH ROZWIĄZAŃ</w:t>
            </w:r>
          </w:p>
        </w:tc>
      </w:tr>
      <w:tr w:rsidR="00E10773" w14:paraId="71F4E76B" w14:textId="77777777" w:rsidTr="00C63E3F">
        <w:tc>
          <w:tcPr>
            <w:tcW w:w="13994" w:type="dxa"/>
            <w:gridSpan w:val="5"/>
          </w:tcPr>
          <w:p w14:paraId="379F365A" w14:textId="2C7CB1CD" w:rsidR="00E10773" w:rsidRPr="007155C1" w:rsidRDefault="00E10773" w:rsidP="00E10773">
            <w:pPr>
              <w:rPr>
                <w:sz w:val="20"/>
              </w:rPr>
            </w:pPr>
            <w:r w:rsidRPr="007155C1">
              <w:rPr>
                <w:sz w:val="20"/>
              </w:rPr>
              <w:t>brak rozwiązań</w:t>
            </w:r>
          </w:p>
        </w:tc>
      </w:tr>
      <w:tr w:rsidR="00E10773" w:rsidRPr="00F928E8" w14:paraId="64C64EA6" w14:textId="77777777" w:rsidTr="00C63E3F">
        <w:tc>
          <w:tcPr>
            <w:tcW w:w="13994" w:type="dxa"/>
            <w:gridSpan w:val="5"/>
            <w:shd w:val="clear" w:color="auto" w:fill="E2EFD9" w:themeFill="accent6" w:themeFillTint="33"/>
          </w:tcPr>
          <w:p w14:paraId="5B5EF412" w14:textId="77777777" w:rsidR="00E10773" w:rsidRPr="00F928E8" w:rsidRDefault="00E10773" w:rsidP="00E10773">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E10773" w14:paraId="4439876A" w14:textId="77777777" w:rsidTr="00C63E3F">
        <w:tc>
          <w:tcPr>
            <w:tcW w:w="13994" w:type="dxa"/>
            <w:gridSpan w:val="5"/>
          </w:tcPr>
          <w:p w14:paraId="4BA641DD" w14:textId="46BDDEC9" w:rsidR="00E10773" w:rsidRPr="007155C1" w:rsidRDefault="00E10773" w:rsidP="00E10773">
            <w:pPr>
              <w:rPr>
                <w:sz w:val="20"/>
              </w:rPr>
            </w:pPr>
            <w:proofErr w:type="spellStart"/>
            <w:r w:rsidRPr="007155C1">
              <w:rPr>
                <w:sz w:val="20"/>
              </w:rPr>
              <w:t>n.d</w:t>
            </w:r>
            <w:proofErr w:type="spellEnd"/>
            <w:r w:rsidRPr="007155C1">
              <w:rPr>
                <w:sz w:val="20"/>
              </w:rPr>
              <w:t>.</w:t>
            </w:r>
          </w:p>
        </w:tc>
      </w:tr>
      <w:tr w:rsidR="00E10773" w14:paraId="78AD9101" w14:textId="77777777" w:rsidTr="00C63E3F">
        <w:tc>
          <w:tcPr>
            <w:tcW w:w="13994" w:type="dxa"/>
            <w:gridSpan w:val="5"/>
            <w:shd w:val="clear" w:color="auto" w:fill="A8D08D" w:themeFill="accent6" w:themeFillTint="99"/>
          </w:tcPr>
          <w:p w14:paraId="6E0CB5F6" w14:textId="77777777" w:rsidR="00E10773" w:rsidRDefault="00E10773" w:rsidP="00E10773">
            <w:pPr>
              <w:rPr>
                <w:b/>
              </w:rPr>
            </w:pPr>
            <w:r w:rsidRPr="004662BE">
              <w:rPr>
                <w:b/>
              </w:rPr>
              <w:t xml:space="preserve">ROZWIĄZANIA ZWIĄZANE Z </w:t>
            </w:r>
            <w:r>
              <w:rPr>
                <w:b/>
              </w:rPr>
              <w:t>ADAPTACJĄ DO ZMIAN KLIMATU (POZA ZWIĘKSZENIEM ODPORNOŚCI INWESTYCJI)</w:t>
            </w:r>
          </w:p>
        </w:tc>
      </w:tr>
      <w:tr w:rsidR="00E10773" w:rsidRPr="00F928E8" w14:paraId="7562B91C" w14:textId="77777777" w:rsidTr="00C63E3F">
        <w:tc>
          <w:tcPr>
            <w:tcW w:w="13994" w:type="dxa"/>
            <w:gridSpan w:val="5"/>
            <w:shd w:val="clear" w:color="auto" w:fill="E2EFD9" w:themeFill="accent6" w:themeFillTint="33"/>
          </w:tcPr>
          <w:p w14:paraId="35A0D045" w14:textId="77777777" w:rsidR="00E10773" w:rsidRPr="00F928E8" w:rsidRDefault="00E10773" w:rsidP="00E10773">
            <w:pPr>
              <w:rPr>
                <w:b/>
                <w:sz w:val="20"/>
                <w:szCs w:val="20"/>
              </w:rPr>
            </w:pPr>
            <w:r w:rsidRPr="00F928E8">
              <w:rPr>
                <w:b/>
                <w:sz w:val="20"/>
                <w:szCs w:val="20"/>
              </w:rPr>
              <w:t>ZAKRES ZASTOSOWANYCH ROZWIĄZAŃ</w:t>
            </w:r>
          </w:p>
        </w:tc>
      </w:tr>
      <w:tr w:rsidR="00E10773" w14:paraId="500D6AC9" w14:textId="77777777" w:rsidTr="00C63E3F">
        <w:tc>
          <w:tcPr>
            <w:tcW w:w="13994" w:type="dxa"/>
            <w:gridSpan w:val="5"/>
          </w:tcPr>
          <w:p w14:paraId="1146468E" w14:textId="7D18B2A3" w:rsidR="00E10773" w:rsidRPr="007155C1" w:rsidRDefault="00E10773" w:rsidP="00E10773">
            <w:pPr>
              <w:rPr>
                <w:b/>
                <w:sz w:val="20"/>
              </w:rPr>
            </w:pPr>
            <w:r w:rsidRPr="007155C1">
              <w:rPr>
                <w:sz w:val="20"/>
              </w:rPr>
              <w:t>brak rozwiązań</w:t>
            </w:r>
          </w:p>
        </w:tc>
      </w:tr>
      <w:tr w:rsidR="00E10773" w:rsidRPr="00F928E8" w14:paraId="32305DEC" w14:textId="77777777" w:rsidTr="00C63E3F">
        <w:tc>
          <w:tcPr>
            <w:tcW w:w="13994" w:type="dxa"/>
            <w:gridSpan w:val="5"/>
            <w:shd w:val="clear" w:color="auto" w:fill="E2EFD9" w:themeFill="accent6" w:themeFillTint="33"/>
          </w:tcPr>
          <w:p w14:paraId="2DC67983" w14:textId="77777777" w:rsidR="00E10773" w:rsidRPr="00F928E8" w:rsidRDefault="00E10773" w:rsidP="00E10773">
            <w:pPr>
              <w:rPr>
                <w:b/>
                <w:sz w:val="20"/>
                <w:szCs w:val="20"/>
              </w:rPr>
            </w:pPr>
            <w:r>
              <w:rPr>
                <w:b/>
                <w:sz w:val="20"/>
                <w:szCs w:val="20"/>
              </w:rPr>
              <w:lastRenderedPageBreak/>
              <w:t>CHARAKTER ODDZIAŁYWANIA</w:t>
            </w:r>
          </w:p>
        </w:tc>
      </w:tr>
      <w:tr w:rsidR="00E10773" w:rsidRPr="00F928E8" w14:paraId="4CFDFBAA" w14:textId="77777777" w:rsidTr="00C63E3F">
        <w:tc>
          <w:tcPr>
            <w:tcW w:w="13994" w:type="dxa"/>
            <w:gridSpan w:val="5"/>
          </w:tcPr>
          <w:p w14:paraId="22FFDE40" w14:textId="378A0D74" w:rsidR="00E10773" w:rsidRPr="00FB363E" w:rsidRDefault="00E10773" w:rsidP="00E10773">
            <w:pPr>
              <w:rPr>
                <w:sz w:val="20"/>
                <w:szCs w:val="20"/>
              </w:rPr>
            </w:pPr>
            <w:proofErr w:type="spellStart"/>
            <w:r w:rsidRPr="00604C64">
              <w:rPr>
                <w:sz w:val="20"/>
                <w:szCs w:val="20"/>
              </w:rPr>
              <w:t>n.d</w:t>
            </w:r>
            <w:proofErr w:type="spellEnd"/>
            <w:r w:rsidRPr="00604C64">
              <w:rPr>
                <w:sz w:val="20"/>
                <w:szCs w:val="20"/>
              </w:rPr>
              <w:t>.</w:t>
            </w:r>
          </w:p>
        </w:tc>
      </w:tr>
      <w:tr w:rsidR="00E10773" w:rsidRPr="00F928E8" w14:paraId="64DE44F3" w14:textId="77777777" w:rsidTr="00C63E3F">
        <w:tc>
          <w:tcPr>
            <w:tcW w:w="13994" w:type="dxa"/>
            <w:gridSpan w:val="5"/>
            <w:shd w:val="clear" w:color="auto" w:fill="E2EFD9" w:themeFill="accent6" w:themeFillTint="33"/>
          </w:tcPr>
          <w:p w14:paraId="46AC8E5C" w14:textId="77777777" w:rsidR="00E10773" w:rsidRPr="00F928E8" w:rsidRDefault="00E10773" w:rsidP="00E10773">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E10773" w14:paraId="43FA918A" w14:textId="77777777" w:rsidTr="00C63E3F">
        <w:tc>
          <w:tcPr>
            <w:tcW w:w="13994" w:type="dxa"/>
            <w:gridSpan w:val="5"/>
          </w:tcPr>
          <w:p w14:paraId="537B806C" w14:textId="4632E6E5" w:rsidR="00E10773" w:rsidRPr="007155C1" w:rsidRDefault="00E10773" w:rsidP="00E10773">
            <w:pPr>
              <w:rPr>
                <w:sz w:val="20"/>
              </w:rPr>
            </w:pPr>
            <w:proofErr w:type="spellStart"/>
            <w:r w:rsidRPr="007155C1">
              <w:rPr>
                <w:sz w:val="20"/>
              </w:rPr>
              <w:t>n.d</w:t>
            </w:r>
            <w:proofErr w:type="spellEnd"/>
            <w:r w:rsidRPr="007155C1">
              <w:rPr>
                <w:sz w:val="20"/>
              </w:rPr>
              <w:t>.</w:t>
            </w:r>
          </w:p>
        </w:tc>
      </w:tr>
    </w:tbl>
    <w:p w14:paraId="7EAE40F5" w14:textId="77777777" w:rsidR="003272F3" w:rsidRDefault="003272F3" w:rsidP="006A0215">
      <w:pPr>
        <w:rPr>
          <w:b/>
          <w:sz w:val="32"/>
          <w:szCs w:val="32"/>
        </w:rPr>
      </w:pPr>
    </w:p>
    <w:p w14:paraId="38812809" w14:textId="33C624A1" w:rsidR="00B95F15" w:rsidRPr="00D41775" w:rsidRDefault="00C76E2A" w:rsidP="006A0215">
      <w:pPr>
        <w:rPr>
          <w:b/>
          <w:sz w:val="32"/>
          <w:szCs w:val="32"/>
        </w:rPr>
      </w:pPr>
      <w:r w:rsidRPr="00DE2465">
        <w:rPr>
          <w:b/>
          <w:sz w:val="32"/>
          <w:szCs w:val="32"/>
        </w:rPr>
        <w:t>SKALA ODDZIAŁYWANIA STOSOWANYCH ROZWIĄZAŃ</w:t>
      </w:r>
    </w:p>
    <w:tbl>
      <w:tblPr>
        <w:tblStyle w:val="Tabela-Siatka"/>
        <w:tblW w:w="0" w:type="auto"/>
        <w:tblLook w:val="04A0" w:firstRow="1" w:lastRow="0" w:firstColumn="1" w:lastColumn="0" w:noHBand="0" w:noVBand="1"/>
      </w:tblPr>
      <w:tblGrid>
        <w:gridCol w:w="6232"/>
        <w:gridCol w:w="7655"/>
      </w:tblGrid>
      <w:tr w:rsidR="004662BE" w14:paraId="18940BAD" w14:textId="77777777" w:rsidTr="00320904">
        <w:tc>
          <w:tcPr>
            <w:tcW w:w="13887" w:type="dxa"/>
            <w:gridSpan w:val="2"/>
            <w:shd w:val="clear" w:color="auto" w:fill="E2EFD9" w:themeFill="accent6" w:themeFillTint="33"/>
          </w:tcPr>
          <w:p w14:paraId="4DE9ACB9" w14:textId="77777777"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14:paraId="5F4CCDB6" w14:textId="77777777" w:rsidTr="00CC643A">
        <w:tc>
          <w:tcPr>
            <w:tcW w:w="6232" w:type="dxa"/>
            <w:shd w:val="clear" w:color="auto" w:fill="92D050"/>
          </w:tcPr>
          <w:p w14:paraId="0290B6DB"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04C39C38"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14:paraId="4DBF94B6" w14:textId="77777777" w:rsidTr="00CC643A">
        <w:tc>
          <w:tcPr>
            <w:tcW w:w="6232" w:type="dxa"/>
          </w:tcPr>
          <w:p w14:paraId="207CA6E3" w14:textId="77777777" w:rsidR="006E3C60" w:rsidRPr="00604C64" w:rsidRDefault="00604C64" w:rsidP="006E3C60">
            <w:pPr>
              <w:rPr>
                <w:rFonts w:cstheme="minorHAns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691B0C9B" w14:textId="77777777" w:rsidR="006E3C60" w:rsidRPr="006E3C60" w:rsidRDefault="00604C64" w:rsidP="006E3C60">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6E3C60" w14:paraId="5783835A" w14:textId="77777777" w:rsidTr="00320904">
        <w:tc>
          <w:tcPr>
            <w:tcW w:w="13887" w:type="dxa"/>
            <w:gridSpan w:val="2"/>
            <w:shd w:val="clear" w:color="auto" w:fill="E2EFD9" w:themeFill="accent6" w:themeFillTint="33"/>
          </w:tcPr>
          <w:p w14:paraId="49B8F45E" w14:textId="77777777"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14:paraId="50B63A9A" w14:textId="77777777" w:rsidTr="00CC643A">
        <w:tc>
          <w:tcPr>
            <w:tcW w:w="6232" w:type="dxa"/>
            <w:shd w:val="clear" w:color="auto" w:fill="92D050"/>
          </w:tcPr>
          <w:p w14:paraId="6B52FF4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6A18B3C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14:paraId="65A8B9F0" w14:textId="77777777" w:rsidTr="00CC643A">
        <w:tc>
          <w:tcPr>
            <w:tcW w:w="6232" w:type="dxa"/>
          </w:tcPr>
          <w:p w14:paraId="79F3073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7B6826E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CC643A" w14:paraId="28BD9417" w14:textId="77777777" w:rsidTr="00320904">
        <w:tc>
          <w:tcPr>
            <w:tcW w:w="13887" w:type="dxa"/>
            <w:gridSpan w:val="2"/>
            <w:shd w:val="clear" w:color="auto" w:fill="E2EFD9" w:themeFill="accent6" w:themeFillTint="33"/>
          </w:tcPr>
          <w:p w14:paraId="14F2268C" w14:textId="77777777"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14:paraId="36C1C9BD" w14:textId="77777777" w:rsidTr="00CC643A">
        <w:tc>
          <w:tcPr>
            <w:tcW w:w="13887" w:type="dxa"/>
            <w:gridSpan w:val="2"/>
          </w:tcPr>
          <w:p w14:paraId="0BE6F7EC" w14:textId="77777777" w:rsidR="00CC643A" w:rsidRPr="00CC643A" w:rsidRDefault="006C44ED" w:rsidP="00CC643A">
            <w:pPr>
              <w:rPr>
                <w:rFonts w:cstheme="minorHAnsi"/>
                <w:i/>
                <w:lang w:eastAsia="pl-PL"/>
              </w:rPr>
            </w:pPr>
            <w:proofErr w:type="spellStart"/>
            <w:r w:rsidRPr="00604C64">
              <w:rPr>
                <w:rFonts w:cstheme="minorHAnsi"/>
                <w:lang w:eastAsia="pl-PL"/>
              </w:rPr>
              <w:t>n.d</w:t>
            </w:r>
            <w:proofErr w:type="spellEnd"/>
            <w:r w:rsidRPr="00604C64">
              <w:rPr>
                <w:rFonts w:cstheme="minorHAnsi"/>
                <w:lang w:eastAsia="pl-PL"/>
              </w:rPr>
              <w:t>.</w:t>
            </w:r>
          </w:p>
        </w:tc>
      </w:tr>
    </w:tbl>
    <w:p w14:paraId="4365298F" w14:textId="77777777" w:rsidR="004662BE" w:rsidRDefault="004662BE" w:rsidP="006A0215">
      <w:pPr>
        <w:rPr>
          <w:rFonts w:cstheme="minorHAnsi"/>
          <w:lang w:eastAsia="pl-PL"/>
        </w:rPr>
      </w:pPr>
    </w:p>
    <w:p w14:paraId="1AF81AE2" w14:textId="77777777" w:rsidR="00D86DD6" w:rsidRPr="004E4D11" w:rsidRDefault="00C76E2A" w:rsidP="00DE2465">
      <w:pPr>
        <w:rPr>
          <w:rFonts w:cstheme="minorHAnsi"/>
          <w:b/>
          <w:sz w:val="32"/>
          <w:szCs w:val="32"/>
          <w:lang w:eastAsia="pl-PL"/>
        </w:rPr>
      </w:pPr>
      <w:r w:rsidRPr="004E4D11">
        <w:rPr>
          <w:rFonts w:cstheme="minorHAnsi"/>
          <w:b/>
          <w:sz w:val="32"/>
          <w:szCs w:val="32"/>
          <w:lang w:eastAsia="pl-PL"/>
        </w:rPr>
        <w:t>KOSZTY I KORZYŚCI</w:t>
      </w:r>
    </w:p>
    <w:tbl>
      <w:tblPr>
        <w:tblStyle w:val="Tabela-Siatka"/>
        <w:tblW w:w="0" w:type="auto"/>
        <w:tblLook w:val="04A0" w:firstRow="1" w:lastRow="0" w:firstColumn="1" w:lastColumn="0" w:noHBand="0" w:noVBand="1"/>
      </w:tblPr>
      <w:tblGrid>
        <w:gridCol w:w="3315"/>
        <w:gridCol w:w="3322"/>
        <w:gridCol w:w="3669"/>
        <w:gridCol w:w="3688"/>
      </w:tblGrid>
      <w:tr w:rsidR="008615EE" w14:paraId="39D54D60" w14:textId="77777777" w:rsidTr="00320904">
        <w:tc>
          <w:tcPr>
            <w:tcW w:w="3498" w:type="dxa"/>
            <w:shd w:val="clear" w:color="auto" w:fill="A8D08D" w:themeFill="accent6" w:themeFillTint="99"/>
          </w:tcPr>
          <w:p w14:paraId="3B2C11F7" w14:textId="77777777"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A8D08D" w:themeFill="accent6" w:themeFillTint="99"/>
          </w:tcPr>
          <w:p w14:paraId="24B9FD9C" w14:textId="77777777" w:rsidR="008615EE" w:rsidRPr="006C2FD2" w:rsidRDefault="008615EE" w:rsidP="006A0215">
            <w:pPr>
              <w:rPr>
                <w:rFonts w:cstheme="minorHAnsi"/>
                <w:b/>
                <w:lang w:eastAsia="pl-PL"/>
              </w:rPr>
            </w:pPr>
            <w:r w:rsidRPr="006C2FD2">
              <w:rPr>
                <w:rFonts w:cstheme="minorHAnsi"/>
                <w:b/>
                <w:lang w:eastAsia="pl-PL"/>
              </w:rPr>
              <w:t xml:space="preserve">ROZWIĄZANIA ZWIĄZANE ZE ZWIĘKSZANIEM ODPORNOŚCI INWESTYCJI </w:t>
            </w:r>
          </w:p>
        </w:tc>
        <w:tc>
          <w:tcPr>
            <w:tcW w:w="3499" w:type="dxa"/>
            <w:shd w:val="clear" w:color="auto" w:fill="A8D08D" w:themeFill="accent6" w:themeFillTint="99"/>
          </w:tcPr>
          <w:p w14:paraId="0E430B16" w14:textId="77777777" w:rsidR="008615EE" w:rsidRPr="006C2FD2" w:rsidRDefault="007A4A0C" w:rsidP="006A0215">
            <w:pPr>
              <w:rPr>
                <w:rFonts w:cstheme="minorHAnsi"/>
                <w:b/>
                <w:lang w:eastAsia="pl-PL"/>
              </w:rPr>
            </w:pPr>
            <w:r w:rsidRPr="006C2FD2">
              <w:rPr>
                <w:rFonts w:cstheme="minorHAnsi"/>
                <w:b/>
                <w:lang w:eastAsia="pl-PL"/>
              </w:rPr>
              <w:t>ROZWIĄZANIA ZWIĄZANE Z ADAPTACJĄ (INNE)</w:t>
            </w:r>
          </w:p>
        </w:tc>
        <w:tc>
          <w:tcPr>
            <w:tcW w:w="3499" w:type="dxa"/>
            <w:shd w:val="clear" w:color="auto" w:fill="A8D08D" w:themeFill="accent6" w:themeFillTint="99"/>
          </w:tcPr>
          <w:p w14:paraId="3D0D146C" w14:textId="77777777" w:rsidR="008615EE" w:rsidRPr="006C2FD2" w:rsidRDefault="007A4A0C" w:rsidP="006A0215">
            <w:pPr>
              <w:rPr>
                <w:rFonts w:cstheme="minorHAnsi"/>
                <w:b/>
                <w:lang w:eastAsia="pl-PL"/>
              </w:rPr>
            </w:pPr>
            <w:r w:rsidRPr="006C2FD2">
              <w:rPr>
                <w:rFonts w:cstheme="minorHAnsi"/>
                <w:b/>
                <w:lang w:eastAsia="pl-PL"/>
              </w:rPr>
              <w:t>ROZWIĄZANIA ZWIĄZANE Z ŁAGODZENIEM ZMIAN KLIMATU (INNE)</w:t>
            </w:r>
          </w:p>
        </w:tc>
      </w:tr>
      <w:tr w:rsidR="007A4A0C" w14:paraId="63F14F38" w14:textId="77777777" w:rsidTr="008615EE">
        <w:tc>
          <w:tcPr>
            <w:tcW w:w="3498" w:type="dxa"/>
          </w:tcPr>
          <w:p w14:paraId="4706230F" w14:textId="77777777"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14:paraId="517BBF5B" w14:textId="544EC0DB" w:rsidR="007A4A0C" w:rsidRPr="00FB363E" w:rsidRDefault="00FB363E" w:rsidP="007A4A0C">
            <w:pPr>
              <w:jc w:val="center"/>
              <w:rPr>
                <w:rFonts w:cstheme="minorHAnsi"/>
                <w:lang w:eastAsia="pl-PL"/>
              </w:rPr>
            </w:pPr>
            <w:r>
              <w:rPr>
                <w:rFonts w:cstheme="minorHAnsi"/>
                <w:lang w:eastAsia="pl-PL"/>
              </w:rPr>
              <w:t>NIE</w:t>
            </w:r>
          </w:p>
        </w:tc>
        <w:tc>
          <w:tcPr>
            <w:tcW w:w="3499" w:type="dxa"/>
          </w:tcPr>
          <w:p w14:paraId="1368D5C9" w14:textId="77777777" w:rsidR="007A4A0C" w:rsidRPr="00FB363E" w:rsidRDefault="007A4A0C" w:rsidP="007A4A0C">
            <w:pPr>
              <w:jc w:val="center"/>
              <w:rPr>
                <w:rFonts w:cstheme="minorHAnsi"/>
                <w:lang w:eastAsia="pl-PL"/>
              </w:rPr>
            </w:pPr>
            <w:r w:rsidRPr="00FB363E">
              <w:rPr>
                <w:rFonts w:cstheme="minorHAnsi"/>
                <w:lang w:eastAsia="pl-PL"/>
              </w:rPr>
              <w:t>NIE</w:t>
            </w:r>
          </w:p>
        </w:tc>
        <w:tc>
          <w:tcPr>
            <w:tcW w:w="3499" w:type="dxa"/>
          </w:tcPr>
          <w:p w14:paraId="37DE3DB0" w14:textId="423E8EE6" w:rsidR="007A4A0C" w:rsidRPr="00FB363E" w:rsidRDefault="007155C1" w:rsidP="007A4A0C">
            <w:pPr>
              <w:jc w:val="center"/>
              <w:rPr>
                <w:rFonts w:cstheme="minorHAnsi"/>
                <w:lang w:eastAsia="pl-PL"/>
              </w:rPr>
            </w:pPr>
            <w:r>
              <w:rPr>
                <w:rFonts w:cstheme="minorHAnsi"/>
                <w:lang w:eastAsia="pl-PL"/>
              </w:rPr>
              <w:t>TAK</w:t>
            </w:r>
          </w:p>
        </w:tc>
      </w:tr>
      <w:tr w:rsidR="007A4A0C" w14:paraId="2BF710A9" w14:textId="77777777" w:rsidTr="00320904">
        <w:tc>
          <w:tcPr>
            <w:tcW w:w="13994" w:type="dxa"/>
            <w:gridSpan w:val="4"/>
            <w:shd w:val="clear" w:color="auto" w:fill="E2EFD9" w:themeFill="accent6" w:themeFillTint="33"/>
          </w:tcPr>
          <w:p w14:paraId="3B78FFB8" w14:textId="77777777" w:rsidR="007A4A0C" w:rsidRPr="006C2FD2" w:rsidRDefault="0015763D" w:rsidP="007A4A0C">
            <w:pPr>
              <w:rPr>
                <w:rFonts w:cstheme="minorHAnsi"/>
                <w:b/>
                <w:lang w:eastAsia="pl-PL"/>
              </w:rPr>
            </w:pPr>
            <w:r w:rsidRPr="006C2FD2">
              <w:rPr>
                <w:rFonts w:cstheme="minorHAnsi"/>
                <w:b/>
                <w:lang w:eastAsia="pl-PL"/>
              </w:rPr>
              <w:t xml:space="preserve">WPŁYW </w:t>
            </w:r>
            <w:r w:rsidR="007A4A0C" w:rsidRPr="006C2FD2">
              <w:rPr>
                <w:rFonts w:cstheme="minorHAnsi"/>
                <w:b/>
                <w:lang w:eastAsia="pl-PL"/>
              </w:rPr>
              <w:t>KOSZTY</w:t>
            </w:r>
          </w:p>
        </w:tc>
      </w:tr>
      <w:tr w:rsidR="007A4A0C" w14:paraId="77E27570" w14:textId="77777777" w:rsidTr="00E53715">
        <w:tc>
          <w:tcPr>
            <w:tcW w:w="3498" w:type="dxa"/>
          </w:tcPr>
          <w:p w14:paraId="4046DC91" w14:textId="77777777"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14:paraId="798870DA" w14:textId="77777777" w:rsidR="00670CF5" w:rsidRPr="007155C1" w:rsidRDefault="002F6113" w:rsidP="00D42B11">
            <w:pPr>
              <w:jc w:val="both"/>
              <w:rPr>
                <w:rFonts w:cstheme="minorHAnsi"/>
                <w:sz w:val="20"/>
                <w:lang w:eastAsia="pl-PL"/>
              </w:rPr>
            </w:pPr>
            <w:r w:rsidRPr="007155C1">
              <w:rPr>
                <w:rFonts w:cstheme="minorHAnsi"/>
                <w:sz w:val="20"/>
                <w:lang w:eastAsia="pl-PL"/>
              </w:rPr>
              <w:t xml:space="preserve">Nie określono kosztów </w:t>
            </w:r>
            <w:r w:rsidR="0015763D" w:rsidRPr="007155C1">
              <w:rPr>
                <w:rFonts w:cstheme="minorHAnsi"/>
                <w:sz w:val="20"/>
                <w:lang w:eastAsia="pl-PL"/>
              </w:rPr>
              <w:t>ponoszon</w:t>
            </w:r>
            <w:r w:rsidR="00670CF5" w:rsidRPr="007155C1">
              <w:rPr>
                <w:rFonts w:cstheme="minorHAnsi"/>
                <w:sz w:val="20"/>
                <w:lang w:eastAsia="pl-PL"/>
              </w:rPr>
              <w:t>ych</w:t>
            </w:r>
            <w:r w:rsidR="0015763D" w:rsidRPr="007155C1">
              <w:rPr>
                <w:rFonts w:cstheme="minorHAnsi"/>
                <w:sz w:val="20"/>
                <w:lang w:eastAsia="pl-PL"/>
              </w:rPr>
              <w:t xml:space="preserve"> na zwiększanie odporności inwestycji na zmiany klimatu, zagrożenia klęskami żywiołowymi lub katastrofami naturalnymi</w:t>
            </w:r>
            <w:r w:rsidR="00A0683D" w:rsidRPr="007155C1">
              <w:rPr>
                <w:rFonts w:cstheme="minorHAnsi"/>
                <w:sz w:val="20"/>
                <w:lang w:eastAsia="pl-PL"/>
              </w:rPr>
              <w:t>.</w:t>
            </w:r>
          </w:p>
          <w:p w14:paraId="025E54A8" w14:textId="38914143" w:rsidR="00A0683D" w:rsidRPr="007155C1" w:rsidRDefault="00670CF5" w:rsidP="007155C1">
            <w:pPr>
              <w:jc w:val="both"/>
              <w:rPr>
                <w:rFonts w:cstheme="minorHAnsi"/>
                <w:sz w:val="20"/>
                <w:lang w:eastAsia="pl-PL"/>
              </w:rPr>
            </w:pPr>
            <w:r w:rsidRPr="007155C1">
              <w:rPr>
                <w:sz w:val="20"/>
              </w:rPr>
              <w:t>Zapewnienie odporności związane jest z doborem odpowiedniej technologii</w:t>
            </w:r>
            <w:r w:rsidR="007155C1">
              <w:rPr>
                <w:sz w:val="20"/>
              </w:rPr>
              <w:t xml:space="preserve"> wykonania, która obecnie jest najnowocześniejszą</w:t>
            </w:r>
            <w:r w:rsidRPr="007155C1">
              <w:rPr>
                <w:sz w:val="20"/>
              </w:rPr>
              <w:t xml:space="preserve"> technologią</w:t>
            </w:r>
            <w:r w:rsidR="007155C1">
              <w:rPr>
                <w:sz w:val="20"/>
              </w:rPr>
              <w:t xml:space="preserve"> – technologia rur preizolowanych</w:t>
            </w:r>
            <w:r w:rsidRPr="007155C1">
              <w:rPr>
                <w:sz w:val="20"/>
              </w:rPr>
              <w:t xml:space="preserve"> (nie są to dodatkowe działania inwestycyjne, które można odrębnie wycenić). W związku z tym nie ma możliwości określenia</w:t>
            </w:r>
            <w:r w:rsidR="00D42B11" w:rsidRPr="007155C1">
              <w:rPr>
                <w:sz w:val="20"/>
              </w:rPr>
              <w:t>,</w:t>
            </w:r>
            <w:r w:rsidRPr="007155C1">
              <w:rPr>
                <w:sz w:val="20"/>
              </w:rPr>
              <w:t xml:space="preserve"> jaka część kosztów dotyczy </w:t>
            </w:r>
            <w:r w:rsidRPr="007155C1">
              <w:rPr>
                <w:rFonts w:cstheme="minorHAnsi"/>
                <w:sz w:val="20"/>
                <w:lang w:eastAsia="pl-PL"/>
              </w:rPr>
              <w:t>zwiększania odporności inwestycji na zmiany klimatu.</w:t>
            </w:r>
          </w:p>
        </w:tc>
      </w:tr>
      <w:tr w:rsidR="00D42B11" w14:paraId="503BC868" w14:textId="77777777" w:rsidTr="008615EE">
        <w:tc>
          <w:tcPr>
            <w:tcW w:w="3498" w:type="dxa"/>
          </w:tcPr>
          <w:p w14:paraId="45C043AC" w14:textId="77777777" w:rsidR="00D42B11" w:rsidRPr="007A4A0C" w:rsidRDefault="00D42B11" w:rsidP="00D42B11">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7BF1034F" w14:textId="77777777" w:rsidR="00D42B11" w:rsidRPr="00FB363E" w:rsidRDefault="00D42B11" w:rsidP="00D42B11">
            <w:pPr>
              <w:jc w:val="center"/>
              <w:rPr>
                <w:rFonts w:cstheme="minorHAnsi"/>
                <w:lang w:eastAsia="pl-PL"/>
              </w:rPr>
            </w:pPr>
            <w:r w:rsidRPr="00FB363E">
              <w:rPr>
                <w:rFonts w:cstheme="minorHAnsi"/>
                <w:lang w:eastAsia="pl-PL"/>
              </w:rPr>
              <w:t>NIE</w:t>
            </w:r>
          </w:p>
        </w:tc>
        <w:tc>
          <w:tcPr>
            <w:tcW w:w="3499" w:type="dxa"/>
          </w:tcPr>
          <w:p w14:paraId="6818E821" w14:textId="77777777" w:rsidR="00D42B11" w:rsidRPr="00FB363E" w:rsidRDefault="00D42B11" w:rsidP="00D42B11">
            <w:pPr>
              <w:jc w:val="center"/>
            </w:pPr>
            <w:r w:rsidRPr="00FB363E">
              <w:rPr>
                <w:rFonts w:cstheme="minorHAnsi"/>
                <w:lang w:eastAsia="pl-PL"/>
              </w:rPr>
              <w:t>NIE</w:t>
            </w:r>
          </w:p>
        </w:tc>
        <w:tc>
          <w:tcPr>
            <w:tcW w:w="3499" w:type="dxa"/>
          </w:tcPr>
          <w:p w14:paraId="1E8E32B3" w14:textId="29D0AB2C" w:rsidR="00D42B11" w:rsidRPr="00FB363E" w:rsidRDefault="00D42B11" w:rsidP="00D42B11">
            <w:pPr>
              <w:jc w:val="center"/>
            </w:pPr>
            <w:r w:rsidRPr="00FB363E">
              <w:rPr>
                <w:rFonts w:cstheme="minorHAnsi"/>
                <w:lang w:eastAsia="pl-PL"/>
              </w:rPr>
              <w:t>NIE</w:t>
            </w:r>
          </w:p>
        </w:tc>
      </w:tr>
      <w:tr w:rsidR="007A4A0C" w14:paraId="6A587795" w14:textId="77777777" w:rsidTr="00E53715">
        <w:tc>
          <w:tcPr>
            <w:tcW w:w="3498" w:type="dxa"/>
          </w:tcPr>
          <w:p w14:paraId="20840D48" w14:textId="77777777" w:rsidR="007A4A0C" w:rsidRPr="007A4A0C" w:rsidRDefault="007A4A0C" w:rsidP="007A4A0C">
            <w:pPr>
              <w:rPr>
                <w:rFonts w:cstheme="minorHAnsi"/>
                <w:lang w:eastAsia="pl-PL"/>
              </w:rPr>
            </w:pPr>
            <w:r w:rsidRPr="007A4A0C">
              <w:rPr>
                <w:rFonts w:cstheme="minorHAnsi"/>
                <w:lang w:eastAsia="pl-PL"/>
              </w:rPr>
              <w:lastRenderedPageBreak/>
              <w:t>FAZA EKSPLOATACJI</w:t>
            </w:r>
          </w:p>
        </w:tc>
        <w:tc>
          <w:tcPr>
            <w:tcW w:w="10496" w:type="dxa"/>
            <w:gridSpan w:val="3"/>
          </w:tcPr>
          <w:p w14:paraId="04FE5249" w14:textId="77777777" w:rsidR="0015763D" w:rsidRPr="007155C1" w:rsidRDefault="00D42B11" w:rsidP="00A0683D">
            <w:pPr>
              <w:jc w:val="both"/>
              <w:rPr>
                <w:rFonts w:cstheme="minorHAnsi"/>
                <w:sz w:val="20"/>
                <w:lang w:eastAsia="pl-PL"/>
              </w:rPr>
            </w:pPr>
            <w:r w:rsidRPr="007155C1">
              <w:rPr>
                <w:rFonts w:cstheme="minorHAnsi"/>
                <w:sz w:val="20"/>
                <w:lang w:eastAsia="pl-PL"/>
              </w:rPr>
              <w:t>Nie</w:t>
            </w:r>
            <w:r w:rsidR="00670CF5" w:rsidRPr="007155C1">
              <w:rPr>
                <w:rFonts w:cstheme="minorHAnsi"/>
                <w:sz w:val="20"/>
                <w:lang w:eastAsia="pl-PL"/>
              </w:rPr>
              <w:t xml:space="preserve"> określono kosztów ponoszonych na zwiększanie odporności inwestycji na zmiany klimatu, zagrożenia klęskami żywiołowym</w:t>
            </w:r>
            <w:r w:rsidR="00A0683D" w:rsidRPr="007155C1">
              <w:rPr>
                <w:rFonts w:cstheme="minorHAnsi"/>
                <w:sz w:val="20"/>
                <w:lang w:eastAsia="pl-PL"/>
              </w:rPr>
              <w:t>i lub katastrofami naturalnymi.</w:t>
            </w:r>
          </w:p>
          <w:p w14:paraId="2BA766CE" w14:textId="77777777" w:rsidR="00F1705D" w:rsidRPr="007155C1" w:rsidRDefault="00D42B11" w:rsidP="00A0683D">
            <w:pPr>
              <w:jc w:val="both"/>
              <w:rPr>
                <w:rFonts w:cstheme="minorHAnsi"/>
                <w:sz w:val="20"/>
                <w:lang w:eastAsia="pl-PL"/>
              </w:rPr>
            </w:pPr>
            <w:r w:rsidRPr="007155C1">
              <w:rPr>
                <w:rFonts w:cstheme="minorHAnsi"/>
                <w:sz w:val="20"/>
                <w:lang w:eastAsia="pl-PL"/>
              </w:rPr>
              <w:t xml:space="preserve">Analiza przeprowadzona w SW </w:t>
            </w:r>
            <w:r w:rsidR="00670CF5" w:rsidRPr="007155C1">
              <w:rPr>
                <w:rFonts w:cstheme="minorHAnsi"/>
                <w:sz w:val="20"/>
                <w:lang w:eastAsia="pl-PL"/>
              </w:rPr>
              <w:t xml:space="preserve">odnosi się do różnych kategorii kosztów ponoszonych na etapie eksploatacji, </w:t>
            </w:r>
            <w:r w:rsidR="00F1705D" w:rsidRPr="007155C1">
              <w:rPr>
                <w:rFonts w:cstheme="minorHAnsi"/>
                <w:sz w:val="20"/>
                <w:lang w:eastAsia="pl-PL"/>
              </w:rPr>
              <w:t>jednak</w:t>
            </w:r>
            <w:r w:rsidR="00670CF5" w:rsidRPr="007155C1">
              <w:rPr>
                <w:rFonts w:cstheme="minorHAnsi"/>
                <w:sz w:val="20"/>
                <w:lang w:eastAsia="pl-PL"/>
              </w:rPr>
              <w:t xml:space="preserve"> nie </w:t>
            </w:r>
            <w:r w:rsidR="00F1705D" w:rsidRPr="007155C1">
              <w:rPr>
                <w:rFonts w:cstheme="minorHAnsi"/>
                <w:sz w:val="20"/>
                <w:lang w:eastAsia="pl-PL"/>
              </w:rPr>
              <w:t xml:space="preserve">odwołują się one do kosztów opcji związanych ze zwiększaniem odporności inwestycji na zmiany klimatu. </w:t>
            </w:r>
          </w:p>
          <w:p w14:paraId="501FADB9" w14:textId="4D5672B1" w:rsidR="00A0683D" w:rsidRPr="007155C1" w:rsidRDefault="00E10773" w:rsidP="007155C1">
            <w:pPr>
              <w:jc w:val="both"/>
              <w:rPr>
                <w:rFonts w:cstheme="minorHAnsi"/>
                <w:sz w:val="20"/>
                <w:lang w:eastAsia="pl-PL"/>
              </w:rPr>
            </w:pPr>
            <w:r w:rsidRPr="007155C1">
              <w:rPr>
                <w:rFonts w:cstheme="minorHAnsi"/>
                <w:sz w:val="20"/>
                <w:lang w:eastAsia="pl-PL"/>
              </w:rPr>
              <w:t>Projekt będzie generował ko</w:t>
            </w:r>
            <w:r w:rsidR="007155C1">
              <w:rPr>
                <w:rFonts w:cstheme="minorHAnsi"/>
                <w:sz w:val="20"/>
                <w:lang w:eastAsia="pl-PL"/>
              </w:rPr>
              <w:t>rzyści związane z redukcją emisji CO</w:t>
            </w:r>
            <w:r w:rsidR="007155C1" w:rsidRPr="007155C1">
              <w:rPr>
                <w:rFonts w:cstheme="minorHAnsi"/>
                <w:sz w:val="20"/>
                <w:vertAlign w:val="subscript"/>
                <w:lang w:eastAsia="pl-PL"/>
              </w:rPr>
              <w:t>2</w:t>
            </w:r>
            <w:r w:rsidR="007155C1">
              <w:rPr>
                <w:rFonts w:cstheme="minorHAnsi"/>
                <w:sz w:val="20"/>
                <w:lang w:eastAsia="pl-PL"/>
              </w:rPr>
              <w:t>.</w:t>
            </w:r>
          </w:p>
        </w:tc>
      </w:tr>
      <w:tr w:rsidR="00AC3866" w14:paraId="4A3D0BB5" w14:textId="77777777" w:rsidTr="008615EE">
        <w:tc>
          <w:tcPr>
            <w:tcW w:w="3498" w:type="dxa"/>
          </w:tcPr>
          <w:p w14:paraId="5EF0861D" w14:textId="77777777" w:rsidR="00AC3866" w:rsidRPr="007A4A0C" w:rsidRDefault="00AC3866" w:rsidP="00AC3866">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4C55F175" w14:textId="77777777" w:rsidR="00AC3866" w:rsidRPr="00FB363E" w:rsidRDefault="00AC3866" w:rsidP="00AC3866">
            <w:pPr>
              <w:jc w:val="center"/>
              <w:rPr>
                <w:rFonts w:cstheme="minorHAnsi"/>
                <w:lang w:eastAsia="pl-PL"/>
              </w:rPr>
            </w:pPr>
            <w:r w:rsidRPr="00FB363E">
              <w:rPr>
                <w:rFonts w:cstheme="minorHAnsi"/>
                <w:lang w:eastAsia="pl-PL"/>
              </w:rPr>
              <w:t>NIE</w:t>
            </w:r>
          </w:p>
        </w:tc>
        <w:tc>
          <w:tcPr>
            <w:tcW w:w="3499" w:type="dxa"/>
          </w:tcPr>
          <w:p w14:paraId="181CF710" w14:textId="77777777" w:rsidR="00AC3866" w:rsidRPr="00FB363E" w:rsidRDefault="00D42B11" w:rsidP="00AC3866">
            <w:pPr>
              <w:jc w:val="center"/>
              <w:rPr>
                <w:rFonts w:cstheme="minorHAnsi"/>
                <w:lang w:eastAsia="pl-PL"/>
              </w:rPr>
            </w:pPr>
            <w:r w:rsidRPr="00FB363E">
              <w:rPr>
                <w:rFonts w:cstheme="minorHAnsi"/>
                <w:lang w:eastAsia="pl-PL"/>
              </w:rPr>
              <w:t>NIE</w:t>
            </w:r>
          </w:p>
        </w:tc>
        <w:tc>
          <w:tcPr>
            <w:tcW w:w="3499" w:type="dxa"/>
          </w:tcPr>
          <w:p w14:paraId="2A3EE752" w14:textId="77777777" w:rsidR="00AC3866" w:rsidRPr="00FB363E" w:rsidRDefault="00D42B11" w:rsidP="00AC3866">
            <w:pPr>
              <w:jc w:val="center"/>
              <w:rPr>
                <w:rFonts w:cstheme="minorHAnsi"/>
                <w:lang w:eastAsia="pl-PL"/>
              </w:rPr>
            </w:pPr>
            <w:r w:rsidRPr="00FB363E">
              <w:rPr>
                <w:rFonts w:cstheme="minorHAnsi"/>
                <w:lang w:eastAsia="pl-PL"/>
              </w:rPr>
              <w:t>NIE</w:t>
            </w:r>
          </w:p>
        </w:tc>
      </w:tr>
      <w:tr w:rsidR="007A4A0C" w14:paraId="75F6C48C" w14:textId="77777777" w:rsidTr="00320904">
        <w:tc>
          <w:tcPr>
            <w:tcW w:w="13994" w:type="dxa"/>
            <w:gridSpan w:val="4"/>
            <w:shd w:val="clear" w:color="auto" w:fill="E2EFD9" w:themeFill="accent6" w:themeFillTint="33"/>
          </w:tcPr>
          <w:p w14:paraId="22F6ED35" w14:textId="77777777" w:rsidR="007A4A0C" w:rsidRPr="006C2FD2" w:rsidRDefault="007A4A0C" w:rsidP="007A4A0C">
            <w:pPr>
              <w:rPr>
                <w:rFonts w:cstheme="minorHAnsi"/>
                <w:b/>
                <w:i/>
                <w:lang w:eastAsia="pl-PL"/>
              </w:rPr>
            </w:pPr>
            <w:r w:rsidRPr="006C2FD2">
              <w:rPr>
                <w:rFonts w:cstheme="minorHAnsi"/>
                <w:b/>
                <w:lang w:eastAsia="pl-PL"/>
              </w:rPr>
              <w:t>KORZYŚCI</w:t>
            </w:r>
          </w:p>
        </w:tc>
      </w:tr>
      <w:tr w:rsidR="0015763D" w14:paraId="1B6E69D6" w14:textId="77777777" w:rsidTr="00E53715">
        <w:tc>
          <w:tcPr>
            <w:tcW w:w="3498" w:type="dxa"/>
          </w:tcPr>
          <w:p w14:paraId="16DF14D7" w14:textId="77777777"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14:paraId="397D6A93" w14:textId="5F8F94A7" w:rsidR="00A0683D" w:rsidRPr="007155C1" w:rsidRDefault="007155C1" w:rsidP="007155C1">
            <w:pPr>
              <w:jc w:val="both"/>
              <w:rPr>
                <w:rFonts w:cstheme="minorHAnsi"/>
                <w:sz w:val="20"/>
                <w:lang w:eastAsia="pl-PL"/>
              </w:rPr>
            </w:pPr>
            <w:r w:rsidRPr="007155C1">
              <w:rPr>
                <w:rFonts w:cstheme="minorHAnsi"/>
                <w:sz w:val="20"/>
                <w:lang w:eastAsia="pl-PL"/>
              </w:rPr>
              <w:t xml:space="preserve">Zmniejszenie emisji gazów cieplarnianych </w:t>
            </w:r>
            <w:r>
              <w:rPr>
                <w:rFonts w:cstheme="minorHAnsi"/>
                <w:sz w:val="20"/>
                <w:lang w:eastAsia="pl-PL"/>
              </w:rPr>
              <w:t>określono na poziomie</w:t>
            </w:r>
            <w:r w:rsidRPr="007155C1">
              <w:rPr>
                <w:rFonts w:cstheme="minorHAnsi"/>
                <w:sz w:val="20"/>
                <w:lang w:eastAsia="pl-PL"/>
              </w:rPr>
              <w:t xml:space="preserve"> 16 255,64</w:t>
            </w:r>
            <w:r>
              <w:rPr>
                <w:rFonts w:cstheme="minorHAnsi"/>
                <w:sz w:val="20"/>
                <w:lang w:eastAsia="pl-PL"/>
              </w:rPr>
              <w:t xml:space="preserve"> PLN,</w:t>
            </w:r>
            <w:r w:rsidRPr="007155C1">
              <w:rPr>
                <w:rFonts w:cstheme="minorHAnsi"/>
                <w:sz w:val="20"/>
                <w:lang w:eastAsia="pl-PL"/>
              </w:rPr>
              <w:t xml:space="preserve"> % całkowitych korzyści</w:t>
            </w:r>
            <w:r>
              <w:rPr>
                <w:rFonts w:cstheme="minorHAnsi"/>
                <w:sz w:val="20"/>
                <w:lang w:eastAsia="pl-PL"/>
              </w:rPr>
              <w:t xml:space="preserve"> wyniesie </w:t>
            </w:r>
            <w:r w:rsidRPr="007155C1">
              <w:rPr>
                <w:rFonts w:cstheme="minorHAnsi"/>
                <w:sz w:val="20"/>
                <w:lang w:eastAsia="pl-PL"/>
              </w:rPr>
              <w:t>0,35</w:t>
            </w:r>
            <w:r>
              <w:rPr>
                <w:rFonts w:cstheme="minorHAnsi"/>
                <w:sz w:val="20"/>
                <w:lang w:eastAsia="pl-PL"/>
              </w:rPr>
              <w:t>. R</w:t>
            </w:r>
            <w:r w:rsidRPr="007155C1">
              <w:rPr>
                <w:rFonts w:cstheme="minorHAnsi"/>
                <w:sz w:val="20"/>
                <w:lang w:eastAsia="pl-PL"/>
              </w:rPr>
              <w:t>edukcja emisji CO</w:t>
            </w:r>
            <w:r w:rsidRPr="007155C1">
              <w:rPr>
                <w:rFonts w:cstheme="minorHAnsi"/>
                <w:sz w:val="20"/>
                <w:vertAlign w:val="subscript"/>
                <w:lang w:eastAsia="pl-PL"/>
              </w:rPr>
              <w:t>2</w:t>
            </w:r>
            <w:r>
              <w:rPr>
                <w:rFonts w:cstheme="minorHAnsi"/>
                <w:sz w:val="20"/>
                <w:lang w:eastAsia="pl-PL"/>
              </w:rPr>
              <w:t>: wyniesie 77,69 Mg</w:t>
            </w:r>
            <w:r w:rsidRPr="007155C1">
              <w:rPr>
                <w:rFonts w:cstheme="minorHAnsi"/>
                <w:sz w:val="20"/>
                <w:lang w:eastAsia="pl-PL"/>
              </w:rPr>
              <w:t xml:space="preserve"> rocznie</w:t>
            </w:r>
            <w:r>
              <w:rPr>
                <w:rFonts w:cstheme="minorHAnsi"/>
                <w:sz w:val="20"/>
                <w:lang w:eastAsia="pl-PL"/>
              </w:rPr>
              <w:t>.</w:t>
            </w:r>
          </w:p>
        </w:tc>
      </w:tr>
      <w:tr w:rsidR="0015763D" w14:paraId="5700C70F" w14:textId="77777777" w:rsidTr="008615EE">
        <w:tc>
          <w:tcPr>
            <w:tcW w:w="3498" w:type="dxa"/>
          </w:tcPr>
          <w:p w14:paraId="75DF07D0" w14:textId="77777777"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14:paraId="083BA4F0" w14:textId="77777777" w:rsidR="0015763D" w:rsidRPr="006C2FD2" w:rsidRDefault="00AC3866" w:rsidP="0015763D">
            <w:pPr>
              <w:jc w:val="center"/>
              <w:rPr>
                <w:rFonts w:cstheme="minorHAnsi"/>
                <w:lang w:eastAsia="pl-PL"/>
              </w:rPr>
            </w:pPr>
            <w:r w:rsidRPr="006C2FD2">
              <w:rPr>
                <w:rFonts w:cstheme="minorHAnsi"/>
                <w:lang w:eastAsia="pl-PL"/>
              </w:rPr>
              <w:t>NIE</w:t>
            </w:r>
          </w:p>
        </w:tc>
        <w:tc>
          <w:tcPr>
            <w:tcW w:w="3499" w:type="dxa"/>
          </w:tcPr>
          <w:p w14:paraId="73332DBA" w14:textId="77777777" w:rsidR="0015763D" w:rsidRPr="006C2FD2" w:rsidRDefault="00D42B11" w:rsidP="0015763D">
            <w:pPr>
              <w:jc w:val="center"/>
              <w:rPr>
                <w:rFonts w:cstheme="minorHAnsi"/>
                <w:lang w:eastAsia="pl-PL"/>
              </w:rPr>
            </w:pPr>
            <w:r w:rsidRPr="006C2FD2">
              <w:rPr>
                <w:rFonts w:cstheme="minorHAnsi"/>
                <w:lang w:eastAsia="pl-PL"/>
              </w:rPr>
              <w:t>NIE</w:t>
            </w:r>
          </w:p>
        </w:tc>
        <w:tc>
          <w:tcPr>
            <w:tcW w:w="3499" w:type="dxa"/>
          </w:tcPr>
          <w:p w14:paraId="0D6E2EA9" w14:textId="37063AD1" w:rsidR="0015763D" w:rsidRPr="007A4A0C" w:rsidRDefault="00D42B11" w:rsidP="0015763D">
            <w:pPr>
              <w:jc w:val="center"/>
              <w:rPr>
                <w:rFonts w:cstheme="minorHAnsi"/>
                <w:color w:val="4472C4" w:themeColor="accent1"/>
                <w:lang w:eastAsia="pl-PL"/>
              </w:rPr>
            </w:pPr>
            <w:r w:rsidRPr="00AD1DC5">
              <w:rPr>
                <w:rFonts w:cstheme="minorHAnsi"/>
                <w:lang w:eastAsia="pl-PL"/>
              </w:rPr>
              <w:t>NIE</w:t>
            </w:r>
          </w:p>
        </w:tc>
      </w:tr>
      <w:tr w:rsidR="00DE2465" w14:paraId="6CBEA3F0" w14:textId="77777777" w:rsidTr="00E53715">
        <w:tc>
          <w:tcPr>
            <w:tcW w:w="3498" w:type="dxa"/>
          </w:tcPr>
          <w:p w14:paraId="53E17718" w14:textId="77777777" w:rsidR="00DE2465" w:rsidRDefault="00DE2465" w:rsidP="0015763D">
            <w:pPr>
              <w:rPr>
                <w:rFonts w:cstheme="minorHAnsi"/>
                <w:lang w:eastAsia="pl-PL"/>
              </w:rPr>
            </w:pPr>
            <w:r w:rsidRPr="007A4A0C">
              <w:rPr>
                <w:rFonts w:cstheme="minorHAnsi"/>
                <w:lang w:eastAsia="pl-PL"/>
              </w:rPr>
              <w:t>FAKTYCZNE KORZYŚCI</w:t>
            </w:r>
          </w:p>
          <w:p w14:paraId="0BA2BC19" w14:textId="7293B054" w:rsidR="00E10773" w:rsidRPr="00E10773" w:rsidRDefault="00DE2465" w:rsidP="0015763D">
            <w:pPr>
              <w:rPr>
                <w:rFonts w:cstheme="minorHAnsi"/>
                <w:lang w:eastAsia="pl-PL"/>
              </w:rPr>
            </w:pPr>
            <w:r>
              <w:rPr>
                <w:rFonts w:cstheme="minorHAnsi"/>
                <w:lang w:eastAsia="pl-PL"/>
              </w:rPr>
              <w:t>(W TYM UNIKNIĘTE KOSZTY)</w:t>
            </w:r>
          </w:p>
        </w:tc>
        <w:tc>
          <w:tcPr>
            <w:tcW w:w="10496" w:type="dxa"/>
            <w:gridSpan w:val="3"/>
          </w:tcPr>
          <w:p w14:paraId="7D16BF87" w14:textId="5CC2B665" w:rsidR="00DE2465" w:rsidRPr="006C2FD2" w:rsidRDefault="00DE2465" w:rsidP="0015763D">
            <w:pPr>
              <w:rPr>
                <w:rFonts w:cstheme="minorHAnsi"/>
                <w:lang w:eastAsia="pl-PL"/>
              </w:rPr>
            </w:pPr>
          </w:p>
        </w:tc>
      </w:tr>
      <w:tr w:rsidR="001B3B4D" w14:paraId="7B3E9EF9" w14:textId="77777777" w:rsidTr="00320904">
        <w:tc>
          <w:tcPr>
            <w:tcW w:w="13994" w:type="dxa"/>
            <w:gridSpan w:val="4"/>
            <w:shd w:val="clear" w:color="auto" w:fill="E2EFD9" w:themeFill="accent6" w:themeFillTint="33"/>
          </w:tcPr>
          <w:p w14:paraId="68A41ECD" w14:textId="68831011" w:rsidR="001B3B4D" w:rsidRPr="006C2FD2" w:rsidRDefault="001B3B4D" w:rsidP="0015763D">
            <w:pPr>
              <w:rPr>
                <w:rFonts w:cstheme="minorHAnsi"/>
                <w:b/>
                <w:lang w:eastAsia="pl-PL"/>
              </w:rPr>
            </w:pPr>
            <w:r w:rsidRPr="006C2FD2">
              <w:rPr>
                <w:rFonts w:cstheme="minorHAnsi"/>
                <w:b/>
                <w:lang w:eastAsia="pl-PL"/>
              </w:rPr>
              <w:t>SPÓJNOŚĆ Z WYBRANYMI ZAŁOŻENIAMI PO</w:t>
            </w:r>
            <w:r w:rsidR="00D41775">
              <w:rPr>
                <w:rFonts w:cstheme="minorHAnsi"/>
                <w:b/>
                <w:lang w:eastAsia="pl-PL"/>
              </w:rPr>
              <w:t>RADNIKA</w:t>
            </w:r>
          </w:p>
        </w:tc>
      </w:tr>
      <w:tr w:rsidR="001B3B4D" w14:paraId="5B52C67F" w14:textId="77777777" w:rsidTr="00E53715">
        <w:tc>
          <w:tcPr>
            <w:tcW w:w="6996" w:type="dxa"/>
            <w:gridSpan w:val="2"/>
          </w:tcPr>
          <w:p w14:paraId="2C65A401" w14:textId="77777777" w:rsidR="001B3B4D" w:rsidRPr="006C2FD2" w:rsidRDefault="001B3B4D" w:rsidP="0015763D">
            <w:pPr>
              <w:rPr>
                <w:rFonts w:cstheme="minorHAnsi"/>
                <w:b/>
                <w:lang w:eastAsia="pl-PL"/>
              </w:rPr>
            </w:pPr>
            <w:r w:rsidRPr="006C2FD2">
              <w:rPr>
                <w:rFonts w:cstheme="minorHAnsi"/>
                <w:b/>
                <w:lang w:eastAsia="pl-PL"/>
              </w:rPr>
              <w:t>WYODRĘBNIENIE KOSZTÓW I KORZYŚCI</w:t>
            </w:r>
          </w:p>
          <w:p w14:paraId="5251836B" w14:textId="77777777" w:rsidR="001B3B4D" w:rsidRPr="006C2FD2" w:rsidRDefault="001B3B4D" w:rsidP="001B3B4D">
            <w:pPr>
              <w:jc w:val="both"/>
              <w:rPr>
                <w:rFonts w:cstheme="minorHAnsi"/>
                <w:i/>
                <w:lang w:eastAsia="pl-PL"/>
              </w:rPr>
            </w:pPr>
          </w:p>
        </w:tc>
        <w:tc>
          <w:tcPr>
            <w:tcW w:w="6998" w:type="dxa"/>
            <w:gridSpan w:val="2"/>
          </w:tcPr>
          <w:p w14:paraId="0DAB83AD" w14:textId="77777777" w:rsidR="007155C1" w:rsidRPr="007155C1" w:rsidRDefault="007155C1" w:rsidP="007155C1">
            <w:pPr>
              <w:jc w:val="both"/>
              <w:rPr>
                <w:rFonts w:cstheme="minorHAnsi"/>
                <w:sz w:val="20"/>
                <w:lang w:eastAsia="pl-PL"/>
              </w:rPr>
            </w:pPr>
            <w:r w:rsidRPr="007155C1">
              <w:rPr>
                <w:rFonts w:cstheme="minorHAnsi"/>
                <w:sz w:val="20"/>
                <w:lang w:eastAsia="pl-PL"/>
              </w:rPr>
              <w:t>Korzyści z tytułu zmniejszenia emisji gazów cieplarnianych wyceniono z wykorzystaniem ceny uprawnień do emisji CO2 (EUA) - 4,65 euro(CIRE). Cenę przeliczono z wykorzystaniem kursu euro w scenariuszu makroekonomicznym rozwoju Polski</w:t>
            </w:r>
          </w:p>
          <w:p w14:paraId="61A39332" w14:textId="07E72C3D" w:rsidR="001B3B4D" w:rsidRPr="00FB363E" w:rsidRDefault="007155C1" w:rsidP="007155C1">
            <w:pPr>
              <w:jc w:val="both"/>
              <w:rPr>
                <w:rFonts w:cstheme="minorHAnsi"/>
                <w:i/>
                <w:sz w:val="20"/>
                <w:lang w:eastAsia="pl-PL"/>
              </w:rPr>
            </w:pPr>
            <w:r w:rsidRPr="007155C1">
              <w:rPr>
                <w:rFonts w:cstheme="minorHAnsi"/>
                <w:sz w:val="20"/>
                <w:lang w:eastAsia="pl-PL"/>
              </w:rPr>
              <w:t>(</w:t>
            </w:r>
            <w:hyperlink r:id="rId7" w:history="1">
              <w:r w:rsidRPr="00DE79EA">
                <w:rPr>
                  <w:rStyle w:val="Hipercze"/>
                  <w:rFonts w:cstheme="minorHAnsi"/>
                  <w:sz w:val="20"/>
                  <w:lang w:eastAsia="pl-PL"/>
                </w:rPr>
                <w:t>https://www.funduszeeuropejskie.gov.pl/media/7565/20150811_warianty_14_20.pdf</w:t>
              </w:r>
            </w:hyperlink>
            <w:r w:rsidRPr="007155C1">
              <w:rPr>
                <w:rFonts w:cstheme="minorHAnsi"/>
                <w:sz w:val="20"/>
                <w:lang w:eastAsia="pl-PL"/>
              </w:rPr>
              <w:t>.</w:t>
            </w:r>
          </w:p>
        </w:tc>
      </w:tr>
      <w:tr w:rsidR="001B3B4D" w14:paraId="07A612E6" w14:textId="77777777" w:rsidTr="00E53715">
        <w:tc>
          <w:tcPr>
            <w:tcW w:w="6996" w:type="dxa"/>
            <w:gridSpan w:val="2"/>
          </w:tcPr>
          <w:p w14:paraId="1195CE1B" w14:textId="77777777" w:rsidR="001B3B4D" w:rsidRPr="006C2FD2" w:rsidRDefault="001B3B4D" w:rsidP="004E4D11">
            <w:pPr>
              <w:rPr>
                <w:rFonts w:cstheme="minorHAnsi"/>
                <w:lang w:eastAsia="pl-PL"/>
              </w:rPr>
            </w:pPr>
            <w:r w:rsidRPr="006C2FD2">
              <w:rPr>
                <w:rFonts w:cstheme="minorHAnsi"/>
                <w:b/>
                <w:lang w:eastAsia="pl-PL"/>
              </w:rPr>
              <w:t>SPÓJNOŚĆ ZAŁOŻEŃ W ANALI</w:t>
            </w:r>
            <w:r w:rsidR="00482AFF" w:rsidRPr="006C2FD2">
              <w:rPr>
                <w:rFonts w:cstheme="minorHAnsi"/>
                <w:b/>
                <w:lang w:eastAsia="pl-PL"/>
              </w:rPr>
              <w:t>ZIE</w:t>
            </w:r>
            <w:r w:rsidRPr="006C2FD2">
              <w:rPr>
                <w:rFonts w:cstheme="minorHAnsi"/>
                <w:b/>
                <w:lang w:eastAsia="pl-PL"/>
              </w:rPr>
              <w:t xml:space="preserve"> </w:t>
            </w:r>
            <w:r w:rsidR="00482AFF" w:rsidRPr="006C2FD2">
              <w:rPr>
                <w:rFonts w:cstheme="minorHAnsi"/>
                <w:b/>
                <w:lang w:eastAsia="pl-PL"/>
              </w:rPr>
              <w:t>WARIANTÓW NA ETAPIE AKK I OOŚ</w:t>
            </w:r>
            <w:r w:rsidRPr="006C2FD2">
              <w:rPr>
                <w:rFonts w:cstheme="minorHAnsi"/>
                <w:lang w:eastAsia="pl-PL"/>
              </w:rPr>
              <w:t xml:space="preserve"> (dotyczy, jeżeli sporządzono raport OOŚ)</w:t>
            </w:r>
          </w:p>
        </w:tc>
        <w:tc>
          <w:tcPr>
            <w:tcW w:w="6998" w:type="dxa"/>
            <w:gridSpan w:val="2"/>
          </w:tcPr>
          <w:p w14:paraId="3B109EBA" w14:textId="3634CA36" w:rsidR="000A33F8" w:rsidRPr="006C2FD2" w:rsidRDefault="007155C1" w:rsidP="0015763D">
            <w:pPr>
              <w:rPr>
                <w:rFonts w:cstheme="minorHAnsi"/>
                <w:lang w:eastAsia="pl-PL"/>
              </w:rPr>
            </w:pPr>
            <w:r>
              <w:rPr>
                <w:rFonts w:cstheme="minorHAnsi"/>
                <w:lang w:eastAsia="pl-PL"/>
              </w:rPr>
              <w:t>NIE DOTYCZY</w:t>
            </w:r>
          </w:p>
        </w:tc>
      </w:tr>
      <w:tr w:rsidR="001B3B4D" w14:paraId="6DB88EC9" w14:textId="77777777" w:rsidTr="00E53715">
        <w:tc>
          <w:tcPr>
            <w:tcW w:w="6996" w:type="dxa"/>
            <w:gridSpan w:val="2"/>
          </w:tcPr>
          <w:p w14:paraId="092FC66B" w14:textId="7F1E73F8" w:rsidR="00482AFF" w:rsidRPr="006C2FD2" w:rsidRDefault="00482AFF" w:rsidP="00482AFF">
            <w:pPr>
              <w:rPr>
                <w:rFonts w:cstheme="minorHAnsi"/>
                <w:b/>
                <w:lang w:eastAsia="pl-PL"/>
              </w:rPr>
            </w:pPr>
            <w:r w:rsidRPr="006C2FD2">
              <w:rPr>
                <w:rFonts w:cstheme="minorHAnsi"/>
                <w:b/>
                <w:lang w:eastAsia="pl-PL"/>
              </w:rPr>
              <w:t>ODNIESIENIE DO BEZPO</w:t>
            </w:r>
            <w:r w:rsidR="00D41775">
              <w:rPr>
                <w:rFonts w:cstheme="minorHAnsi"/>
                <w:b/>
                <w:lang w:eastAsia="pl-PL"/>
              </w:rPr>
              <w:t>Ś</w:t>
            </w:r>
            <w:r w:rsidRPr="006C2FD2">
              <w:rPr>
                <w:rFonts w:cstheme="minorHAnsi"/>
                <w:b/>
                <w:lang w:eastAsia="pl-PL"/>
              </w:rPr>
              <w:t>REDNICH I POŚREDNICH EMISJI GAZÓW CIEPLARNIANYCH</w:t>
            </w:r>
          </w:p>
        </w:tc>
        <w:tc>
          <w:tcPr>
            <w:tcW w:w="6998" w:type="dxa"/>
            <w:gridSpan w:val="2"/>
          </w:tcPr>
          <w:p w14:paraId="08DBA794" w14:textId="77777777" w:rsidR="001B3B4D" w:rsidRPr="006C2FD2" w:rsidRDefault="007228C7" w:rsidP="0015763D">
            <w:pPr>
              <w:rPr>
                <w:rFonts w:cstheme="minorHAnsi"/>
                <w:lang w:eastAsia="pl-PL"/>
              </w:rPr>
            </w:pPr>
            <w:r w:rsidRPr="006C2FD2">
              <w:rPr>
                <w:rFonts w:cstheme="minorHAnsi"/>
                <w:lang w:eastAsia="pl-PL"/>
              </w:rPr>
              <w:t>TAK</w:t>
            </w:r>
          </w:p>
        </w:tc>
      </w:tr>
    </w:tbl>
    <w:p w14:paraId="5C4AB3CC" w14:textId="77777777" w:rsidR="008615EE" w:rsidRDefault="008615EE" w:rsidP="006A0215">
      <w:pPr>
        <w:rPr>
          <w:rFonts w:cstheme="minorHAnsi"/>
          <w:i/>
          <w:color w:val="4472C4" w:themeColor="accent1"/>
          <w:lang w:eastAsia="pl-PL"/>
        </w:rPr>
      </w:pPr>
    </w:p>
    <w:p w14:paraId="38E07FD6" w14:textId="77777777" w:rsidR="00230E7E" w:rsidRPr="0048086C" w:rsidRDefault="00230E7E" w:rsidP="006A0215">
      <w:pPr>
        <w:rPr>
          <w:b/>
        </w:rPr>
      </w:pPr>
      <w:r w:rsidRPr="0048086C">
        <w:rPr>
          <w:b/>
        </w:rPr>
        <w:t>IDENTYFIKACJA DOBRYCH PRAKTYK</w:t>
      </w:r>
    </w:p>
    <w:p w14:paraId="17950FB5" w14:textId="30E1C29D" w:rsidR="00600253" w:rsidRPr="0048086C" w:rsidRDefault="0048086C" w:rsidP="006A0215">
      <w:pPr>
        <w:rPr>
          <w:rFonts w:cstheme="minorHAnsi"/>
          <w:lang w:eastAsia="pl-PL"/>
        </w:rPr>
      </w:pPr>
      <w:r w:rsidRPr="0048086C">
        <w:rPr>
          <w:rFonts w:cstheme="minorHAnsi"/>
          <w:lang w:eastAsia="pl-PL"/>
        </w:rPr>
        <w:t>NIE ZIDENTYFIKOWANO</w:t>
      </w:r>
      <w:r w:rsidR="001D33B0">
        <w:rPr>
          <w:rFonts w:cstheme="minorHAnsi"/>
          <w:lang w:eastAsia="pl-PL"/>
        </w:rPr>
        <w:t xml:space="preserve"> </w:t>
      </w:r>
    </w:p>
    <w:p w14:paraId="4C8859DC" w14:textId="77777777" w:rsidR="00D74E49" w:rsidRDefault="00D74E49" w:rsidP="006A0215">
      <w:pPr>
        <w:rPr>
          <w:b/>
        </w:rPr>
      </w:pPr>
      <w:r w:rsidRPr="00DE2465">
        <w:rPr>
          <w:b/>
        </w:rPr>
        <w:t>CZYNNIKI OGRANICZAJĄCE ZASTOSOWANIE PORODNIKA</w:t>
      </w:r>
      <w:r w:rsidR="00DE2465">
        <w:rPr>
          <w:b/>
        </w:rPr>
        <w:t xml:space="preserve"> PRZEZ BENEFICJENTÓW</w:t>
      </w:r>
    </w:p>
    <w:p w14:paraId="25EC3539" w14:textId="77777777" w:rsidR="00DE2465" w:rsidRPr="00DE2465" w:rsidRDefault="00DE2465" w:rsidP="006A0215">
      <w:pPr>
        <w:rPr>
          <w:b/>
        </w:rPr>
      </w:pPr>
      <w:r>
        <w:rPr>
          <w:b/>
        </w:rPr>
        <w:t>(na podstawie TDI)</w:t>
      </w:r>
    </w:p>
    <w:p w14:paraId="7107181E" w14:textId="74FECF45" w:rsidR="00A94BB7" w:rsidRPr="00A94BB7" w:rsidRDefault="00A94BB7" w:rsidP="00A94BB7">
      <w:pPr>
        <w:spacing w:before="120" w:after="120" w:line="276" w:lineRule="auto"/>
        <w:jc w:val="both"/>
        <w:rPr>
          <w:rFonts w:cstheme="minorHAnsi"/>
          <w:i/>
          <w:color w:val="C00000"/>
          <w:lang w:eastAsia="pl-PL"/>
        </w:rPr>
      </w:pPr>
      <w:r>
        <w:rPr>
          <w:rFonts w:cstheme="minorHAnsi"/>
          <w:i/>
          <w:color w:val="C00000"/>
          <w:lang w:eastAsia="pl-PL"/>
        </w:rPr>
        <w:lastRenderedPageBreak/>
        <w:t>Beneficjent nie opracowywał dokumentacji, nie potrafił odpowiedzieć na pytanie.</w:t>
      </w:r>
    </w:p>
    <w:p w14:paraId="526FC7E0" w14:textId="77777777" w:rsidR="000D411A" w:rsidRDefault="000D411A" w:rsidP="006A0215">
      <w:pPr>
        <w:rPr>
          <w:b/>
        </w:rPr>
      </w:pPr>
      <w:r w:rsidRPr="000D411A">
        <w:rPr>
          <w:b/>
        </w:rPr>
        <w:t>INNE MATERIAŁY WYKORZYSTYWANE NA ETAPIE PRZYGOTOWANIA PROJEKTÓW</w:t>
      </w:r>
    </w:p>
    <w:p w14:paraId="52292FCD" w14:textId="518705A2" w:rsidR="00A94BB7" w:rsidRPr="00A94BB7" w:rsidRDefault="00A94BB7" w:rsidP="00A94BB7">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1AE086DB" w14:textId="77777777" w:rsidR="00D74E49" w:rsidRDefault="00D74E49" w:rsidP="006A0215">
      <w:pPr>
        <w:rPr>
          <w:b/>
        </w:rPr>
      </w:pPr>
      <w:r w:rsidRPr="00DE2465">
        <w:rPr>
          <w:b/>
        </w:rPr>
        <w:t>CZYNNIKI OGRANICZAJĄCE ZASTOSOWANIE ROZWIĄZAŃ ZWIĄZANYCH ZE ZMIANAMI KLIMATU, ICH ŁAGODZENIEM I PRZYSTOSOWANIEM DO TYCH ZMIAN ORAZ ODPORNOŚCI NA KLĘSKI ŻYWIOŁOWE</w:t>
      </w:r>
    </w:p>
    <w:p w14:paraId="32A25042" w14:textId="77777777" w:rsidR="00DE2465" w:rsidRPr="00DE2465" w:rsidRDefault="00DE2465" w:rsidP="006A0215">
      <w:pPr>
        <w:rPr>
          <w:b/>
        </w:rPr>
      </w:pPr>
      <w:r>
        <w:rPr>
          <w:b/>
        </w:rPr>
        <w:t>(na podstawie TDI)</w:t>
      </w:r>
    </w:p>
    <w:p w14:paraId="6AE93900" w14:textId="179D4D7D" w:rsidR="00A94BB7" w:rsidRPr="00A94BB7" w:rsidRDefault="00A94BB7" w:rsidP="00A94BB7">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0DE471DC" w14:textId="77777777" w:rsidR="00014C2C" w:rsidRPr="000D411A" w:rsidRDefault="000D411A" w:rsidP="00D74E49">
      <w:pPr>
        <w:rPr>
          <w:b/>
        </w:rPr>
      </w:pPr>
      <w:r w:rsidRPr="000D411A">
        <w:rPr>
          <w:b/>
        </w:rPr>
        <w:t>ZAKRES OPCJI KLIMATYCZNYCH STOSOWANYCH W PROJEKTACH FINANSOWANYCH Z INNYCH ŹRÓDEŁ</w:t>
      </w:r>
    </w:p>
    <w:p w14:paraId="0FF0B1F5" w14:textId="77777777" w:rsidR="000D411A" w:rsidRPr="00DE2465" w:rsidRDefault="000D411A" w:rsidP="000D411A">
      <w:pPr>
        <w:rPr>
          <w:b/>
        </w:rPr>
      </w:pPr>
      <w:r>
        <w:rPr>
          <w:b/>
        </w:rPr>
        <w:t>(na podstawie TDI)</w:t>
      </w:r>
    </w:p>
    <w:p w14:paraId="1E9A196F" w14:textId="77777777" w:rsidR="00A94BB7" w:rsidRDefault="00A94BB7" w:rsidP="00A94BB7">
      <w:pPr>
        <w:spacing w:before="120" w:after="120" w:line="276" w:lineRule="auto"/>
        <w:jc w:val="both"/>
        <w:rPr>
          <w:rFonts w:cstheme="minorHAnsi"/>
          <w:i/>
          <w:color w:val="C00000"/>
          <w:lang w:eastAsia="pl-PL"/>
        </w:rPr>
      </w:pPr>
      <w:bookmarkStart w:id="0" w:name="_GoBack"/>
      <w:bookmarkEnd w:id="0"/>
      <w:r>
        <w:rPr>
          <w:rFonts w:cstheme="minorHAnsi"/>
          <w:i/>
          <w:color w:val="C00000"/>
          <w:lang w:eastAsia="pl-PL"/>
        </w:rPr>
        <w:t>Beneficjent nie opracowywał dokumentacji, nie potrafił odpowiedzieć na pytanie.</w:t>
      </w:r>
    </w:p>
    <w:p w14:paraId="186B105E" w14:textId="0435CA2F" w:rsidR="000A33F8" w:rsidRPr="000A33F8" w:rsidRDefault="000A33F8" w:rsidP="00A94BB7">
      <w:pPr>
        <w:spacing w:before="120" w:after="120" w:line="276" w:lineRule="auto"/>
        <w:jc w:val="both"/>
        <w:rPr>
          <w:rFonts w:cstheme="minorHAnsi"/>
          <w:color w:val="FF0000"/>
          <w:lang w:eastAsia="pl-PL"/>
        </w:rPr>
      </w:pPr>
    </w:p>
    <w:sectPr w:rsidR="000A33F8" w:rsidRPr="000A33F8"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68B81" w14:textId="77777777" w:rsidR="004B5AC5" w:rsidRDefault="004B5AC5" w:rsidP="00C63E3F">
      <w:pPr>
        <w:spacing w:after="0" w:line="240" w:lineRule="auto"/>
      </w:pPr>
      <w:r>
        <w:separator/>
      </w:r>
    </w:p>
  </w:endnote>
  <w:endnote w:type="continuationSeparator" w:id="0">
    <w:p w14:paraId="02BF3D4D" w14:textId="77777777" w:rsidR="004B5AC5" w:rsidRDefault="004B5AC5" w:rsidP="00C6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50BDA" w14:textId="77777777" w:rsidR="004B5AC5" w:rsidRDefault="004B5AC5" w:rsidP="00C63E3F">
      <w:pPr>
        <w:spacing w:after="0" w:line="240" w:lineRule="auto"/>
      </w:pPr>
      <w:r>
        <w:separator/>
      </w:r>
    </w:p>
  </w:footnote>
  <w:footnote w:type="continuationSeparator" w:id="0">
    <w:p w14:paraId="35BB2401" w14:textId="77777777" w:rsidR="004B5AC5" w:rsidRDefault="004B5AC5" w:rsidP="00C6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3B74"/>
    <w:multiLevelType w:val="hybridMultilevel"/>
    <w:tmpl w:val="1C24F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50FB0"/>
    <w:multiLevelType w:val="hybridMultilevel"/>
    <w:tmpl w:val="2D18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16F0"/>
    <w:multiLevelType w:val="hybridMultilevel"/>
    <w:tmpl w:val="31C22986"/>
    <w:lvl w:ilvl="0" w:tplc="8FB8EF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9059D"/>
    <w:multiLevelType w:val="hybridMultilevel"/>
    <w:tmpl w:val="0A829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7726BF"/>
    <w:multiLevelType w:val="hybridMultilevel"/>
    <w:tmpl w:val="70B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7" w15:restartNumberingAfterBreak="0">
    <w:nsid w:val="17321088"/>
    <w:multiLevelType w:val="hybridMultilevel"/>
    <w:tmpl w:val="AB124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741C3A"/>
    <w:multiLevelType w:val="hybridMultilevel"/>
    <w:tmpl w:val="11C06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A1F18"/>
    <w:multiLevelType w:val="hybridMultilevel"/>
    <w:tmpl w:val="E5BC2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82C38"/>
    <w:multiLevelType w:val="hybridMultilevel"/>
    <w:tmpl w:val="4336B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B34331"/>
    <w:multiLevelType w:val="hybridMultilevel"/>
    <w:tmpl w:val="DC3EB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530671"/>
    <w:multiLevelType w:val="hybridMultilevel"/>
    <w:tmpl w:val="9C284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E1E37"/>
    <w:multiLevelType w:val="hybridMultilevel"/>
    <w:tmpl w:val="94C26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2C54CD"/>
    <w:multiLevelType w:val="hybridMultilevel"/>
    <w:tmpl w:val="09CE9CB6"/>
    <w:lvl w:ilvl="0" w:tplc="DAB87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CF2BE2"/>
    <w:multiLevelType w:val="hybridMultilevel"/>
    <w:tmpl w:val="7BE6A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4365C7"/>
    <w:multiLevelType w:val="hybridMultilevel"/>
    <w:tmpl w:val="801C4F74"/>
    <w:lvl w:ilvl="0" w:tplc="8F10FCBE">
      <w:start w:val="1"/>
      <w:numFmt w:val="bullet"/>
      <w:lvlText w:val=""/>
      <w:lvlJc w:val="left"/>
      <w:pPr>
        <w:ind w:left="7307"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C906D1"/>
    <w:multiLevelType w:val="hybridMultilevel"/>
    <w:tmpl w:val="7EEC8394"/>
    <w:lvl w:ilvl="0" w:tplc="61B4A1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6"/>
  </w:num>
  <w:num w:numId="2">
    <w:abstractNumId w:val="19"/>
  </w:num>
  <w:num w:numId="3">
    <w:abstractNumId w:val="1"/>
  </w:num>
  <w:num w:numId="4">
    <w:abstractNumId w:val="13"/>
  </w:num>
  <w:num w:numId="5">
    <w:abstractNumId w:val="16"/>
  </w:num>
  <w:num w:numId="6">
    <w:abstractNumId w:val="9"/>
  </w:num>
  <w:num w:numId="7">
    <w:abstractNumId w:val="7"/>
  </w:num>
  <w:num w:numId="8">
    <w:abstractNumId w:val="14"/>
  </w:num>
  <w:num w:numId="9">
    <w:abstractNumId w:val="17"/>
  </w:num>
  <w:num w:numId="10">
    <w:abstractNumId w:val="5"/>
  </w:num>
  <w:num w:numId="11">
    <w:abstractNumId w:val="8"/>
  </w:num>
  <w:num w:numId="12">
    <w:abstractNumId w:val="3"/>
  </w:num>
  <w:num w:numId="13">
    <w:abstractNumId w:val="15"/>
  </w:num>
  <w:num w:numId="14">
    <w:abstractNumId w:val="12"/>
  </w:num>
  <w:num w:numId="15">
    <w:abstractNumId w:val="18"/>
  </w:num>
  <w:num w:numId="16">
    <w:abstractNumId w:val="4"/>
  </w:num>
  <w:num w:numId="17">
    <w:abstractNumId w:val="10"/>
  </w:num>
  <w:num w:numId="18">
    <w:abstractNumId w:val="11"/>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15"/>
    <w:rsid w:val="00014C2C"/>
    <w:rsid w:val="00062CE1"/>
    <w:rsid w:val="00067970"/>
    <w:rsid w:val="00092AE3"/>
    <w:rsid w:val="000A33F8"/>
    <w:rsid w:val="000D411A"/>
    <w:rsid w:val="0015532E"/>
    <w:rsid w:val="0015763D"/>
    <w:rsid w:val="00183CA1"/>
    <w:rsid w:val="001A0D0D"/>
    <w:rsid w:val="001B3B4D"/>
    <w:rsid w:val="001B3E52"/>
    <w:rsid w:val="001D33B0"/>
    <w:rsid w:val="00230E7E"/>
    <w:rsid w:val="0026792C"/>
    <w:rsid w:val="002E49B9"/>
    <w:rsid w:val="002F6113"/>
    <w:rsid w:val="003074CB"/>
    <w:rsid w:val="00320904"/>
    <w:rsid w:val="003272F3"/>
    <w:rsid w:val="003719E6"/>
    <w:rsid w:val="0038570D"/>
    <w:rsid w:val="003E39F7"/>
    <w:rsid w:val="004002EE"/>
    <w:rsid w:val="0044652E"/>
    <w:rsid w:val="00457898"/>
    <w:rsid w:val="004662BE"/>
    <w:rsid w:val="0048086C"/>
    <w:rsid w:val="00482AFF"/>
    <w:rsid w:val="004B5AC5"/>
    <w:rsid w:val="004D43D1"/>
    <w:rsid w:val="004E1201"/>
    <w:rsid w:val="004E4D11"/>
    <w:rsid w:val="0056579D"/>
    <w:rsid w:val="0059040C"/>
    <w:rsid w:val="00600253"/>
    <w:rsid w:val="00604C64"/>
    <w:rsid w:val="00670CF5"/>
    <w:rsid w:val="00675B8E"/>
    <w:rsid w:val="0069281D"/>
    <w:rsid w:val="006A0215"/>
    <w:rsid w:val="006C2FD2"/>
    <w:rsid w:val="006C44ED"/>
    <w:rsid w:val="006D16D5"/>
    <w:rsid w:val="006D6EC3"/>
    <w:rsid w:val="006E3C60"/>
    <w:rsid w:val="007155C1"/>
    <w:rsid w:val="00720636"/>
    <w:rsid w:val="007228C7"/>
    <w:rsid w:val="007A4A0C"/>
    <w:rsid w:val="007B08A4"/>
    <w:rsid w:val="0080161A"/>
    <w:rsid w:val="008155B8"/>
    <w:rsid w:val="0081711D"/>
    <w:rsid w:val="008615EE"/>
    <w:rsid w:val="00862552"/>
    <w:rsid w:val="0091713A"/>
    <w:rsid w:val="00924DDE"/>
    <w:rsid w:val="00953329"/>
    <w:rsid w:val="009F7893"/>
    <w:rsid w:val="00A0683D"/>
    <w:rsid w:val="00A34900"/>
    <w:rsid w:val="00A5609B"/>
    <w:rsid w:val="00A94BB7"/>
    <w:rsid w:val="00AB21A8"/>
    <w:rsid w:val="00AC3866"/>
    <w:rsid w:val="00AD1DC5"/>
    <w:rsid w:val="00B50451"/>
    <w:rsid w:val="00B95F15"/>
    <w:rsid w:val="00BA2D24"/>
    <w:rsid w:val="00C22E4F"/>
    <w:rsid w:val="00C63E3F"/>
    <w:rsid w:val="00C76E2A"/>
    <w:rsid w:val="00C83EC3"/>
    <w:rsid w:val="00CB2DA1"/>
    <w:rsid w:val="00CC643A"/>
    <w:rsid w:val="00D40E2A"/>
    <w:rsid w:val="00D41775"/>
    <w:rsid w:val="00D42B11"/>
    <w:rsid w:val="00D74E49"/>
    <w:rsid w:val="00D86DD6"/>
    <w:rsid w:val="00DE2465"/>
    <w:rsid w:val="00DF55C9"/>
    <w:rsid w:val="00E10773"/>
    <w:rsid w:val="00E20452"/>
    <w:rsid w:val="00E53715"/>
    <w:rsid w:val="00E7407F"/>
    <w:rsid w:val="00E81B94"/>
    <w:rsid w:val="00EE5091"/>
    <w:rsid w:val="00F0160C"/>
    <w:rsid w:val="00F1705D"/>
    <w:rsid w:val="00F928BA"/>
    <w:rsid w:val="00F928E8"/>
    <w:rsid w:val="00FB3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10C1"/>
  <w15:chartTrackingRefBased/>
  <w15:docId w15:val="{503DBE42-6AB2-41E0-AB12-A8A14155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C63E3F"/>
  </w:style>
  <w:style w:type="character" w:styleId="Odwoaniedokomentarza">
    <w:name w:val="annotation reference"/>
    <w:basedOn w:val="Domylnaczcionkaakapitu"/>
    <w:uiPriority w:val="99"/>
    <w:semiHidden/>
    <w:unhideWhenUsed/>
    <w:rsid w:val="00A0683D"/>
    <w:rPr>
      <w:sz w:val="16"/>
      <w:szCs w:val="16"/>
    </w:rPr>
  </w:style>
  <w:style w:type="paragraph" w:styleId="Tekstkomentarza">
    <w:name w:val="annotation text"/>
    <w:basedOn w:val="Normalny"/>
    <w:link w:val="TekstkomentarzaZnak"/>
    <w:uiPriority w:val="99"/>
    <w:semiHidden/>
    <w:unhideWhenUsed/>
    <w:rsid w:val="00A06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83D"/>
    <w:rPr>
      <w:sz w:val="20"/>
      <w:szCs w:val="20"/>
    </w:rPr>
  </w:style>
  <w:style w:type="paragraph" w:styleId="Tematkomentarza">
    <w:name w:val="annotation subject"/>
    <w:basedOn w:val="Tekstkomentarza"/>
    <w:next w:val="Tekstkomentarza"/>
    <w:link w:val="TematkomentarzaZnak"/>
    <w:uiPriority w:val="99"/>
    <w:semiHidden/>
    <w:unhideWhenUsed/>
    <w:rsid w:val="00A0683D"/>
    <w:rPr>
      <w:b/>
      <w:bCs/>
    </w:rPr>
  </w:style>
  <w:style w:type="character" w:customStyle="1" w:styleId="TematkomentarzaZnak">
    <w:name w:val="Temat komentarza Znak"/>
    <w:basedOn w:val="TekstkomentarzaZnak"/>
    <w:link w:val="Tematkomentarza"/>
    <w:uiPriority w:val="99"/>
    <w:semiHidden/>
    <w:rsid w:val="00A0683D"/>
    <w:rPr>
      <w:b/>
      <w:bCs/>
      <w:sz w:val="20"/>
      <w:szCs w:val="20"/>
    </w:rPr>
  </w:style>
  <w:style w:type="paragraph" w:styleId="Tekstdymka">
    <w:name w:val="Balloon Text"/>
    <w:basedOn w:val="Normalny"/>
    <w:link w:val="TekstdymkaZnak"/>
    <w:uiPriority w:val="99"/>
    <w:semiHidden/>
    <w:unhideWhenUsed/>
    <w:rsid w:val="00A068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83D"/>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B36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63E"/>
    <w:rPr>
      <w:sz w:val="20"/>
      <w:szCs w:val="20"/>
    </w:rPr>
  </w:style>
  <w:style w:type="character" w:styleId="Odwoanieprzypisudolnego">
    <w:name w:val="footnote reference"/>
    <w:basedOn w:val="Domylnaczcionkaakapitu"/>
    <w:uiPriority w:val="99"/>
    <w:semiHidden/>
    <w:unhideWhenUsed/>
    <w:rsid w:val="00FB363E"/>
    <w:rPr>
      <w:vertAlign w:val="superscript"/>
    </w:rPr>
  </w:style>
  <w:style w:type="character" w:styleId="Hipercze">
    <w:name w:val="Hyperlink"/>
    <w:basedOn w:val="Domylnaczcionkaakapitu"/>
    <w:uiPriority w:val="99"/>
    <w:unhideWhenUsed/>
    <w:rsid w:val="007155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219751355">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364332386">
      <w:bodyDiv w:val="1"/>
      <w:marLeft w:val="0"/>
      <w:marRight w:val="0"/>
      <w:marTop w:val="0"/>
      <w:marBottom w:val="0"/>
      <w:divBdr>
        <w:top w:val="none" w:sz="0" w:space="0" w:color="auto"/>
        <w:left w:val="none" w:sz="0" w:space="0" w:color="auto"/>
        <w:bottom w:val="none" w:sz="0" w:space="0" w:color="auto"/>
        <w:right w:val="none" w:sz="0" w:space="0" w:color="auto"/>
      </w:divBdr>
    </w:div>
    <w:div w:id="390469795">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365906357">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unduszeeuropejskie.gov.pl/media/7565/20150811_warianty_14_2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1488</Words>
  <Characters>8933</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4</cp:revision>
  <dcterms:created xsi:type="dcterms:W3CDTF">2018-10-12T11:26:00Z</dcterms:created>
  <dcterms:modified xsi:type="dcterms:W3CDTF">2018-11-16T00:05:00Z</dcterms:modified>
</cp:coreProperties>
</file>