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79D" w:rsidRPr="00DE2465" w:rsidRDefault="0056579D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CHARAKTERYSTYKA PRZEDSIĘWZIĘCIA</w:t>
      </w:r>
    </w:p>
    <w:p w:rsidR="0056579D" w:rsidRDefault="0056579D" w:rsidP="00230E7E">
      <w:pPr>
        <w:rPr>
          <w:b/>
        </w:rPr>
      </w:pPr>
      <w:r>
        <w:rPr>
          <w:b/>
        </w:rPr>
        <w:t>Działanie:</w:t>
      </w:r>
      <w:r w:rsidR="0059040C">
        <w:rPr>
          <w:b/>
        </w:rPr>
        <w:t xml:space="preserve"> </w:t>
      </w:r>
      <w:r w:rsidR="00F54AB3" w:rsidRPr="00F54AB3">
        <w:rPr>
          <w:b/>
        </w:rPr>
        <w:t>2.3 Gospodarka wodno-ściekowa w aglomeracjach</w:t>
      </w:r>
    </w:p>
    <w:p w:rsidR="0091713A" w:rsidRDefault="0056579D" w:rsidP="00230E7E">
      <w:pPr>
        <w:rPr>
          <w:b/>
        </w:rPr>
      </w:pPr>
      <w:r>
        <w:rPr>
          <w:b/>
        </w:rPr>
        <w:t>Nazwa projektu:</w:t>
      </w:r>
      <w:r w:rsidR="00F54AB3">
        <w:rPr>
          <w:b/>
        </w:rPr>
        <w:t xml:space="preserve"> </w:t>
      </w:r>
      <w:r w:rsidR="00C12CEC" w:rsidRPr="00C12CEC">
        <w:rPr>
          <w:b/>
        </w:rPr>
        <w:t>Rozbudowa i przebudowa (modernizacja) oczyszczalni ścieków w Sierpcu</w:t>
      </w:r>
    </w:p>
    <w:p w:rsidR="0056579D" w:rsidRDefault="0091713A" w:rsidP="00230E7E">
      <w:pPr>
        <w:rPr>
          <w:b/>
        </w:rPr>
      </w:pPr>
      <w:r>
        <w:rPr>
          <w:b/>
        </w:rPr>
        <w:t xml:space="preserve">Numer projektu: </w:t>
      </w:r>
      <w:r w:rsidR="00E55CA2" w:rsidRPr="00E55CA2">
        <w:rPr>
          <w:b/>
        </w:rPr>
        <w:t>POIS.02.03.00-00-0</w:t>
      </w:r>
      <w:r w:rsidR="00C12CEC">
        <w:rPr>
          <w:b/>
        </w:rPr>
        <w:t>139</w:t>
      </w:r>
      <w:r w:rsidR="00E55CA2" w:rsidRPr="00E55CA2">
        <w:rPr>
          <w:b/>
        </w:rPr>
        <w:t>/16</w:t>
      </w:r>
    </w:p>
    <w:p w:rsidR="00C12CEC" w:rsidRDefault="0056579D" w:rsidP="00230E7E">
      <w:pPr>
        <w:rPr>
          <w:rFonts w:ascii="Arial" w:hAnsi="Arial" w:cs="Arial"/>
          <w:sz w:val="20"/>
          <w:szCs w:val="20"/>
        </w:rPr>
      </w:pPr>
      <w:r>
        <w:rPr>
          <w:b/>
        </w:rPr>
        <w:t>Beneficjent:</w:t>
      </w:r>
      <w:r w:rsidR="00F54AB3">
        <w:rPr>
          <w:b/>
        </w:rPr>
        <w:t xml:space="preserve"> </w:t>
      </w:r>
      <w:r w:rsidR="00C12CEC" w:rsidRPr="00C12CEC">
        <w:rPr>
          <w:b/>
        </w:rPr>
        <w:t>Miejskie Przedsiębiorstwo Gospodarki Komunalnej "EMPEGEK" Sp. z o.o. w Sierpcu</w:t>
      </w:r>
      <w:r w:rsidR="00C12CEC">
        <w:rPr>
          <w:rFonts w:ascii="Arial" w:hAnsi="Arial" w:cs="Arial"/>
          <w:sz w:val="20"/>
          <w:szCs w:val="20"/>
        </w:rPr>
        <w:t xml:space="preserve"> </w:t>
      </w:r>
    </w:p>
    <w:p w:rsidR="0056579D" w:rsidRDefault="0056579D" w:rsidP="00230E7E">
      <w:pPr>
        <w:rPr>
          <w:b/>
        </w:rPr>
      </w:pPr>
      <w:r>
        <w:rPr>
          <w:b/>
        </w:rPr>
        <w:t>Wartość projektu:</w:t>
      </w:r>
      <w:r w:rsidR="00F54AB3">
        <w:rPr>
          <w:b/>
        </w:rPr>
        <w:t xml:space="preserve"> </w:t>
      </w:r>
      <w:r w:rsidR="00C12CEC" w:rsidRPr="00C12CEC">
        <w:rPr>
          <w:b/>
        </w:rPr>
        <w:t>20</w:t>
      </w:r>
      <w:r w:rsidR="00C12CEC">
        <w:rPr>
          <w:b/>
        </w:rPr>
        <w:t xml:space="preserve"> </w:t>
      </w:r>
      <w:r w:rsidR="00C12CEC" w:rsidRPr="00C12CEC">
        <w:rPr>
          <w:b/>
        </w:rPr>
        <w:t>365</w:t>
      </w:r>
      <w:r w:rsidR="00C12CEC">
        <w:rPr>
          <w:b/>
        </w:rPr>
        <w:t xml:space="preserve"> </w:t>
      </w:r>
      <w:r w:rsidR="00C12CEC" w:rsidRPr="00C12CEC">
        <w:rPr>
          <w:b/>
        </w:rPr>
        <w:t>474,83</w:t>
      </w:r>
      <w:r w:rsidR="00C12CEC">
        <w:rPr>
          <w:b/>
        </w:rPr>
        <w:t xml:space="preserve"> </w:t>
      </w:r>
      <w:r w:rsidR="0059040C">
        <w:rPr>
          <w:b/>
        </w:rPr>
        <w:t>PLN</w:t>
      </w:r>
    </w:p>
    <w:p w:rsidR="00E55CA2" w:rsidRDefault="0056579D" w:rsidP="002037FC">
      <w:pPr>
        <w:autoSpaceDE w:val="0"/>
        <w:autoSpaceDN w:val="0"/>
        <w:adjustRightInd w:val="0"/>
        <w:spacing w:after="0" w:line="240" w:lineRule="auto"/>
        <w:jc w:val="both"/>
      </w:pPr>
      <w:r>
        <w:rPr>
          <w:b/>
        </w:rPr>
        <w:t>Krótki opis:</w:t>
      </w:r>
      <w:r w:rsidR="00E55CA2">
        <w:t xml:space="preserve"> </w:t>
      </w:r>
      <w:r w:rsidR="00C12CEC" w:rsidRPr="00C12CEC">
        <w:t xml:space="preserve">Planowane przedsięwzięcie polegać będzie na rozbudowie i przebudowie (modernizacji) oczyszczalni ścieków. W zakres planowanej inwestycji wejdą następujące główne </w:t>
      </w:r>
      <w:r w:rsidR="00C12CEC">
        <w:t xml:space="preserve">zadania: 1. Uporządkowanie gospodarki </w:t>
      </w:r>
      <w:r w:rsidR="00C12CEC" w:rsidRPr="00C12CEC">
        <w:t xml:space="preserve">osadowej wraz z odzyskiem energii z biogazu: a) Technologię przetwarzania osadu, w tym: • Modernizacja przepompowni ścieków surowych; • Modernizacja procesu sedymentacji wstępnej poprzez wprowadzenie osadników poziomych oraz adaptację wyłączonych z eksploatacji osadników </w:t>
      </w:r>
      <w:proofErr w:type="spellStart"/>
      <w:r w:rsidR="00C12CEC" w:rsidRPr="00C12CEC">
        <w:t>Imhoffa</w:t>
      </w:r>
      <w:proofErr w:type="spellEnd"/>
      <w:r w:rsidR="00C12CEC" w:rsidRPr="00C12CEC">
        <w:t xml:space="preserve"> na zbiornik retencyjny ścieków surowych; • Budowa stacji zagęszczania osadów; • Wykonanie zbiornika osadu surowego, • Wykonanie zamkniętych komór fermentacyjnych wraz z energetycznym wykorzystaniem powstającego biogazu. b) Realizacja stacja ogrzewania osadu i pompy operacyjne komory fermentacyjnej, c) Technologię odzysku ciepła z </w:t>
      </w:r>
      <w:proofErr w:type="spellStart"/>
      <w:r w:rsidR="00C12CEC" w:rsidRPr="00C12CEC">
        <w:t>kogeneratora</w:t>
      </w:r>
      <w:proofErr w:type="spellEnd"/>
      <w:r w:rsidR="00C12CEC" w:rsidRPr="00C12CEC">
        <w:t>, d) Uzupełnienie istniejącego układu drogowego. 2 Modernizacja sy</w:t>
      </w:r>
      <w:r w:rsidR="00C12CEC">
        <w:t>stemu sterowania pracą zakładu o</w:t>
      </w:r>
      <w:r w:rsidR="00C12CEC" w:rsidRPr="00C12CEC">
        <w:t>bejmuje instalację sytemu sterowania zakładem w nowym układzie związanym z zagospodarowaniem osadów i produkcją biogazu obejmujące wprowadzenie nowych układów pomiarowych wraz ze sterowaniem, nowym interfejsem umożliwiającym obrazowe kontrolowanie przebiegu procesu. W tym zakresie projekt przewiduje również przebudowę układu elektroenergetycznego oczyszczalni oraz wymianę zużytych urządzeń i linii kablowych tak</w:t>
      </w:r>
      <w:r w:rsidR="00C12CEC">
        <w:t>,</w:t>
      </w:r>
      <w:r w:rsidR="00C12CEC" w:rsidRPr="00C12CEC">
        <w:t xml:space="preserve"> aby zapewnić maksymalny poziom bezpieczeństwa pracy całego układu.</w:t>
      </w:r>
    </w:p>
    <w:p w:rsidR="00E55CA2" w:rsidRDefault="00E55CA2" w:rsidP="00E55CA2">
      <w:pPr>
        <w:autoSpaceDE w:val="0"/>
        <w:autoSpaceDN w:val="0"/>
        <w:adjustRightInd w:val="0"/>
        <w:spacing w:after="0" w:line="240" w:lineRule="auto"/>
      </w:pPr>
    </w:p>
    <w:p w:rsidR="0056579D" w:rsidRPr="00DE2465" w:rsidRDefault="004F08E8" w:rsidP="00230E7E">
      <w:pPr>
        <w:rPr>
          <w:b/>
          <w:sz w:val="28"/>
          <w:szCs w:val="28"/>
        </w:rPr>
      </w:pPr>
      <w:r>
        <w:t>.</w:t>
      </w:r>
      <w:r w:rsidR="00230E7E" w:rsidRPr="00DE2465">
        <w:rPr>
          <w:b/>
          <w:sz w:val="28"/>
          <w:szCs w:val="28"/>
        </w:rPr>
        <w:t>ZAKRES ORAZ SKUTECZNOŚĆ ROZWIĄZAŃ ZWIĄZANYCH Z KLIMATEM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48"/>
        <w:gridCol w:w="1591"/>
        <w:gridCol w:w="3402"/>
        <w:gridCol w:w="1647"/>
        <w:gridCol w:w="5387"/>
      </w:tblGrid>
      <w:tr w:rsidR="006D6EC3" w:rsidTr="00CC643A">
        <w:tc>
          <w:tcPr>
            <w:tcW w:w="13975" w:type="dxa"/>
            <w:gridSpan w:val="5"/>
            <w:shd w:val="clear" w:color="auto" w:fill="4472C4" w:themeFill="accent1"/>
          </w:tcPr>
          <w:p w:rsidR="006D6EC3" w:rsidRDefault="00F928E8" w:rsidP="00230E7E">
            <w:r w:rsidRPr="004662BE">
              <w:rPr>
                <w:b/>
              </w:rPr>
              <w:t>ROZWIĄZANIA ZWIĄZANE ZE ZWIĘKSZANIEM ODPORNOŚCI INWESTYCJI NA ZMIANY KLIMATU, ZAGROŻENIA KLĘSKAMI ŻYWIOŁOWYMI LUB KATASTROFAMI NATURALNYMI</w:t>
            </w:r>
          </w:p>
        </w:tc>
      </w:tr>
      <w:tr w:rsidR="00F928E8" w:rsidTr="00CC643A">
        <w:tc>
          <w:tcPr>
            <w:tcW w:w="1948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NAZWA </w:t>
            </w:r>
            <w:r w:rsidR="00E7407F">
              <w:rPr>
                <w:b/>
                <w:sz w:val="20"/>
                <w:szCs w:val="20"/>
              </w:rPr>
              <w:t>POTENCJALNEGO CZYNNIKA RYZYKA</w:t>
            </w:r>
          </w:p>
        </w:tc>
        <w:tc>
          <w:tcPr>
            <w:tcW w:w="1591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POTENCJALNY ISTOTNY WPŁYW</w:t>
            </w:r>
          </w:p>
        </w:tc>
        <w:tc>
          <w:tcPr>
            <w:tcW w:w="3402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SPOSÓB UWZGLĘDNIENIA</w:t>
            </w:r>
          </w:p>
        </w:tc>
        <w:tc>
          <w:tcPr>
            <w:tcW w:w="1647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CZYNNIKI UZNANE ZA ISTOTNE</w:t>
            </w:r>
            <w:r w:rsidR="00E7407F">
              <w:rPr>
                <w:b/>
                <w:sz w:val="20"/>
                <w:szCs w:val="20"/>
              </w:rPr>
              <w:t xml:space="preserve"> W ANALIZIE RYZYK</w:t>
            </w:r>
          </w:p>
        </w:tc>
        <w:tc>
          <w:tcPr>
            <w:tcW w:w="5387" w:type="dxa"/>
            <w:shd w:val="clear" w:color="auto" w:fill="00B0F0"/>
          </w:tcPr>
          <w:p w:rsidR="006D6EC3" w:rsidRPr="004D43D1" w:rsidRDefault="00F928E8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ZAPROPONOWANE</w:t>
            </w:r>
            <w:r w:rsidR="006D6EC3" w:rsidRPr="004D43D1">
              <w:rPr>
                <w:b/>
                <w:sz w:val="20"/>
                <w:szCs w:val="20"/>
              </w:rPr>
              <w:t xml:space="preserve"> OPCJE ADAPTACYJNE</w:t>
            </w:r>
          </w:p>
        </w:tc>
      </w:tr>
      <w:tr w:rsidR="006D6EC3" w:rsidTr="00CC643A">
        <w:tc>
          <w:tcPr>
            <w:tcW w:w="194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Stopniowy wzrost temperatury powietrza (np. dłuższe okresy oscylowania </w:t>
            </w:r>
            <w:r w:rsidRPr="00F928E8">
              <w:rPr>
                <w:sz w:val="20"/>
                <w:szCs w:val="20"/>
              </w:rPr>
              <w:lastRenderedPageBreak/>
              <w:t>temperatury w okolicach O st. C) i związane z nimi niekorzystne zjawiska (np. oblodzenie).</w:t>
            </w:r>
          </w:p>
        </w:tc>
        <w:tc>
          <w:tcPr>
            <w:tcW w:w="1591" w:type="dxa"/>
          </w:tcPr>
          <w:p w:rsidR="006D6EC3" w:rsidRPr="00F928E8" w:rsidRDefault="00D6105C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NIE</w:t>
            </w:r>
          </w:p>
        </w:tc>
        <w:tc>
          <w:tcPr>
            <w:tcW w:w="3402" w:type="dxa"/>
          </w:tcPr>
          <w:p w:rsidR="006D6EC3" w:rsidRPr="00F928E8" w:rsidRDefault="006D6EC3" w:rsidP="0059040C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:rsidR="00604C64" w:rsidRPr="00604C64" w:rsidRDefault="00604C64" w:rsidP="00D6105C">
            <w:pPr>
              <w:pStyle w:val="Akapitzlist"/>
              <w:ind w:left="231"/>
              <w:rPr>
                <w:sz w:val="20"/>
                <w:szCs w:val="20"/>
              </w:rPr>
            </w:pPr>
          </w:p>
        </w:tc>
      </w:tr>
      <w:tr w:rsidR="006D6EC3" w:rsidTr="00CC643A">
        <w:tc>
          <w:tcPr>
            <w:tcW w:w="194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Ekstremalny wzrost temperatury i związane z nimi zjawiska (np. fale upałów, pożary, miejskie wyspy ciepła)</w:t>
            </w:r>
          </w:p>
        </w:tc>
        <w:tc>
          <w:tcPr>
            <w:tcW w:w="1591" w:type="dxa"/>
          </w:tcPr>
          <w:p w:rsidR="006D6EC3" w:rsidRPr="00F928E8" w:rsidRDefault="0059040C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6D6EC3" w:rsidRPr="00F928E8" w:rsidRDefault="0004299F" w:rsidP="00D45C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wzrost temperatury </w:t>
            </w:r>
          </w:p>
        </w:tc>
        <w:tc>
          <w:tcPr>
            <w:tcW w:w="1647" w:type="dxa"/>
          </w:tcPr>
          <w:p w:rsidR="006D6EC3" w:rsidRPr="00F928E8" w:rsidRDefault="000D3CD2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uwzględniono</w:t>
            </w:r>
          </w:p>
        </w:tc>
        <w:tc>
          <w:tcPr>
            <w:tcW w:w="5387" w:type="dxa"/>
          </w:tcPr>
          <w:p w:rsidR="0004299F" w:rsidRPr="0004299F" w:rsidRDefault="0004299F" w:rsidP="003D020D">
            <w:pPr>
              <w:pStyle w:val="Akapitzlist"/>
              <w:ind w:left="245"/>
              <w:rPr>
                <w:sz w:val="20"/>
                <w:szCs w:val="20"/>
              </w:rPr>
            </w:pPr>
          </w:p>
        </w:tc>
      </w:tr>
      <w:tr w:rsidR="006D6EC3" w:rsidTr="00CC643A">
        <w:tc>
          <w:tcPr>
            <w:tcW w:w="194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Stopniowe zmiany ilości opadów i związana z nimi dostępność wody (np. susze, deficyty wody, zmniejszenie przepływów w ciekach)</w:t>
            </w:r>
          </w:p>
        </w:tc>
        <w:tc>
          <w:tcPr>
            <w:tcW w:w="1591" w:type="dxa"/>
          </w:tcPr>
          <w:p w:rsidR="006D6EC3" w:rsidRPr="00F928E8" w:rsidRDefault="00D45C3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6D6EC3" w:rsidRPr="000D3CD2" w:rsidRDefault="000D3CD2" w:rsidP="000D3CD2">
            <w:pPr>
              <w:rPr>
                <w:sz w:val="20"/>
                <w:szCs w:val="20"/>
              </w:rPr>
            </w:pPr>
            <w:r w:rsidRPr="000D3CD2">
              <w:rPr>
                <w:sz w:val="20"/>
                <w:szCs w:val="20"/>
              </w:rPr>
              <w:t xml:space="preserve"> </w:t>
            </w:r>
            <w:r w:rsidR="00D45C33" w:rsidRPr="000D3CD2">
              <w:rPr>
                <w:sz w:val="20"/>
                <w:szCs w:val="20"/>
              </w:rPr>
              <w:t>zmniejszenie przepływów w ciekach, deficyty wody</w:t>
            </w:r>
            <w:r w:rsidR="00DF473C" w:rsidRPr="000D3C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, susze</w:t>
            </w:r>
          </w:p>
        </w:tc>
        <w:tc>
          <w:tcPr>
            <w:tcW w:w="1647" w:type="dxa"/>
          </w:tcPr>
          <w:p w:rsidR="006D6EC3" w:rsidRPr="00F928E8" w:rsidRDefault="000D3CD2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Susze - niski poziom ryzyka</w:t>
            </w:r>
          </w:p>
        </w:tc>
        <w:tc>
          <w:tcPr>
            <w:tcW w:w="5387" w:type="dxa"/>
          </w:tcPr>
          <w:p w:rsidR="0004299F" w:rsidRPr="000D3CD2" w:rsidRDefault="000D3CD2" w:rsidP="000D3CD2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15"/>
              <w:rPr>
                <w:rFonts w:eastAsia="BookmanOldStyle" w:cs="BookmanOldStyle"/>
                <w:sz w:val="20"/>
                <w:szCs w:val="20"/>
              </w:rPr>
            </w:pPr>
            <w:r w:rsidRPr="000D3CD2">
              <w:rPr>
                <w:rFonts w:eastAsia="BookmanOldStyle" w:cs="BookmanOldStyle"/>
                <w:sz w:val="20"/>
                <w:szCs w:val="20"/>
              </w:rPr>
              <w:t>w przypadku braku dostaw prądu od operatora, oczyszczalnia będzie posiadać 4 niezależne źródła energii elektrycznej:  - 2 systemy zasilania sieci, agregat prądotwórczy zasilany na olej napędowy oraz odzysk energii elektrycznej z biogazu.</w:t>
            </w:r>
          </w:p>
        </w:tc>
      </w:tr>
      <w:tr w:rsidR="006D6EC3" w:rsidTr="00CC643A">
        <w:tc>
          <w:tcPr>
            <w:tcW w:w="194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Ekstremalne opady i związane z nimi zjawiska (np. burze, podtopienia, powodzie, szkody związane z obciążeniem śniegiem)</w:t>
            </w:r>
          </w:p>
        </w:tc>
        <w:tc>
          <w:tcPr>
            <w:tcW w:w="1591" w:type="dxa"/>
          </w:tcPr>
          <w:p w:rsidR="006D6EC3" w:rsidRPr="00F928E8" w:rsidRDefault="0059040C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6D6EC3" w:rsidRPr="00F928E8" w:rsidRDefault="00A12FAD" w:rsidP="00062CE1">
            <w:pPr>
              <w:rPr>
                <w:sz w:val="20"/>
                <w:szCs w:val="20"/>
              </w:rPr>
            </w:pPr>
            <w:r w:rsidRPr="00A12FAD">
              <w:rPr>
                <w:sz w:val="20"/>
                <w:szCs w:val="20"/>
              </w:rPr>
              <w:t>powódź, intensywne lub długotrwałe opady</w:t>
            </w:r>
          </w:p>
        </w:tc>
        <w:tc>
          <w:tcPr>
            <w:tcW w:w="1647" w:type="dxa"/>
          </w:tcPr>
          <w:p w:rsidR="006D6EC3" w:rsidRDefault="00DF473C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Powódź - </w:t>
            </w:r>
            <w:r w:rsidR="003D020D">
              <w:rPr>
                <w:sz w:val="20"/>
                <w:szCs w:val="20"/>
              </w:rPr>
              <w:t>niski poziom ryzyka</w:t>
            </w:r>
            <w:r w:rsidR="0004299F">
              <w:rPr>
                <w:sz w:val="20"/>
                <w:szCs w:val="20"/>
              </w:rPr>
              <w:t>;</w:t>
            </w:r>
          </w:p>
          <w:p w:rsidR="0004299F" w:rsidRPr="00F928E8" w:rsidRDefault="0004299F" w:rsidP="00DF473C">
            <w:pPr>
              <w:rPr>
                <w:sz w:val="20"/>
                <w:szCs w:val="20"/>
              </w:rPr>
            </w:pPr>
            <w:r w:rsidRPr="00A12FAD">
              <w:rPr>
                <w:sz w:val="20"/>
                <w:szCs w:val="20"/>
              </w:rPr>
              <w:t>intensywne lub długotrwałe opady</w:t>
            </w:r>
            <w:r>
              <w:rPr>
                <w:sz w:val="20"/>
                <w:szCs w:val="20"/>
              </w:rPr>
              <w:t xml:space="preserve"> - </w:t>
            </w:r>
            <w:r w:rsidR="003D020D">
              <w:rPr>
                <w:sz w:val="20"/>
                <w:szCs w:val="20"/>
              </w:rPr>
              <w:t>niski poziom ryzyka</w:t>
            </w:r>
          </w:p>
        </w:tc>
        <w:tc>
          <w:tcPr>
            <w:tcW w:w="5387" w:type="dxa"/>
          </w:tcPr>
          <w:p w:rsidR="00DC0BC9" w:rsidRPr="003D020D" w:rsidRDefault="003D020D" w:rsidP="00DC0BC9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="00DC0BC9" w:rsidRPr="003D020D">
              <w:rPr>
                <w:rFonts w:eastAsia="BookmanOldStyle" w:cs="BookmanOldStyle"/>
                <w:sz w:val="20"/>
                <w:szCs w:val="20"/>
              </w:rPr>
              <w:t xml:space="preserve">okalizacja </w:t>
            </w:r>
            <w:r>
              <w:rPr>
                <w:rFonts w:eastAsia="BookmanOldStyle" w:cs="BookmanOldStyle"/>
                <w:sz w:val="20"/>
                <w:szCs w:val="20"/>
              </w:rPr>
              <w:t>oczyszczalni</w:t>
            </w:r>
            <w:r w:rsidR="00DC0BC9" w:rsidRPr="003D020D">
              <w:rPr>
                <w:rFonts w:eastAsia="BookmanOldStyle" w:cs="BookmanOldStyle"/>
                <w:sz w:val="20"/>
                <w:szCs w:val="20"/>
              </w:rPr>
              <w:t xml:space="preserve"> poza obszarami zagrożenia powodziowego,</w:t>
            </w:r>
          </w:p>
          <w:p w:rsidR="00CA630C" w:rsidRPr="003D020D" w:rsidRDefault="003D020D" w:rsidP="003D020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 zbiorników retencyjnych</w:t>
            </w:r>
            <w:r w:rsidRPr="003D020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 celu zminimalizowania skutków</w:t>
            </w:r>
            <w:r w:rsidRPr="003D020D">
              <w:rPr>
                <w:sz w:val="20"/>
                <w:szCs w:val="20"/>
              </w:rPr>
              <w:t xml:space="preserve"> nadmiernego napływu wody do sytemu, zatem oczyszczalnia </w:t>
            </w:r>
            <w:r>
              <w:rPr>
                <w:sz w:val="20"/>
                <w:szCs w:val="20"/>
              </w:rPr>
              <w:t xml:space="preserve">po modernizacji </w:t>
            </w:r>
            <w:r w:rsidRPr="003D020D">
              <w:rPr>
                <w:sz w:val="20"/>
                <w:szCs w:val="20"/>
              </w:rPr>
              <w:t>będzie przygotowana na przyjęcie większej ilości wody w przypadku intensywnych opadów</w:t>
            </w:r>
          </w:p>
        </w:tc>
      </w:tr>
      <w:tr w:rsidR="006D6EC3" w:rsidTr="00CC643A">
        <w:tc>
          <w:tcPr>
            <w:tcW w:w="194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Wzrost maksymalnej prędkość wiatru i związane z nimi zjawiska (np. wichury)</w:t>
            </w:r>
          </w:p>
        </w:tc>
        <w:tc>
          <w:tcPr>
            <w:tcW w:w="1591" w:type="dxa"/>
          </w:tcPr>
          <w:p w:rsidR="006D6EC3" w:rsidRPr="00F928E8" w:rsidRDefault="00062CE1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6D6EC3" w:rsidRPr="00F928E8" w:rsidRDefault="0004299F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A12FAD">
              <w:rPr>
                <w:sz w:val="20"/>
                <w:szCs w:val="20"/>
              </w:rPr>
              <w:t>urze, silny</w:t>
            </w:r>
            <w:r w:rsidR="00062CE1" w:rsidRPr="00062CE1">
              <w:rPr>
                <w:sz w:val="20"/>
                <w:szCs w:val="20"/>
              </w:rPr>
              <w:t xml:space="preserve"> wiatr</w:t>
            </w:r>
          </w:p>
        </w:tc>
        <w:tc>
          <w:tcPr>
            <w:tcW w:w="1647" w:type="dxa"/>
          </w:tcPr>
          <w:p w:rsidR="006D6EC3" w:rsidRPr="00F928E8" w:rsidRDefault="00DF473C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niskie ryzyko</w:t>
            </w:r>
          </w:p>
        </w:tc>
        <w:tc>
          <w:tcPr>
            <w:tcW w:w="5387" w:type="dxa"/>
          </w:tcPr>
          <w:p w:rsidR="007425E1" w:rsidRPr="003D020D" w:rsidRDefault="003D020D" w:rsidP="003D020D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43"/>
              <w:rPr>
                <w:sz w:val="20"/>
                <w:szCs w:val="20"/>
              </w:rPr>
            </w:pPr>
            <w:r w:rsidRPr="003D020D">
              <w:rPr>
                <w:rFonts w:eastAsia="BookmanOldStyle" w:cs="BookmanOldStyle"/>
                <w:sz w:val="20"/>
                <w:szCs w:val="20"/>
              </w:rPr>
              <w:t>w przypadku braku dost</w:t>
            </w:r>
            <w:r>
              <w:rPr>
                <w:rFonts w:eastAsia="BookmanOldStyle" w:cs="BookmanOldStyle"/>
                <w:sz w:val="20"/>
                <w:szCs w:val="20"/>
              </w:rPr>
              <w:t xml:space="preserve">aw prądu od operatora, oczyszczalnia będzie posiadać </w:t>
            </w:r>
            <w:r w:rsidRPr="003D020D">
              <w:rPr>
                <w:rFonts w:eastAsia="BookmanOldStyle" w:cs="BookmanOldStyle"/>
                <w:sz w:val="20"/>
                <w:szCs w:val="20"/>
              </w:rPr>
              <w:t>4 n</w:t>
            </w:r>
            <w:r>
              <w:rPr>
                <w:rFonts w:eastAsia="BookmanOldStyle" w:cs="BookmanOldStyle"/>
                <w:sz w:val="20"/>
                <w:szCs w:val="20"/>
              </w:rPr>
              <w:t xml:space="preserve">iezależne źródła energii elektrycznej: </w:t>
            </w:r>
            <w:r w:rsidRPr="003D020D">
              <w:rPr>
                <w:rFonts w:eastAsia="BookmanOldStyle" w:cs="BookmanOldStyle"/>
                <w:sz w:val="20"/>
                <w:szCs w:val="20"/>
              </w:rPr>
              <w:t xml:space="preserve"> - 2 sys</w:t>
            </w:r>
            <w:r>
              <w:rPr>
                <w:rFonts w:eastAsia="BookmanOldStyle" w:cs="BookmanOldStyle"/>
                <w:sz w:val="20"/>
                <w:szCs w:val="20"/>
              </w:rPr>
              <w:t>temy</w:t>
            </w:r>
            <w:r w:rsidRPr="003D020D">
              <w:rPr>
                <w:rFonts w:eastAsia="BookmanOldStyle" w:cs="BookmanOldStyle"/>
                <w:sz w:val="20"/>
                <w:szCs w:val="20"/>
              </w:rPr>
              <w:t xml:space="preserve"> zasil</w:t>
            </w:r>
            <w:r>
              <w:rPr>
                <w:rFonts w:eastAsia="BookmanOldStyle" w:cs="BookmanOldStyle"/>
                <w:sz w:val="20"/>
                <w:szCs w:val="20"/>
              </w:rPr>
              <w:t>ania sieci</w:t>
            </w:r>
            <w:r w:rsidRPr="003D020D">
              <w:rPr>
                <w:rFonts w:eastAsia="BookmanOldStyle" w:cs="BookmanOldStyle"/>
                <w:sz w:val="20"/>
                <w:szCs w:val="20"/>
              </w:rPr>
              <w:t>, agregat prąd</w:t>
            </w:r>
            <w:r>
              <w:rPr>
                <w:rFonts w:eastAsia="BookmanOldStyle" w:cs="BookmanOldStyle"/>
                <w:sz w:val="20"/>
                <w:szCs w:val="20"/>
              </w:rPr>
              <w:t xml:space="preserve">otwórczy zasilany na olej napędowy </w:t>
            </w:r>
            <w:r w:rsidRPr="003D020D">
              <w:rPr>
                <w:rFonts w:eastAsia="BookmanOldStyle" w:cs="BookmanOldStyle"/>
                <w:sz w:val="20"/>
                <w:szCs w:val="20"/>
              </w:rPr>
              <w:t xml:space="preserve">oraz odzysk energii elektrycznej z biogazu. </w:t>
            </w:r>
          </w:p>
        </w:tc>
      </w:tr>
      <w:tr w:rsidR="006D6EC3" w:rsidTr="00CC643A">
        <w:tc>
          <w:tcPr>
            <w:tcW w:w="194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Erozja gleby i związane z nimi </w:t>
            </w:r>
            <w:r w:rsidRPr="00F928E8">
              <w:rPr>
                <w:sz w:val="20"/>
                <w:szCs w:val="20"/>
              </w:rPr>
              <w:lastRenderedPageBreak/>
              <w:t xml:space="preserve">zjawiska (np. osuwiska, drenaż) </w:t>
            </w:r>
          </w:p>
        </w:tc>
        <w:tc>
          <w:tcPr>
            <w:tcW w:w="1591" w:type="dxa"/>
          </w:tcPr>
          <w:p w:rsidR="006D6EC3" w:rsidRPr="00F928E8" w:rsidRDefault="0059040C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NIE</w:t>
            </w:r>
          </w:p>
        </w:tc>
        <w:tc>
          <w:tcPr>
            <w:tcW w:w="3402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6D6EC3" w:rsidTr="00CC643A">
        <w:tc>
          <w:tcPr>
            <w:tcW w:w="1948" w:type="dxa"/>
          </w:tcPr>
          <w:p w:rsidR="006D6EC3" w:rsidRPr="00F928E8" w:rsidRDefault="006D6EC3" w:rsidP="00D45C3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Inne </w:t>
            </w:r>
          </w:p>
        </w:tc>
        <w:tc>
          <w:tcPr>
            <w:tcW w:w="1591" w:type="dxa"/>
          </w:tcPr>
          <w:p w:rsidR="006D6EC3" w:rsidRPr="00F928E8" w:rsidRDefault="00D45C3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3402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</w:tcPr>
          <w:p w:rsidR="006D6EC3" w:rsidRPr="0004299F" w:rsidRDefault="006D6EC3" w:rsidP="006D6EC3">
            <w:pPr>
              <w:rPr>
                <w:i/>
                <w:sz w:val="20"/>
                <w:szCs w:val="20"/>
              </w:rPr>
            </w:pPr>
          </w:p>
        </w:tc>
        <w:tc>
          <w:tcPr>
            <w:tcW w:w="5387" w:type="dxa"/>
          </w:tcPr>
          <w:p w:rsidR="00CA630C" w:rsidRPr="00A9785B" w:rsidRDefault="00CA630C" w:rsidP="00D45C33">
            <w:pPr>
              <w:pStyle w:val="Akapitzlist"/>
              <w:autoSpaceDE w:val="0"/>
              <w:autoSpaceDN w:val="0"/>
              <w:adjustRightInd w:val="0"/>
              <w:ind w:left="23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8E8" w:rsidTr="006C44ED">
        <w:tc>
          <w:tcPr>
            <w:tcW w:w="6941" w:type="dxa"/>
            <w:gridSpan w:val="3"/>
            <w:shd w:val="clear" w:color="auto" w:fill="00B0F0"/>
          </w:tcPr>
          <w:p w:rsidR="00F928E8" w:rsidRPr="004D43D1" w:rsidRDefault="00F928E8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ZAKRES ANALIZ KLIMATYCZNYCH</w:t>
            </w:r>
          </w:p>
        </w:tc>
        <w:tc>
          <w:tcPr>
            <w:tcW w:w="1647" w:type="dxa"/>
            <w:shd w:val="clear" w:color="auto" w:fill="00B0F0"/>
          </w:tcPr>
          <w:p w:rsidR="00F928E8" w:rsidRPr="004D43D1" w:rsidRDefault="001A0D0D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CZY </w:t>
            </w:r>
            <w:r>
              <w:rPr>
                <w:b/>
                <w:sz w:val="20"/>
                <w:szCs w:val="20"/>
              </w:rPr>
              <w:t>UWZGLĘDNIONO W ANALIZIE</w:t>
            </w:r>
            <w:r w:rsidRPr="004D43D1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5387" w:type="dxa"/>
            <w:shd w:val="clear" w:color="auto" w:fill="00B0F0"/>
          </w:tcPr>
          <w:p w:rsidR="00F928E8" w:rsidRPr="004D43D1" w:rsidRDefault="00F928E8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PODEJŚCIE METODOLOGICZNE?</w:t>
            </w:r>
          </w:p>
        </w:tc>
      </w:tr>
      <w:tr w:rsidR="00F928E8" w:rsidTr="00CC643A">
        <w:tc>
          <w:tcPr>
            <w:tcW w:w="6941" w:type="dxa"/>
            <w:gridSpan w:val="3"/>
          </w:tcPr>
          <w:p w:rsidR="00F928E8" w:rsidRDefault="00F928E8" w:rsidP="006D6EC3">
            <w:r>
              <w:t>Aktualne zagrożenia klimatyczne</w:t>
            </w:r>
          </w:p>
        </w:tc>
        <w:tc>
          <w:tcPr>
            <w:tcW w:w="1647" w:type="dxa"/>
          </w:tcPr>
          <w:p w:rsidR="00F928E8" w:rsidRDefault="00F928E8" w:rsidP="006D6EC3">
            <w:r>
              <w:t>TAK</w:t>
            </w:r>
          </w:p>
        </w:tc>
        <w:tc>
          <w:tcPr>
            <w:tcW w:w="5387" w:type="dxa"/>
          </w:tcPr>
          <w:p w:rsidR="00122253" w:rsidRDefault="00122253" w:rsidP="007923D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Odwołano się do map zagrożenia i ryzyka powodziowego</w:t>
            </w:r>
          </w:p>
          <w:p w:rsidR="00122253" w:rsidRDefault="00122253" w:rsidP="007923D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Nie opierano się na wynikach szczegółowych analiz, nie wskazano w oparciu o jakie źródła dokonano wyboru klimatycznych czynników ryzyka</w:t>
            </w:r>
          </w:p>
          <w:p w:rsidR="00F928E8" w:rsidRPr="007923D6" w:rsidRDefault="00122253" w:rsidP="00122253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Opracowano matrycę</w:t>
            </w:r>
            <w:r w:rsidR="007923D6" w:rsidRPr="007923D6"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ryzyk</w:t>
            </w:r>
            <w:proofErr w:type="spellEnd"/>
            <w:r>
              <w:rPr>
                <w:rFonts w:cs="Times New Roman"/>
              </w:rPr>
              <w:t>, w tym ryzyka</w:t>
            </w:r>
            <w:r w:rsidR="007923D6" w:rsidRPr="007923D6">
              <w:rPr>
                <w:rFonts w:cs="Times New Roman"/>
              </w:rPr>
              <w:t xml:space="preserve"> zwi</w:t>
            </w:r>
            <w:r w:rsidR="007923D6" w:rsidRPr="007923D6">
              <w:rPr>
                <w:rFonts w:eastAsia="TimesNewRoman" w:cs="TimesNewRoman"/>
              </w:rPr>
              <w:t>ą</w:t>
            </w:r>
            <w:r>
              <w:rPr>
                <w:rFonts w:cs="Times New Roman"/>
              </w:rPr>
              <w:t>zanego z klimatem, uwzględniając czynniki ryzyka, ich skutki i prawdopodobieństwo wystąpienia, określono poziom ryzyka, środki zapobiegawcze / łagodzące oraz ryzyko rezydualne</w:t>
            </w:r>
          </w:p>
        </w:tc>
      </w:tr>
      <w:tr w:rsidR="00F928E8" w:rsidTr="00CC643A">
        <w:tc>
          <w:tcPr>
            <w:tcW w:w="6941" w:type="dxa"/>
            <w:gridSpan w:val="3"/>
          </w:tcPr>
          <w:p w:rsidR="00F928E8" w:rsidRDefault="00F928E8" w:rsidP="00230E7E">
            <w:r>
              <w:t>Przyszłe zagrożenia klimatyczne</w:t>
            </w:r>
          </w:p>
        </w:tc>
        <w:tc>
          <w:tcPr>
            <w:tcW w:w="1647" w:type="dxa"/>
          </w:tcPr>
          <w:p w:rsidR="00F928E8" w:rsidRDefault="00122253" w:rsidP="00230E7E">
            <w:r>
              <w:t>NIE</w:t>
            </w:r>
          </w:p>
        </w:tc>
        <w:tc>
          <w:tcPr>
            <w:tcW w:w="5387" w:type="dxa"/>
          </w:tcPr>
          <w:p w:rsidR="000A33F8" w:rsidRPr="00D856BA" w:rsidRDefault="000A33F8" w:rsidP="00201D77">
            <w:pPr>
              <w:autoSpaceDE w:val="0"/>
              <w:autoSpaceDN w:val="0"/>
              <w:adjustRightInd w:val="0"/>
              <w:rPr>
                <w:rFonts w:eastAsia="BookmanOldStyle" w:cs="BookmanOldStyle"/>
              </w:rPr>
            </w:pPr>
          </w:p>
        </w:tc>
      </w:tr>
      <w:tr w:rsidR="00F928E8" w:rsidTr="00CC643A">
        <w:tc>
          <w:tcPr>
            <w:tcW w:w="13975" w:type="dxa"/>
            <w:gridSpan w:val="5"/>
            <w:shd w:val="clear" w:color="auto" w:fill="00B0F0"/>
          </w:tcPr>
          <w:p w:rsidR="00F928E8" w:rsidRPr="00E7407F" w:rsidRDefault="00E7407F" w:rsidP="00230E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OCENA PODEJŚCIA DO SZACOWANIA RYZYK KLIMATYCZNYCH W KONTEKŚCIE ZAŁOŻEŃ PO</w:t>
            </w:r>
            <w:r w:rsidR="00077D63">
              <w:rPr>
                <w:b/>
                <w:sz w:val="20"/>
                <w:szCs w:val="20"/>
              </w:rPr>
              <w:t>RADNIKA</w:t>
            </w:r>
          </w:p>
        </w:tc>
      </w:tr>
      <w:tr w:rsidR="004002EE" w:rsidTr="00CC643A">
        <w:tc>
          <w:tcPr>
            <w:tcW w:w="13975" w:type="dxa"/>
            <w:gridSpan w:val="5"/>
            <w:shd w:val="clear" w:color="auto" w:fill="auto"/>
          </w:tcPr>
          <w:p w:rsidR="00CC643A" w:rsidRPr="008F0AED" w:rsidRDefault="006F7D28" w:rsidP="008F0AED">
            <w:pPr>
              <w:autoSpaceDE w:val="0"/>
              <w:autoSpaceDN w:val="0"/>
              <w:adjustRightInd w:val="0"/>
            </w:pPr>
            <w:r>
              <w:rPr>
                <w:rFonts w:cs="Times New Roman"/>
              </w:rPr>
              <w:t>P</w:t>
            </w:r>
            <w:r w:rsidRPr="009E2DB4">
              <w:rPr>
                <w:rFonts w:cs="Times New Roman"/>
              </w:rPr>
              <w:t xml:space="preserve">rzeprowadzono </w:t>
            </w:r>
            <w:r w:rsidR="004F5599">
              <w:t>ocenę podatności projektu na zmiany klimatu</w:t>
            </w:r>
            <w:r w:rsidR="008F0AED">
              <w:t xml:space="preserve"> (SW) - </w:t>
            </w:r>
            <w:r w:rsidR="008F0AED" w:rsidRPr="00BA7F7A">
              <w:rPr>
                <w:rFonts w:eastAsia="BookmanOldStyle" w:cs="BookmanOldStyle"/>
              </w:rPr>
              <w:t xml:space="preserve">Wnioskodawca przedstawił </w:t>
            </w:r>
            <w:r w:rsidR="008F0AED">
              <w:rPr>
                <w:rFonts w:eastAsia="BookmanOldStyle" w:cs="BookmanOldStyle"/>
              </w:rPr>
              <w:t xml:space="preserve">od razu </w:t>
            </w:r>
            <w:r w:rsidR="008F0AED" w:rsidRPr="00BA7F7A">
              <w:rPr>
                <w:rFonts w:eastAsia="BookmanOldStyle" w:cs="BookmanOldStyle"/>
              </w:rPr>
              <w:t xml:space="preserve">analizę </w:t>
            </w:r>
            <w:proofErr w:type="spellStart"/>
            <w:r w:rsidR="008F0AED" w:rsidRPr="00BA7F7A">
              <w:rPr>
                <w:rFonts w:eastAsia="BookmanOldStyle" w:cs="BookmanOldStyle"/>
              </w:rPr>
              <w:t>ryzyk</w:t>
            </w:r>
            <w:proofErr w:type="spellEnd"/>
            <w:r w:rsidR="008F0AED" w:rsidRPr="00BA7F7A">
              <w:rPr>
                <w:rFonts w:eastAsia="BookmanOldStyle" w:cs="BookmanOldStyle"/>
              </w:rPr>
              <w:t xml:space="preserve"> klimatycznych wraz z ich klasyfikacją oraz uwzględnieniem projektowanych działa</w:t>
            </w:r>
            <w:r w:rsidR="008F0AED">
              <w:rPr>
                <w:rFonts w:eastAsia="BookmanOldStyle" w:cs="BookmanOldStyle"/>
              </w:rPr>
              <w:t xml:space="preserve">ń zapobiegawczo-łagodzących (w postaci matrycy </w:t>
            </w:r>
            <w:proofErr w:type="spellStart"/>
            <w:r w:rsidR="008F0AED">
              <w:rPr>
                <w:rFonts w:eastAsia="BookmanOldStyle" w:cs="BookmanOldStyle"/>
              </w:rPr>
              <w:t>ryzyk</w:t>
            </w:r>
            <w:proofErr w:type="spellEnd"/>
            <w:r w:rsidR="008F0AED">
              <w:rPr>
                <w:rFonts w:eastAsia="BookmanOldStyle" w:cs="BookmanOldStyle"/>
              </w:rPr>
              <w:t xml:space="preserve">). Zastosowane podejście </w:t>
            </w:r>
            <w:r w:rsidR="008F0AED">
              <w:rPr>
                <w:rFonts w:cs="Times New Roman"/>
              </w:rPr>
              <w:t>zgodn</w:t>
            </w:r>
            <w:r w:rsidRPr="009E2DB4">
              <w:rPr>
                <w:rFonts w:cs="Times New Roman"/>
              </w:rPr>
              <w:t xml:space="preserve">e </w:t>
            </w:r>
            <w:r w:rsidR="008F0AED">
              <w:rPr>
                <w:rFonts w:cs="Times New Roman"/>
              </w:rPr>
              <w:t xml:space="preserve">jest </w:t>
            </w:r>
            <w:r w:rsidRPr="009E2DB4">
              <w:rPr>
                <w:rFonts w:cs="Times New Roman"/>
              </w:rPr>
              <w:t xml:space="preserve">z </w:t>
            </w:r>
            <w:r w:rsidR="008F0AED">
              <w:rPr>
                <w:rFonts w:cs="Times New Roman"/>
              </w:rPr>
              <w:t>podejściem opisanym w „Poradniku</w:t>
            </w:r>
            <w:r>
              <w:rPr>
                <w:rFonts w:cs="Times New Roman"/>
              </w:rPr>
              <w:t xml:space="preserve"> p</w:t>
            </w:r>
            <w:r w:rsidRPr="009E2DB4">
              <w:rPr>
                <w:rFonts w:cs="Times New Roman"/>
              </w:rPr>
              <w:t>rzygotowania Inwestycji z uwzgl</w:t>
            </w:r>
            <w:r w:rsidRPr="009E2DB4">
              <w:rPr>
                <w:rFonts w:eastAsia="TimesNewRoman" w:cs="TimesNewRoman"/>
              </w:rPr>
              <w:t>ę</w:t>
            </w:r>
            <w:r w:rsidRPr="009E2DB4">
              <w:rPr>
                <w:rFonts w:cs="Times New Roman"/>
              </w:rPr>
              <w:t>dnieniem zmian klimatu, ich łago</w:t>
            </w:r>
            <w:r>
              <w:rPr>
                <w:rFonts w:cs="Times New Roman"/>
              </w:rPr>
              <w:t xml:space="preserve">dzenia i przystosowania do tych </w:t>
            </w:r>
            <w:r w:rsidRPr="009E2DB4">
              <w:rPr>
                <w:rFonts w:cs="Times New Roman"/>
              </w:rPr>
              <w:t>zmian oraz odporno</w:t>
            </w:r>
            <w:r w:rsidRPr="009E2DB4">
              <w:rPr>
                <w:rFonts w:eastAsia="TimesNewRoman" w:cs="TimesNewRoman"/>
              </w:rPr>
              <w:t>ś</w:t>
            </w:r>
            <w:r w:rsidRPr="009E2DB4">
              <w:rPr>
                <w:rFonts w:cs="Times New Roman"/>
              </w:rPr>
              <w:t>ci na kl</w:t>
            </w:r>
            <w:r w:rsidRPr="009E2DB4">
              <w:rPr>
                <w:rFonts w:eastAsia="TimesNewRoman" w:cs="TimesNewRoman"/>
              </w:rPr>
              <w:t>ę</w:t>
            </w:r>
            <w:r w:rsidRPr="009E2DB4">
              <w:rPr>
                <w:rFonts w:cs="Times New Roman"/>
              </w:rPr>
              <w:t xml:space="preserve">ski </w:t>
            </w:r>
            <w:r w:rsidRPr="009E2DB4">
              <w:rPr>
                <w:rFonts w:eastAsia="TimesNewRoman" w:cs="TimesNewRoman"/>
              </w:rPr>
              <w:t>ż</w:t>
            </w:r>
            <w:r w:rsidRPr="009E2DB4">
              <w:rPr>
                <w:rFonts w:cs="Times New Roman"/>
              </w:rPr>
              <w:t>ywiołowe”</w:t>
            </w:r>
            <w:r>
              <w:rPr>
                <w:rFonts w:cs="Times New Roman"/>
              </w:rPr>
              <w:t xml:space="preserve">, </w:t>
            </w:r>
            <w:r>
              <w:t>wydanym przez Ministerstwo Środowiska, Departament Zrównoważ</w:t>
            </w:r>
            <w:r w:rsidR="008F0AED">
              <w:t>onego Rozwoju.</w:t>
            </w:r>
            <w:r>
              <w:t xml:space="preserve"> </w:t>
            </w:r>
            <w:r w:rsidR="00824E30" w:rsidRPr="00D856BA">
              <w:rPr>
                <w:i/>
              </w:rPr>
              <w:t xml:space="preserve">(aczkolwiek </w:t>
            </w:r>
            <w:r w:rsidR="008F0AED">
              <w:rPr>
                <w:i/>
              </w:rPr>
              <w:t xml:space="preserve">analiza przedstawiona przez Wnioskodawcę została wykonana </w:t>
            </w:r>
            <w:r w:rsidR="00824E30" w:rsidRPr="00D856BA">
              <w:rPr>
                <w:i/>
              </w:rPr>
              <w:t>w sposób</w:t>
            </w:r>
            <w:r w:rsidR="008F0AED">
              <w:rPr>
                <w:i/>
              </w:rPr>
              <w:t xml:space="preserve"> uproszczony</w:t>
            </w:r>
            <w:r w:rsidR="00824E30" w:rsidRPr="00D856BA">
              <w:rPr>
                <w:i/>
              </w:rPr>
              <w:t xml:space="preserve">; nie analizowano np. </w:t>
            </w:r>
            <w:proofErr w:type="spellStart"/>
            <w:r w:rsidR="00824E30" w:rsidRPr="00D856BA">
              <w:rPr>
                <w:i/>
              </w:rPr>
              <w:t>ryzyk</w:t>
            </w:r>
            <w:proofErr w:type="spellEnd"/>
            <w:r w:rsidR="00824E30" w:rsidRPr="00D856BA">
              <w:rPr>
                <w:i/>
              </w:rPr>
              <w:t xml:space="preserve"> </w:t>
            </w:r>
            <w:r w:rsidR="005C1F1C" w:rsidRPr="00D856BA">
              <w:rPr>
                <w:i/>
              </w:rPr>
              <w:t>w kontekście kolejnych faz "życia" inwestycji</w:t>
            </w:r>
            <w:r w:rsidR="00BA7F7A">
              <w:rPr>
                <w:i/>
              </w:rPr>
              <w:t xml:space="preserve">, </w:t>
            </w:r>
            <w:r w:rsidR="008F0AED">
              <w:rPr>
                <w:i/>
              </w:rPr>
              <w:t xml:space="preserve">nie odniesiono się do przyszłych </w:t>
            </w:r>
            <w:proofErr w:type="spellStart"/>
            <w:r w:rsidR="008F0AED">
              <w:rPr>
                <w:i/>
              </w:rPr>
              <w:t>zagrożen</w:t>
            </w:r>
            <w:proofErr w:type="spellEnd"/>
            <w:r w:rsidR="008F0AED">
              <w:rPr>
                <w:i/>
              </w:rPr>
              <w:t xml:space="preserve"> klimatycznych)</w:t>
            </w:r>
            <w:r w:rsidR="00BA7F7A">
              <w:rPr>
                <w:i/>
              </w:rPr>
              <w:t xml:space="preserve"> </w:t>
            </w:r>
          </w:p>
        </w:tc>
      </w:tr>
      <w:tr w:rsidR="004002EE" w:rsidTr="00CC643A">
        <w:tc>
          <w:tcPr>
            <w:tcW w:w="13975" w:type="dxa"/>
            <w:gridSpan w:val="5"/>
            <w:shd w:val="clear" w:color="auto" w:fill="00B0F0"/>
          </w:tcPr>
          <w:p w:rsidR="004002EE" w:rsidRPr="004D43D1" w:rsidRDefault="00E7407F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4D43D1">
              <w:rPr>
                <w:b/>
                <w:sz w:val="20"/>
                <w:szCs w:val="20"/>
              </w:rPr>
              <w:t>ZASTOSOWANYCH ROZWIĄZAŃ</w:t>
            </w:r>
            <w:r>
              <w:rPr>
                <w:b/>
                <w:sz w:val="20"/>
                <w:szCs w:val="20"/>
              </w:rPr>
              <w:t xml:space="preserve"> ZABEZPIECZAJĄCYCH</w:t>
            </w:r>
          </w:p>
        </w:tc>
      </w:tr>
      <w:tr w:rsidR="00F928E8" w:rsidTr="00CC643A">
        <w:tc>
          <w:tcPr>
            <w:tcW w:w="13975" w:type="dxa"/>
            <w:gridSpan w:val="5"/>
          </w:tcPr>
          <w:p w:rsidR="009C4F1D" w:rsidRPr="008F0AED" w:rsidRDefault="00604C64" w:rsidP="009C4F1D">
            <w:r w:rsidRPr="003074CB">
              <w:t>D</w:t>
            </w:r>
            <w:r w:rsidR="00E7407F" w:rsidRPr="003074CB">
              <w:t xml:space="preserve">la </w:t>
            </w:r>
            <w:proofErr w:type="spellStart"/>
            <w:r w:rsidR="00E7407F" w:rsidRPr="003074CB">
              <w:t>ryzyk</w:t>
            </w:r>
            <w:proofErr w:type="spellEnd"/>
            <w:r w:rsidR="00E7407F" w:rsidRPr="003074CB">
              <w:t xml:space="preserve"> </w:t>
            </w:r>
            <w:r w:rsidR="009C4F1D">
              <w:t xml:space="preserve">które zidentyfikowano </w:t>
            </w:r>
            <w:r w:rsidR="00C71CFF">
              <w:t xml:space="preserve">(wykazano </w:t>
            </w:r>
            <w:r w:rsidR="008F0AED">
              <w:t>co najwyżej niski poziom ryzyka</w:t>
            </w:r>
            <w:r w:rsidR="00C71CFF">
              <w:t xml:space="preserve">) </w:t>
            </w:r>
            <w:r w:rsidR="003074CB" w:rsidRPr="003074CB">
              <w:t>wskazano</w:t>
            </w:r>
            <w:r w:rsidR="00E7407F" w:rsidRPr="003074CB">
              <w:t xml:space="preserve"> adekwatne opcje adaptacyjne</w:t>
            </w:r>
            <w:r w:rsidR="009C4F1D">
              <w:t xml:space="preserve">; </w:t>
            </w:r>
            <w:r w:rsidR="008F0AED">
              <w:t>wydaje się jednak, że Wnioskodawca podszedł do tematu dość ogólnikowo, skupiając się przede wszystkim na ryzyku związanym z przerwami w dostawach energii elektrycznej, proponując tylko jedno rozwiązanie dotyczące zapobiegania skutkom nawalnych opadów; nie uwzględnił ryzyka związanego z niedoborami wody, niskimi przepływami (zmniejszenie przepływu w rzece do której zrzucane są oczyszczone ścieki), tym bardziej, że oczyszczalnie obsługuje nie tylko mieszkańców, ale także kilka zakładów przemysłowych, w tym browar.</w:t>
            </w:r>
          </w:p>
        </w:tc>
      </w:tr>
      <w:tr w:rsidR="004D43D1" w:rsidTr="00CC643A">
        <w:tc>
          <w:tcPr>
            <w:tcW w:w="13975" w:type="dxa"/>
            <w:gridSpan w:val="5"/>
            <w:shd w:val="clear" w:color="auto" w:fill="4472C4" w:themeFill="accent1"/>
          </w:tcPr>
          <w:p w:rsidR="004D43D1" w:rsidRDefault="004D43D1" w:rsidP="00BB7947">
            <w:pPr>
              <w:rPr>
                <w:b/>
              </w:rPr>
            </w:pPr>
            <w:r w:rsidRPr="004662BE">
              <w:rPr>
                <w:b/>
              </w:rPr>
              <w:t>ROZWIĄZANIA ZWIĄZANE Z ŁAGODZENIEM ZMIAN KLIMATU</w:t>
            </w:r>
          </w:p>
        </w:tc>
      </w:tr>
      <w:tr w:rsidR="004D43D1" w:rsidRPr="00F928E8" w:rsidTr="00CC643A">
        <w:tc>
          <w:tcPr>
            <w:tcW w:w="13975" w:type="dxa"/>
            <w:gridSpan w:val="5"/>
            <w:shd w:val="clear" w:color="auto" w:fill="00B0F0"/>
          </w:tcPr>
          <w:p w:rsidR="004D43D1" w:rsidRPr="00F928E8" w:rsidRDefault="004D43D1" w:rsidP="00BB7947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4D43D1" w:rsidTr="00CC643A">
        <w:tc>
          <w:tcPr>
            <w:tcW w:w="13975" w:type="dxa"/>
            <w:gridSpan w:val="5"/>
          </w:tcPr>
          <w:p w:rsidR="007623D9" w:rsidRPr="000A47B7" w:rsidRDefault="007623D9" w:rsidP="007623D9">
            <w:pPr>
              <w:autoSpaceDE w:val="0"/>
              <w:autoSpaceDN w:val="0"/>
              <w:adjustRightInd w:val="0"/>
              <w:rPr>
                <w:rFonts w:eastAsia="BookmanOldStyle" w:cs="BookmanOldStyle"/>
              </w:rPr>
            </w:pPr>
            <w:r>
              <w:rPr>
                <w:rFonts w:eastAsia="BookmanOldStyle" w:cs="BookmanOldStyle"/>
              </w:rPr>
              <w:t>- zmiana</w:t>
            </w:r>
            <w:r w:rsidRPr="000A47B7">
              <w:rPr>
                <w:rFonts w:eastAsia="BookmanOldStyle" w:cs="BookmanOldStyle"/>
              </w:rPr>
              <w:t xml:space="preserve"> technologii przeróbki osadów</w:t>
            </w:r>
            <w:r>
              <w:rPr>
                <w:rFonts w:eastAsia="BookmanOldStyle" w:cs="BookmanOldStyle"/>
              </w:rPr>
              <w:t xml:space="preserve"> polegająca</w:t>
            </w:r>
            <w:r w:rsidRPr="000A47B7">
              <w:rPr>
                <w:rFonts w:eastAsia="BookmanOldStyle" w:cs="BookmanOldStyle"/>
              </w:rPr>
              <w:t xml:space="preserve"> na wprowadzeniu</w:t>
            </w:r>
            <w:r>
              <w:rPr>
                <w:rFonts w:eastAsia="BookmanOldStyle" w:cs="BookmanOldStyle"/>
              </w:rPr>
              <w:t xml:space="preserve"> </w:t>
            </w:r>
            <w:r w:rsidRPr="000A47B7">
              <w:rPr>
                <w:rFonts w:eastAsia="BookmanOldStyle" w:cs="BookmanOldStyle"/>
              </w:rPr>
              <w:t xml:space="preserve">metanowej fermentacji </w:t>
            </w:r>
            <w:r>
              <w:rPr>
                <w:rFonts w:eastAsia="BookmanOldStyle" w:cs="BookmanOldStyle"/>
              </w:rPr>
              <w:t>osa</w:t>
            </w:r>
            <w:r w:rsidRPr="000A47B7">
              <w:rPr>
                <w:rFonts w:eastAsia="BookmanOldStyle" w:cs="BookmanOldStyle"/>
              </w:rPr>
              <w:t>dów wstępnych i nadmiernych zamkniętych w komorze</w:t>
            </w:r>
          </w:p>
          <w:p w:rsidR="009E7D85" w:rsidRDefault="007623D9" w:rsidP="007623D9">
            <w:pPr>
              <w:autoSpaceDE w:val="0"/>
              <w:autoSpaceDN w:val="0"/>
              <w:adjustRightInd w:val="0"/>
              <w:rPr>
                <w:rFonts w:eastAsia="BookmanOldStyle" w:cs="BookmanOldStyle"/>
              </w:rPr>
            </w:pPr>
            <w:r w:rsidRPr="000A47B7">
              <w:rPr>
                <w:rFonts w:eastAsia="BookmanOldStyle" w:cs="BookmanOldStyle"/>
              </w:rPr>
              <w:t>z odzyskaniem biogazu</w:t>
            </w:r>
            <w:r w:rsidR="00070938">
              <w:rPr>
                <w:rFonts w:eastAsia="BookmanOldStyle" w:cs="BookmanOldStyle"/>
              </w:rPr>
              <w:t xml:space="preserve"> (</w:t>
            </w:r>
            <w:r w:rsidR="00070938" w:rsidRPr="0024749C">
              <w:rPr>
                <w:rFonts w:eastAsia="BookmanOldStyle" w:cs="BookmanOldStyle"/>
              </w:rPr>
              <w:t>montaż instalacji do odzysku biogazu</w:t>
            </w:r>
            <w:r w:rsidR="00070938">
              <w:rPr>
                <w:rFonts w:eastAsia="BookmanOldStyle" w:cs="BookmanOldStyle"/>
              </w:rPr>
              <w:t>)</w:t>
            </w:r>
            <w:r w:rsidRPr="000A47B7">
              <w:rPr>
                <w:rFonts w:eastAsia="BookmanOldStyle" w:cs="BookmanOldStyle"/>
              </w:rPr>
              <w:t xml:space="preserve"> i wykorzystaniu go w procesie kogeneracji</w:t>
            </w:r>
            <w:r w:rsidR="00070938">
              <w:rPr>
                <w:rFonts w:eastAsia="BookmanOldStyle" w:cs="BookmanOldStyle"/>
              </w:rPr>
              <w:t xml:space="preserve"> - zmniejszenie</w:t>
            </w:r>
            <w:r w:rsidR="00070938" w:rsidRPr="0024749C">
              <w:rPr>
                <w:rFonts w:eastAsia="BookmanOldStyle" w:cs="BookmanOldStyle"/>
              </w:rPr>
              <w:t xml:space="preserve"> emisji gazów cieplarnianych</w:t>
            </w:r>
          </w:p>
          <w:p w:rsidR="004D43D1" w:rsidRPr="00053F4F" w:rsidRDefault="00070938" w:rsidP="00053F4F">
            <w:pPr>
              <w:autoSpaceDE w:val="0"/>
              <w:autoSpaceDN w:val="0"/>
              <w:adjustRightInd w:val="0"/>
              <w:rPr>
                <w:rFonts w:eastAsia="BookmanOldStyle" w:cs="BookmanOldStyle"/>
              </w:rPr>
            </w:pPr>
            <w:r>
              <w:rPr>
                <w:rFonts w:eastAsia="BookmanOldStyle" w:cs="BookmanOldStyle"/>
              </w:rPr>
              <w:lastRenderedPageBreak/>
              <w:t xml:space="preserve">- </w:t>
            </w:r>
            <w:r w:rsidRPr="0024749C">
              <w:rPr>
                <w:rFonts w:eastAsia="BookmanOldStyle" w:cs="BookmanOldStyle"/>
              </w:rPr>
              <w:t>zwiększenie</w:t>
            </w:r>
            <w:r>
              <w:rPr>
                <w:rFonts w:eastAsia="BookmanOldStyle" w:cs="BookmanOldStyle"/>
              </w:rPr>
              <w:t xml:space="preserve"> </w:t>
            </w:r>
            <w:r w:rsidRPr="0024749C">
              <w:rPr>
                <w:rFonts w:eastAsia="BookmanOldStyle" w:cs="BookmanOldStyle"/>
              </w:rPr>
              <w:t xml:space="preserve">efektywności energetycznej obiektu ze względu na </w:t>
            </w:r>
            <w:r>
              <w:rPr>
                <w:rFonts w:eastAsia="BookmanOldStyle" w:cs="BookmanOldStyle"/>
              </w:rPr>
              <w:t>wykorzystanie</w:t>
            </w:r>
            <w:r w:rsidRPr="0024749C">
              <w:rPr>
                <w:rFonts w:eastAsia="BookmanOldStyle" w:cs="BookmanOldStyle"/>
              </w:rPr>
              <w:t xml:space="preserve"> do produkcji na</w:t>
            </w:r>
            <w:r>
              <w:rPr>
                <w:rFonts w:eastAsia="BookmanOldStyle" w:cs="BookmanOldStyle"/>
              </w:rPr>
              <w:t xml:space="preserve"> </w:t>
            </w:r>
            <w:r w:rsidRPr="0024749C">
              <w:rPr>
                <w:rFonts w:eastAsia="BookmanOldStyle" w:cs="BookmanOldStyle"/>
              </w:rPr>
              <w:t>potrzeby własne energii elektrycznej i cieplnej biogazu powstającego w wyniku</w:t>
            </w:r>
            <w:r>
              <w:rPr>
                <w:rFonts w:eastAsia="BookmanOldStyle" w:cs="BookmanOldStyle"/>
              </w:rPr>
              <w:t xml:space="preserve"> </w:t>
            </w:r>
            <w:r w:rsidRPr="0024749C">
              <w:rPr>
                <w:rFonts w:eastAsia="BookmanOldStyle" w:cs="BookmanOldStyle"/>
              </w:rPr>
              <w:t xml:space="preserve">fermentacji osadów ściekowych. </w:t>
            </w:r>
          </w:p>
        </w:tc>
      </w:tr>
      <w:tr w:rsidR="004D43D1" w:rsidRPr="00F928E8" w:rsidTr="00CC643A">
        <w:tc>
          <w:tcPr>
            <w:tcW w:w="13975" w:type="dxa"/>
            <w:gridSpan w:val="5"/>
            <w:shd w:val="clear" w:color="auto" w:fill="00B0F0"/>
          </w:tcPr>
          <w:p w:rsidR="004D43D1" w:rsidRPr="00F928E8" w:rsidRDefault="004D43D1" w:rsidP="00BB7947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lastRenderedPageBreak/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4D43D1" w:rsidRPr="007D4675" w:rsidTr="00CC643A">
        <w:tc>
          <w:tcPr>
            <w:tcW w:w="13975" w:type="dxa"/>
            <w:gridSpan w:val="5"/>
          </w:tcPr>
          <w:p w:rsidR="00422164" w:rsidRDefault="00422164" w:rsidP="007D4675">
            <w:pPr>
              <w:autoSpaceDE w:val="0"/>
              <w:autoSpaceDN w:val="0"/>
              <w:adjustRightInd w:val="0"/>
            </w:pPr>
            <w:r>
              <w:t>- energetyczne wykorzystanie</w:t>
            </w:r>
            <w:r w:rsidRPr="00C12CEC">
              <w:t xml:space="preserve"> powstającego biogazu</w:t>
            </w:r>
            <w:r>
              <w:t xml:space="preserve"> - planuje się pozyskanie 833,3 MWh energii elektrycznej</w:t>
            </w:r>
          </w:p>
          <w:p w:rsidR="00422164" w:rsidRPr="00422164" w:rsidRDefault="00422164" w:rsidP="00422164">
            <w:pPr>
              <w:autoSpaceDE w:val="0"/>
              <w:autoSpaceDN w:val="0"/>
              <w:adjustRightInd w:val="0"/>
            </w:pPr>
            <w:r w:rsidRPr="00422164">
              <w:t>Obecnie Oczyszczalnia ścieków w Sierpcu wykazuje zapotrzebowanie na poziomie 1400 MWh/rok co daje emisj</w:t>
            </w:r>
            <w:r>
              <w:t>e CO2 na poziomie</w:t>
            </w:r>
            <w:r w:rsidR="005F75C7">
              <w:t xml:space="preserve"> </w:t>
            </w:r>
            <w:r>
              <w:t xml:space="preserve">1233,4 Mg CO2; </w:t>
            </w:r>
            <w:r w:rsidRPr="00422164">
              <w:t>dodatkowo przez obecność osadnikó</w:t>
            </w:r>
            <w:r>
              <w:t xml:space="preserve">w </w:t>
            </w:r>
            <w:proofErr w:type="spellStart"/>
            <w:r w:rsidRPr="00422164">
              <w:t>Imhoffa</w:t>
            </w:r>
            <w:proofErr w:type="spellEnd"/>
            <w:r w:rsidRPr="00422164">
              <w:t>, w których dochodzi do procesów gnilnych</w:t>
            </w:r>
            <w:r>
              <w:t>,</w:t>
            </w:r>
            <w:r w:rsidRPr="00422164">
              <w:t xml:space="preserve"> odbywa się emisja metanu w ilości : 30,66 Mg CH4/rok, co</w:t>
            </w:r>
          </w:p>
          <w:p w:rsidR="00422164" w:rsidRDefault="00CF1B3E" w:rsidP="00422164">
            <w:pPr>
              <w:autoSpaceDE w:val="0"/>
              <w:autoSpaceDN w:val="0"/>
              <w:adjustRightInd w:val="0"/>
            </w:pPr>
            <w:r>
              <w:t>przekłada się na</w:t>
            </w:r>
            <w:r w:rsidR="00422164" w:rsidRPr="00422164">
              <w:t xml:space="preserve"> emisję CO2 na poziomie 766,66 CO2/rok. Przy obecn</w:t>
            </w:r>
            <w:r w:rsidR="00422164">
              <w:t xml:space="preserve">ym funkcjonowaniu Oczyszczalnia </w:t>
            </w:r>
            <w:r w:rsidR="00422164" w:rsidRPr="00422164">
              <w:t xml:space="preserve">ścieków w Sierpcu emituje do atmosfery 2000,6 Mg CO2. </w:t>
            </w:r>
          </w:p>
          <w:p w:rsidR="00422164" w:rsidRPr="00422164" w:rsidRDefault="00422164" w:rsidP="00422164">
            <w:pPr>
              <w:autoSpaceDE w:val="0"/>
              <w:autoSpaceDN w:val="0"/>
              <w:adjustRightInd w:val="0"/>
            </w:pPr>
            <w:r w:rsidRPr="00422164">
              <w:t>Projekt zakłada produkcję</w:t>
            </w:r>
            <w:r>
              <w:t xml:space="preserve"> </w:t>
            </w:r>
            <w:r w:rsidRPr="00422164">
              <w:t>137</w:t>
            </w:r>
            <w:r>
              <w:t xml:space="preserve"> </w:t>
            </w:r>
            <w:r w:rsidRPr="00422164">
              <w:t>970 m3 biogazu (który w wyniku spalania metanu), który wyprodukuje</w:t>
            </w:r>
            <w:r>
              <w:t xml:space="preserve"> 833,3 MWh energii elektrycznej (zostanie wykorzystana na potrzeby własne oczyszczalni). </w:t>
            </w:r>
            <w:r w:rsidRPr="00422164">
              <w:t>Przy obecnym zapotrzebowaniu</w:t>
            </w:r>
            <w:r>
              <w:t xml:space="preserve"> </w:t>
            </w:r>
            <w:r w:rsidRPr="00422164">
              <w:t>energetyczny</w:t>
            </w:r>
            <w:r>
              <w:t>m o</w:t>
            </w:r>
            <w:r w:rsidRPr="00422164">
              <w:t>czyszczalni realizacja projektu przyczyni się</w:t>
            </w:r>
            <w:r>
              <w:t xml:space="preserve"> do zmniejszenia </w:t>
            </w:r>
            <w:r w:rsidRPr="00422164">
              <w:t>zapotrzebowania na energię elektryczną</w:t>
            </w:r>
            <w:r>
              <w:t xml:space="preserve"> o 833,3 MWh (</w:t>
            </w:r>
            <w:r w:rsidRPr="00422164">
              <w:t>z pierwotnego 1400 MWh) oraz przyczyni się</w:t>
            </w:r>
            <w:r>
              <w:t xml:space="preserve"> do </w:t>
            </w:r>
            <w:r w:rsidRPr="00422164">
              <w:t xml:space="preserve">zmniejszenia emisji CO2 o 743,17 Mg CO2 </w:t>
            </w:r>
            <w:r w:rsidR="00CF1B3E">
              <w:t>"</w:t>
            </w:r>
            <w:r w:rsidRPr="00422164">
              <w:t>emitowanej</w:t>
            </w:r>
            <w:r w:rsidR="00CF1B3E">
              <w:t>"</w:t>
            </w:r>
            <w:r w:rsidRPr="00422164">
              <w:t xml:space="preserve"> z energii elektrycznej. W wyniku modernizacji</w:t>
            </w:r>
            <w:r>
              <w:t xml:space="preserve"> </w:t>
            </w:r>
            <w:r w:rsidRPr="00422164">
              <w:t xml:space="preserve">osadników </w:t>
            </w:r>
            <w:proofErr w:type="spellStart"/>
            <w:r w:rsidRPr="00422164">
              <w:t>Imhoffa</w:t>
            </w:r>
            <w:proofErr w:type="spellEnd"/>
            <w:r w:rsidRPr="00422164">
              <w:t xml:space="preserve"> na zbiorniki retencyjne oraz spalania metanu w agregacie kogeneracyjnym, nie dojdzie do</w:t>
            </w:r>
            <w:r>
              <w:t xml:space="preserve"> </w:t>
            </w:r>
            <w:r w:rsidRPr="00422164">
              <w:t>emisji metanu do atmosfery. W związku z realizacją projektu zapotrzebowanie energetyczne oczyszczalni od</w:t>
            </w:r>
          </w:p>
          <w:p w:rsidR="007D4675" w:rsidRPr="00422164" w:rsidRDefault="00422164" w:rsidP="00422164">
            <w:pPr>
              <w:autoSpaceDE w:val="0"/>
              <w:autoSpaceDN w:val="0"/>
              <w:adjustRightInd w:val="0"/>
            </w:pPr>
            <w:r w:rsidRPr="00422164">
              <w:t>dostawców zewnętrznych będzie kształtować się</w:t>
            </w:r>
            <w:r>
              <w:t xml:space="preserve"> na poziomie 802,</w:t>
            </w:r>
            <w:r w:rsidRPr="00422164">
              <w:t>6 MWh i w związku z tym bę</w:t>
            </w:r>
            <w:r>
              <w:t xml:space="preserve">dzie </w:t>
            </w:r>
            <w:r w:rsidRPr="00422164">
              <w:t>emitowała do atmosfery 499,23 Mg CO2. Realizacja projektu przyczyni się do z</w:t>
            </w:r>
            <w:r>
              <w:t xml:space="preserve">mniejszenia emisji CO2 na </w:t>
            </w:r>
            <w:r w:rsidRPr="00422164">
              <w:t xml:space="preserve">poziomie 1500,84 Mg CO2 oraz </w:t>
            </w:r>
            <w:r w:rsidR="005F75C7">
              <w:t xml:space="preserve">zmniejszenia "zewnętrznego" poboru </w:t>
            </w:r>
            <w:r w:rsidRPr="00422164">
              <w:t>energii elektrycznej o 833 MWh.</w:t>
            </w:r>
          </w:p>
        </w:tc>
      </w:tr>
      <w:tr w:rsidR="004D43D1" w:rsidTr="00CC643A">
        <w:tc>
          <w:tcPr>
            <w:tcW w:w="13975" w:type="dxa"/>
            <w:gridSpan w:val="5"/>
            <w:shd w:val="clear" w:color="auto" w:fill="4472C4" w:themeFill="accent1"/>
          </w:tcPr>
          <w:p w:rsidR="004D43D1" w:rsidRDefault="004D43D1" w:rsidP="00BB7947">
            <w:pPr>
              <w:rPr>
                <w:b/>
              </w:rPr>
            </w:pPr>
            <w:r w:rsidRPr="004662BE">
              <w:rPr>
                <w:b/>
              </w:rPr>
              <w:t xml:space="preserve">ROZWIĄZANIA ZWIĄZANE Z </w:t>
            </w:r>
            <w:r>
              <w:rPr>
                <w:b/>
              </w:rPr>
              <w:t>ADAPTACJĄ DO ZMIAN KLIMATU (POZA ZWIĘKSZENIEM ODPORNOŚCI INWESTYCJI)</w:t>
            </w:r>
          </w:p>
        </w:tc>
      </w:tr>
      <w:tr w:rsidR="004D43D1" w:rsidRPr="00F928E8" w:rsidTr="00CC643A">
        <w:tc>
          <w:tcPr>
            <w:tcW w:w="13975" w:type="dxa"/>
            <w:gridSpan w:val="5"/>
            <w:shd w:val="clear" w:color="auto" w:fill="00B0F0"/>
          </w:tcPr>
          <w:p w:rsidR="004D43D1" w:rsidRPr="00F928E8" w:rsidRDefault="004D43D1" w:rsidP="00BB7947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4D43D1" w:rsidTr="00CC643A">
        <w:tc>
          <w:tcPr>
            <w:tcW w:w="13975" w:type="dxa"/>
            <w:gridSpan w:val="5"/>
          </w:tcPr>
          <w:p w:rsidR="004D43D1" w:rsidRDefault="00604C64" w:rsidP="00BB7947">
            <w:pPr>
              <w:rPr>
                <w:b/>
              </w:rPr>
            </w:pPr>
            <w:r>
              <w:t>b</w:t>
            </w:r>
            <w:r w:rsidRPr="00604C64">
              <w:t>rak rozwiązań</w:t>
            </w:r>
          </w:p>
          <w:p w:rsidR="004D43D1" w:rsidRDefault="004D43D1" w:rsidP="00BB7947">
            <w:pPr>
              <w:rPr>
                <w:b/>
              </w:rPr>
            </w:pPr>
          </w:p>
        </w:tc>
      </w:tr>
      <w:tr w:rsidR="004D43D1" w:rsidRPr="00F928E8" w:rsidTr="00CC643A">
        <w:tc>
          <w:tcPr>
            <w:tcW w:w="13975" w:type="dxa"/>
            <w:gridSpan w:val="5"/>
            <w:shd w:val="clear" w:color="auto" w:fill="00B0F0"/>
          </w:tcPr>
          <w:p w:rsidR="004D43D1" w:rsidRPr="00F928E8" w:rsidRDefault="004D43D1" w:rsidP="00BB794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CHARAKTER ODDZIAŁYWANIA</w:t>
            </w:r>
          </w:p>
        </w:tc>
      </w:tr>
      <w:tr w:rsidR="004D43D1" w:rsidRPr="00F928E8" w:rsidTr="00CC643A">
        <w:tc>
          <w:tcPr>
            <w:tcW w:w="13975" w:type="dxa"/>
            <w:gridSpan w:val="5"/>
          </w:tcPr>
          <w:p w:rsidR="004D43D1" w:rsidRPr="00604C64" w:rsidRDefault="00604C64" w:rsidP="00CC643A">
            <w:pPr>
              <w:rPr>
                <w:sz w:val="20"/>
                <w:szCs w:val="20"/>
              </w:rPr>
            </w:pPr>
            <w:proofErr w:type="spellStart"/>
            <w:r w:rsidRPr="00604C64">
              <w:rPr>
                <w:sz w:val="20"/>
                <w:szCs w:val="20"/>
              </w:rPr>
              <w:t>n.d</w:t>
            </w:r>
            <w:proofErr w:type="spellEnd"/>
            <w:r w:rsidRPr="00604C64">
              <w:rPr>
                <w:sz w:val="20"/>
                <w:szCs w:val="20"/>
              </w:rPr>
              <w:t>.</w:t>
            </w:r>
          </w:p>
          <w:p w:rsidR="00CC643A" w:rsidRPr="00CC643A" w:rsidRDefault="00CC643A" w:rsidP="00CC643A">
            <w:pPr>
              <w:rPr>
                <w:b/>
                <w:color w:val="4472C4" w:themeColor="accent1"/>
                <w:sz w:val="20"/>
                <w:szCs w:val="20"/>
              </w:rPr>
            </w:pPr>
          </w:p>
        </w:tc>
      </w:tr>
      <w:tr w:rsidR="004D43D1" w:rsidRPr="00F928E8" w:rsidTr="00CC643A">
        <w:tc>
          <w:tcPr>
            <w:tcW w:w="13975" w:type="dxa"/>
            <w:gridSpan w:val="5"/>
            <w:shd w:val="clear" w:color="auto" w:fill="00B0F0"/>
          </w:tcPr>
          <w:p w:rsidR="004D43D1" w:rsidRPr="00F928E8" w:rsidRDefault="004D43D1" w:rsidP="00BB7947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4D43D1" w:rsidTr="00CC643A">
        <w:tc>
          <w:tcPr>
            <w:tcW w:w="13975" w:type="dxa"/>
            <w:gridSpan w:val="5"/>
          </w:tcPr>
          <w:p w:rsidR="004D43D1" w:rsidRPr="00604C64" w:rsidRDefault="00604C64" w:rsidP="00BB7947">
            <w:proofErr w:type="spellStart"/>
            <w:r w:rsidRPr="00604C64">
              <w:t>n.d</w:t>
            </w:r>
            <w:proofErr w:type="spellEnd"/>
            <w:r w:rsidRPr="00604C64">
              <w:t>.</w:t>
            </w:r>
          </w:p>
          <w:p w:rsidR="004D43D1" w:rsidRPr="00CC643A" w:rsidRDefault="004D43D1" w:rsidP="00BB7947">
            <w:pPr>
              <w:rPr>
                <w:i/>
              </w:rPr>
            </w:pPr>
          </w:p>
        </w:tc>
      </w:tr>
    </w:tbl>
    <w:p w:rsidR="00B95F15" w:rsidRPr="00077D63" w:rsidRDefault="00C76E2A" w:rsidP="006A0215">
      <w:pPr>
        <w:rPr>
          <w:b/>
          <w:sz w:val="32"/>
          <w:szCs w:val="32"/>
        </w:rPr>
      </w:pPr>
      <w:r w:rsidRPr="00DE2465">
        <w:rPr>
          <w:b/>
          <w:sz w:val="32"/>
          <w:szCs w:val="32"/>
        </w:rPr>
        <w:t>SKALA ODDZIAŁYWANIA STOSOWANYCH ROZWIĄZAŃ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2"/>
        <w:gridCol w:w="7655"/>
      </w:tblGrid>
      <w:tr w:rsidR="004662BE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4662BE" w:rsidRPr="004662BE" w:rsidRDefault="00AB21A8" w:rsidP="004662BE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 xml:space="preserve">LOKALNE </w:t>
            </w:r>
            <w:r>
              <w:rPr>
                <w:rFonts w:cstheme="minorHAnsi"/>
                <w:b/>
                <w:lang w:eastAsia="pl-PL"/>
              </w:rPr>
              <w:t>ODDZIAŁYWANIE</w:t>
            </w:r>
            <w:r w:rsidRPr="00AB21A8">
              <w:rPr>
                <w:rFonts w:cstheme="minorHAnsi"/>
                <w:b/>
                <w:lang w:eastAsia="pl-PL"/>
              </w:rPr>
              <w:t xml:space="preserve"> PODJĘTYCH DZIAŁAŃ ADAPTACYJNYCH</w:t>
            </w:r>
          </w:p>
        </w:tc>
      </w:tr>
      <w:tr w:rsidR="00AB21A8" w:rsidTr="00CC643A">
        <w:tc>
          <w:tcPr>
            <w:tcW w:w="6232" w:type="dxa"/>
            <w:shd w:val="clear" w:color="auto" w:fill="92D050"/>
          </w:tcPr>
          <w:p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6E3C60" w:rsidTr="00CC643A">
        <w:tc>
          <w:tcPr>
            <w:tcW w:w="6232" w:type="dxa"/>
          </w:tcPr>
          <w:p w:rsidR="006E3C60" w:rsidRPr="00604C64" w:rsidRDefault="00604C64" w:rsidP="006E3C60">
            <w:pPr>
              <w:rPr>
                <w:rFonts w:cstheme="minorHAnsi"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7655" w:type="dxa"/>
          </w:tcPr>
          <w:p w:rsidR="006E3C60" w:rsidRPr="006E3C60" w:rsidRDefault="00604C64" w:rsidP="006E3C60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</w:tr>
      <w:tr w:rsidR="006E3C60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 xml:space="preserve">REGIONALNE LUB PONADREGIONALNEODDZIAŁYWANIE PODJĘTYCH </w:t>
            </w:r>
            <w:r w:rsidRPr="00AB21A8">
              <w:rPr>
                <w:rFonts w:cstheme="minorHAnsi"/>
                <w:b/>
                <w:lang w:eastAsia="pl-PL"/>
              </w:rPr>
              <w:t>DZIAŁAŃ ADAPTACYJNYCH</w:t>
            </w:r>
          </w:p>
        </w:tc>
      </w:tr>
      <w:tr w:rsidR="006E3C60" w:rsidTr="00CC643A">
        <w:tc>
          <w:tcPr>
            <w:tcW w:w="6232" w:type="dxa"/>
            <w:shd w:val="clear" w:color="auto" w:fill="92D050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CC643A" w:rsidTr="00CC643A">
        <w:tc>
          <w:tcPr>
            <w:tcW w:w="6232" w:type="dxa"/>
          </w:tcPr>
          <w:p w:rsidR="00CC643A" w:rsidRPr="006E3C60" w:rsidRDefault="00604C64" w:rsidP="00CC643A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lastRenderedPageBreak/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7655" w:type="dxa"/>
          </w:tcPr>
          <w:p w:rsidR="00CC643A" w:rsidRPr="006E3C60" w:rsidRDefault="00604C64" w:rsidP="00CC643A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</w:tr>
      <w:tr w:rsidR="00CC643A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CC643A" w:rsidRPr="00B95F15" w:rsidRDefault="00CC643A" w:rsidP="00CC643A">
            <w:pPr>
              <w:jc w:val="center"/>
              <w:rPr>
                <w:rFonts w:cstheme="minorHAnsi"/>
                <w:b/>
                <w:lang w:eastAsia="pl-PL"/>
              </w:rPr>
            </w:pPr>
            <w:r w:rsidRPr="00B95F15">
              <w:rPr>
                <w:rFonts w:cstheme="minorHAnsi"/>
                <w:b/>
                <w:lang w:eastAsia="pl-PL"/>
              </w:rPr>
              <w:t>DZIAŁANIA MINIMALIZUJĄCE RYZYKO WYSTĄPIENIA NEGATYWNYCH ODDZIAŁYWAŃ</w:t>
            </w:r>
          </w:p>
        </w:tc>
      </w:tr>
      <w:tr w:rsidR="00CC643A" w:rsidTr="00CC643A">
        <w:tc>
          <w:tcPr>
            <w:tcW w:w="13887" w:type="dxa"/>
            <w:gridSpan w:val="2"/>
          </w:tcPr>
          <w:p w:rsidR="00CC643A" w:rsidRPr="00CC643A" w:rsidRDefault="006C44ED" w:rsidP="00CC643A">
            <w:pPr>
              <w:rPr>
                <w:rFonts w:cstheme="minorHAnsi"/>
                <w:i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</w:tr>
    </w:tbl>
    <w:p w:rsidR="004662BE" w:rsidRDefault="004662BE" w:rsidP="006A0215">
      <w:pPr>
        <w:rPr>
          <w:rFonts w:cstheme="minorHAnsi"/>
          <w:lang w:eastAsia="pl-PL"/>
        </w:rPr>
      </w:pPr>
    </w:p>
    <w:p w:rsidR="00D86DD6" w:rsidRPr="004E4D11" w:rsidRDefault="00C76E2A" w:rsidP="00DE2465">
      <w:pPr>
        <w:rPr>
          <w:rFonts w:cstheme="minorHAnsi"/>
          <w:b/>
          <w:sz w:val="32"/>
          <w:szCs w:val="32"/>
          <w:lang w:eastAsia="pl-PL"/>
        </w:rPr>
      </w:pPr>
      <w:r w:rsidRPr="004E4D11">
        <w:rPr>
          <w:rFonts w:cstheme="minorHAnsi"/>
          <w:b/>
          <w:sz w:val="32"/>
          <w:szCs w:val="32"/>
          <w:lang w:eastAsia="pl-PL"/>
        </w:rPr>
        <w:t>KOSZTY I KORZYŚCI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8615EE" w:rsidTr="007A4A0C">
        <w:tc>
          <w:tcPr>
            <w:tcW w:w="3498" w:type="dxa"/>
            <w:shd w:val="clear" w:color="auto" w:fill="4472C4" w:themeFill="accent1"/>
          </w:tcPr>
          <w:p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ETAP</w:t>
            </w:r>
          </w:p>
        </w:tc>
        <w:tc>
          <w:tcPr>
            <w:tcW w:w="3498" w:type="dxa"/>
            <w:shd w:val="clear" w:color="auto" w:fill="4472C4" w:themeFill="accent1"/>
          </w:tcPr>
          <w:p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 xml:space="preserve">ROZWIĄZANIA ZWIĄZANE ZE ZWIĘKSZANIEM ODPORNOŚCI INWESTYCJI </w:t>
            </w:r>
          </w:p>
        </w:tc>
        <w:tc>
          <w:tcPr>
            <w:tcW w:w="3499" w:type="dxa"/>
            <w:shd w:val="clear" w:color="auto" w:fill="4472C4" w:themeFill="accent1"/>
          </w:tcPr>
          <w:p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ADAPTACJĄ (INNE)</w:t>
            </w:r>
          </w:p>
        </w:tc>
        <w:tc>
          <w:tcPr>
            <w:tcW w:w="3499" w:type="dxa"/>
            <w:shd w:val="clear" w:color="auto" w:fill="4472C4" w:themeFill="accent1"/>
          </w:tcPr>
          <w:p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ŁAGODZENIEM ZMIAN KLIMATU (INNE)</w:t>
            </w:r>
          </w:p>
        </w:tc>
      </w:tr>
      <w:tr w:rsidR="007A4A0C" w:rsidTr="008615EE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UJĘCIE OPCJI W PROJEKCIE</w:t>
            </w:r>
          </w:p>
        </w:tc>
        <w:tc>
          <w:tcPr>
            <w:tcW w:w="3498" w:type="dxa"/>
          </w:tcPr>
          <w:p w:rsidR="007A4A0C" w:rsidRPr="007A4A0C" w:rsidRDefault="007A4A0C" w:rsidP="007A4A0C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 w:rsidRPr="006C44ED">
              <w:rPr>
                <w:rFonts w:cstheme="minorHAnsi"/>
                <w:lang w:eastAsia="pl-PL"/>
              </w:rPr>
              <w:t>TAK</w:t>
            </w:r>
          </w:p>
        </w:tc>
        <w:tc>
          <w:tcPr>
            <w:tcW w:w="3499" w:type="dxa"/>
          </w:tcPr>
          <w:p w:rsidR="007A4A0C" w:rsidRPr="006C44ED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6C44ED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7A4A0C" w:rsidRPr="006C44ED" w:rsidRDefault="00AC3866" w:rsidP="007A4A0C">
            <w:pPr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TAK</w:t>
            </w:r>
          </w:p>
        </w:tc>
      </w:tr>
      <w:tr w:rsidR="007A4A0C" w:rsidTr="007A4A0C">
        <w:tc>
          <w:tcPr>
            <w:tcW w:w="13994" w:type="dxa"/>
            <w:gridSpan w:val="4"/>
            <w:shd w:val="clear" w:color="auto" w:fill="00B0F0"/>
          </w:tcPr>
          <w:p w:rsidR="007A4A0C" w:rsidRPr="007A4A0C" w:rsidRDefault="0015763D" w:rsidP="007A4A0C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 xml:space="preserve">WPŁYW </w:t>
            </w:r>
            <w:r w:rsidR="007A4A0C" w:rsidRPr="00CB2DA1">
              <w:rPr>
                <w:rFonts w:cstheme="minorHAnsi"/>
                <w:b/>
                <w:lang w:eastAsia="pl-PL"/>
              </w:rPr>
              <w:t>KOSZTY</w:t>
            </w:r>
          </w:p>
        </w:tc>
      </w:tr>
      <w:tr w:rsidR="007A4A0C" w:rsidTr="00217193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REALIZACJI INWESTYCJI</w:t>
            </w:r>
          </w:p>
        </w:tc>
        <w:tc>
          <w:tcPr>
            <w:tcW w:w="10496" w:type="dxa"/>
            <w:gridSpan w:val="3"/>
          </w:tcPr>
          <w:p w:rsidR="0015763D" w:rsidRDefault="002F6113" w:rsidP="00670CF5">
            <w:pPr>
              <w:rPr>
                <w:rFonts w:cstheme="minorHAnsi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 xml:space="preserve">Nie określono kosztów </w:t>
            </w:r>
            <w:r w:rsidR="0015763D" w:rsidRPr="00670CF5">
              <w:rPr>
                <w:rFonts w:cstheme="minorHAnsi"/>
                <w:lang w:eastAsia="pl-PL"/>
              </w:rPr>
              <w:t>ponoszon</w:t>
            </w:r>
            <w:r w:rsidR="00670CF5" w:rsidRPr="00670CF5">
              <w:rPr>
                <w:rFonts w:cstheme="minorHAnsi"/>
                <w:lang w:eastAsia="pl-PL"/>
              </w:rPr>
              <w:t>ych</w:t>
            </w:r>
            <w:r w:rsidR="0015763D" w:rsidRPr="00670CF5">
              <w:rPr>
                <w:rFonts w:cstheme="minorHAnsi"/>
                <w:lang w:eastAsia="pl-PL"/>
              </w:rPr>
              <w:t xml:space="preserve"> na zwiększanie odporności inwestycji na zmiany klimatu, zagrożenia klęskami żywiołowymi lub katastrofami naturalnymi</w:t>
            </w:r>
            <w:r w:rsidR="0063083D">
              <w:rPr>
                <w:rFonts w:cstheme="minorHAnsi"/>
                <w:lang w:eastAsia="pl-PL"/>
              </w:rPr>
              <w:t>, ani kosztów ponoszonych na rozwiązania związ</w:t>
            </w:r>
            <w:r w:rsidR="00652EB6">
              <w:rPr>
                <w:rFonts w:cstheme="minorHAnsi"/>
                <w:lang w:eastAsia="pl-PL"/>
              </w:rPr>
              <w:t>ane z łagodzeniem zmian klimatu w fazie realizacji.</w:t>
            </w:r>
          </w:p>
          <w:p w:rsidR="00BE5DB2" w:rsidRPr="00670CF5" w:rsidRDefault="00BE5DB2" w:rsidP="00077D63">
            <w:pPr>
              <w:jc w:val="both"/>
              <w:rPr>
                <w:rFonts w:cstheme="minorHAnsi"/>
                <w:lang w:eastAsia="pl-PL"/>
              </w:rPr>
            </w:pPr>
            <w:r w:rsidRPr="00F1705D">
              <w:rPr>
                <w:rFonts w:cstheme="minorHAnsi"/>
                <w:lang w:eastAsia="pl-PL"/>
              </w:rPr>
              <w:t xml:space="preserve">Analiza przeprowadzona w SW (w tym analiza wariantów) odnosi się </w:t>
            </w:r>
            <w:r>
              <w:rPr>
                <w:rFonts w:cstheme="minorHAnsi"/>
                <w:lang w:eastAsia="pl-PL"/>
              </w:rPr>
              <w:t>kosztu</w:t>
            </w:r>
            <w:r w:rsidRPr="00F1705D">
              <w:rPr>
                <w:rFonts w:cstheme="minorHAnsi"/>
                <w:lang w:eastAsia="pl-PL"/>
              </w:rPr>
              <w:t xml:space="preserve"> </w:t>
            </w:r>
            <w:r>
              <w:rPr>
                <w:rFonts w:cstheme="minorHAnsi"/>
                <w:lang w:eastAsia="pl-PL"/>
              </w:rPr>
              <w:t>inwestycji w zależności od przyjętego wariantu (zakres prac, zastosowana technologia</w:t>
            </w:r>
            <w:r w:rsidR="00CF1B3E">
              <w:rPr>
                <w:rFonts w:cstheme="minorHAnsi"/>
                <w:lang w:eastAsia="pl-PL"/>
              </w:rPr>
              <w:t>, stopień energochłonności, możliwość produkcji energii odnawialnej</w:t>
            </w:r>
            <w:r>
              <w:rPr>
                <w:rFonts w:cstheme="minorHAnsi"/>
                <w:lang w:eastAsia="pl-PL"/>
              </w:rPr>
              <w:t>)</w:t>
            </w:r>
            <w:r w:rsidR="00CF1B3E">
              <w:rPr>
                <w:rFonts w:cstheme="minorHAnsi"/>
                <w:lang w:eastAsia="pl-PL"/>
              </w:rPr>
              <w:t>,</w:t>
            </w:r>
            <w:r w:rsidRPr="00F1705D">
              <w:rPr>
                <w:rFonts w:cstheme="minorHAnsi"/>
                <w:lang w:eastAsia="pl-PL"/>
              </w:rPr>
              <w:t xml:space="preserve"> jednak nie </w:t>
            </w:r>
            <w:r>
              <w:rPr>
                <w:rFonts w:cstheme="minorHAnsi"/>
                <w:lang w:eastAsia="pl-PL"/>
              </w:rPr>
              <w:t>odwołuje się ona</w:t>
            </w:r>
            <w:r w:rsidRPr="00F1705D">
              <w:rPr>
                <w:rFonts w:cstheme="minorHAnsi"/>
                <w:lang w:eastAsia="pl-PL"/>
              </w:rPr>
              <w:t xml:space="preserve"> do kosztów </w:t>
            </w:r>
            <w:r>
              <w:rPr>
                <w:rFonts w:cstheme="minorHAnsi"/>
                <w:lang w:eastAsia="pl-PL"/>
              </w:rPr>
              <w:t xml:space="preserve">związanych ze </w:t>
            </w:r>
            <w:r w:rsidRPr="00670CF5">
              <w:rPr>
                <w:rFonts w:cstheme="minorHAnsi"/>
                <w:lang w:eastAsia="pl-PL"/>
              </w:rPr>
              <w:t>zwiększanie</w:t>
            </w:r>
            <w:r>
              <w:rPr>
                <w:rFonts w:cstheme="minorHAnsi"/>
                <w:lang w:eastAsia="pl-PL"/>
              </w:rPr>
              <w:t>m</w:t>
            </w:r>
            <w:r w:rsidRPr="00670CF5">
              <w:rPr>
                <w:rFonts w:cstheme="minorHAnsi"/>
                <w:lang w:eastAsia="pl-PL"/>
              </w:rPr>
              <w:t xml:space="preserve"> odporności inwestycji na zmiany klimatu</w:t>
            </w:r>
            <w:r>
              <w:rPr>
                <w:rFonts w:cstheme="minorHAnsi"/>
                <w:lang w:eastAsia="pl-PL"/>
              </w:rPr>
              <w:t>. Może wynikać to z trudności z wyodrębnieniem tego rodzaju kosztów oraz podejścia do analizy wariantów, w</w:t>
            </w:r>
            <w:r w:rsidR="00447995">
              <w:rPr>
                <w:rFonts w:cstheme="minorHAnsi"/>
                <w:lang w:eastAsia="pl-PL"/>
              </w:rPr>
              <w:t xml:space="preserve"> której przedmiotem różnicowania</w:t>
            </w:r>
            <w:r>
              <w:rPr>
                <w:rFonts w:cstheme="minorHAnsi"/>
                <w:lang w:eastAsia="pl-PL"/>
              </w:rPr>
              <w:t xml:space="preserve"> był przede wszystkim zakres projektu</w:t>
            </w:r>
            <w:r w:rsidR="004B46EC">
              <w:rPr>
                <w:rFonts w:cstheme="minorHAnsi"/>
                <w:lang w:eastAsia="pl-PL"/>
              </w:rPr>
              <w:t>, koszty (inwestycyjne oraz eksploatacyjne)</w:t>
            </w:r>
            <w:r w:rsidR="00447995">
              <w:rPr>
                <w:rFonts w:cstheme="minorHAnsi"/>
                <w:lang w:eastAsia="pl-PL"/>
              </w:rPr>
              <w:t xml:space="preserve"> oraz jak najmniejsz</w:t>
            </w:r>
            <w:r w:rsidR="00CF1B3E">
              <w:rPr>
                <w:rFonts w:cstheme="minorHAnsi"/>
                <w:lang w:eastAsia="pl-PL"/>
              </w:rPr>
              <w:t>a energochłonność.</w:t>
            </w:r>
          </w:p>
        </w:tc>
      </w:tr>
      <w:tr w:rsidR="007A4A0C" w:rsidTr="008615EE">
        <w:tc>
          <w:tcPr>
            <w:tcW w:w="3498" w:type="dxa"/>
          </w:tcPr>
          <w:p w:rsidR="007A4A0C" w:rsidRPr="007A4A0C" w:rsidRDefault="008155B8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7A4A0C" w:rsidRPr="007A4A0C" w:rsidRDefault="00670CF5" w:rsidP="007A4A0C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7A4A0C" w:rsidRPr="00670CF5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>NIE DOTYCZY</w:t>
            </w:r>
          </w:p>
        </w:tc>
        <w:tc>
          <w:tcPr>
            <w:tcW w:w="3499" w:type="dxa"/>
          </w:tcPr>
          <w:p w:rsidR="007A4A0C" w:rsidRPr="00670CF5" w:rsidRDefault="007A4A0C" w:rsidP="00CA3E10">
            <w:pPr>
              <w:jc w:val="center"/>
              <w:rPr>
                <w:rFonts w:cstheme="minorHAnsi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>NIE</w:t>
            </w:r>
          </w:p>
        </w:tc>
      </w:tr>
      <w:tr w:rsidR="007A4A0C" w:rsidTr="003017C2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EKSPLOATACJI</w:t>
            </w:r>
          </w:p>
        </w:tc>
        <w:tc>
          <w:tcPr>
            <w:tcW w:w="10496" w:type="dxa"/>
            <w:gridSpan w:val="3"/>
          </w:tcPr>
          <w:p w:rsidR="00670CF5" w:rsidRPr="00F1705D" w:rsidRDefault="00670CF5" w:rsidP="00670CF5">
            <w:pPr>
              <w:rPr>
                <w:rFonts w:cstheme="minorHAnsi"/>
                <w:lang w:eastAsia="pl-PL"/>
              </w:rPr>
            </w:pPr>
            <w:r w:rsidRPr="00F1705D">
              <w:rPr>
                <w:rFonts w:cstheme="minorHAnsi"/>
                <w:lang w:eastAsia="pl-PL"/>
              </w:rPr>
              <w:t>Nie  określono kosztów ponoszonych na zwiększanie odporności inwestycji na zmiany klimatu, zagrożenia klęskami żywiołowy</w:t>
            </w:r>
            <w:r w:rsidR="00BE5DB2">
              <w:rPr>
                <w:rFonts w:cstheme="minorHAnsi"/>
                <w:lang w:eastAsia="pl-PL"/>
              </w:rPr>
              <w:t>mi lub katastrofami naturalnymi, ani kosztów ponoszonych na rozwiązania związ</w:t>
            </w:r>
            <w:r w:rsidR="00652EB6">
              <w:rPr>
                <w:rFonts w:cstheme="minorHAnsi"/>
                <w:lang w:eastAsia="pl-PL"/>
              </w:rPr>
              <w:t>ane z łagodzeniem zmian klimatu w fazie eksploatacji.</w:t>
            </w:r>
          </w:p>
          <w:p w:rsidR="00F1705D" w:rsidRPr="00BE5DB2" w:rsidRDefault="00F1705D" w:rsidP="00BE5DB2">
            <w:pPr>
              <w:rPr>
                <w:rFonts w:cstheme="minorHAnsi"/>
                <w:lang w:eastAsia="pl-PL"/>
              </w:rPr>
            </w:pPr>
          </w:p>
        </w:tc>
      </w:tr>
      <w:tr w:rsidR="00AC3866" w:rsidTr="008615EE">
        <w:tc>
          <w:tcPr>
            <w:tcW w:w="3498" w:type="dxa"/>
          </w:tcPr>
          <w:p w:rsidR="00AC3866" w:rsidRPr="007A4A0C" w:rsidRDefault="00AC3866" w:rsidP="00AC3866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AC3866" w:rsidRPr="007A4A0C" w:rsidRDefault="00AC3866" w:rsidP="00AC3866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AC3866" w:rsidRPr="00670CF5" w:rsidRDefault="00AC3866" w:rsidP="00AC3866">
            <w:pPr>
              <w:jc w:val="center"/>
              <w:rPr>
                <w:rFonts w:cstheme="minorHAnsi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>NIE DOTYCZY</w:t>
            </w:r>
          </w:p>
        </w:tc>
        <w:tc>
          <w:tcPr>
            <w:tcW w:w="3499" w:type="dxa"/>
          </w:tcPr>
          <w:p w:rsidR="00AC3866" w:rsidRPr="00670CF5" w:rsidRDefault="00AC3866" w:rsidP="00AC3866">
            <w:pPr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TAK/NIE</w:t>
            </w:r>
          </w:p>
        </w:tc>
      </w:tr>
      <w:tr w:rsidR="007A4A0C" w:rsidTr="00B31C00">
        <w:tc>
          <w:tcPr>
            <w:tcW w:w="13994" w:type="dxa"/>
            <w:gridSpan w:val="4"/>
            <w:shd w:val="clear" w:color="auto" w:fill="00B0F0"/>
          </w:tcPr>
          <w:p w:rsidR="007A4A0C" w:rsidRPr="007A4A0C" w:rsidRDefault="007A4A0C" w:rsidP="007A4A0C">
            <w:pPr>
              <w:rPr>
                <w:rFonts w:cstheme="minorHAnsi"/>
                <w:b/>
                <w:i/>
                <w:color w:val="4472C4" w:themeColor="accent1"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KORZYŚCI</w:t>
            </w:r>
          </w:p>
        </w:tc>
      </w:tr>
      <w:tr w:rsidR="0015763D" w:rsidTr="001D26A2">
        <w:tc>
          <w:tcPr>
            <w:tcW w:w="3498" w:type="dxa"/>
          </w:tcPr>
          <w:p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lastRenderedPageBreak/>
              <w:t>POTECNJALNE KORZY</w:t>
            </w:r>
            <w:r w:rsidR="008155B8">
              <w:rPr>
                <w:rFonts w:cstheme="minorHAnsi"/>
                <w:lang w:eastAsia="pl-PL"/>
              </w:rPr>
              <w:t>ŚCI LUB KOSZTY UNIKNIETYCH STRAT</w:t>
            </w:r>
          </w:p>
        </w:tc>
        <w:tc>
          <w:tcPr>
            <w:tcW w:w="10496" w:type="dxa"/>
            <w:gridSpan w:val="3"/>
          </w:tcPr>
          <w:p w:rsidR="00DE2465" w:rsidRPr="00670CF5" w:rsidRDefault="00670CF5" w:rsidP="0015763D">
            <w:pPr>
              <w:rPr>
                <w:rFonts w:cstheme="minorHAnsi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>Nie określono</w:t>
            </w:r>
            <w:r w:rsidR="00D86DD6" w:rsidRPr="00670CF5">
              <w:rPr>
                <w:rFonts w:cstheme="minorHAnsi"/>
                <w:lang w:eastAsia="pl-PL"/>
              </w:rPr>
              <w:t xml:space="preserve"> korzyści ekonomiczn</w:t>
            </w:r>
            <w:r w:rsidRPr="00670CF5">
              <w:rPr>
                <w:rFonts w:cstheme="minorHAnsi"/>
                <w:lang w:eastAsia="pl-PL"/>
              </w:rPr>
              <w:t>ych</w:t>
            </w:r>
            <w:r w:rsidR="00652EB6">
              <w:rPr>
                <w:rFonts w:cstheme="minorHAnsi"/>
                <w:lang w:eastAsia="pl-PL"/>
              </w:rPr>
              <w:t xml:space="preserve"> </w:t>
            </w:r>
            <w:r w:rsidR="00DE2465" w:rsidRPr="00670CF5">
              <w:rPr>
                <w:rFonts w:cstheme="minorHAnsi"/>
                <w:lang w:eastAsia="pl-PL"/>
              </w:rPr>
              <w:t>lub koszt</w:t>
            </w:r>
            <w:r w:rsidRPr="00670CF5">
              <w:rPr>
                <w:rFonts w:cstheme="minorHAnsi"/>
                <w:lang w:eastAsia="pl-PL"/>
              </w:rPr>
              <w:t>ów</w:t>
            </w:r>
            <w:r w:rsidR="00DE2465" w:rsidRPr="00670CF5">
              <w:rPr>
                <w:rFonts w:cstheme="minorHAnsi"/>
                <w:lang w:eastAsia="pl-PL"/>
              </w:rPr>
              <w:t xml:space="preserve"> unikniętych strat </w:t>
            </w:r>
            <w:r w:rsidR="00D86DD6" w:rsidRPr="00670CF5">
              <w:rPr>
                <w:rFonts w:cstheme="minorHAnsi"/>
                <w:lang w:eastAsia="pl-PL"/>
              </w:rPr>
              <w:t>wynikając</w:t>
            </w:r>
            <w:r w:rsidR="00AC3866">
              <w:rPr>
                <w:rFonts w:cstheme="minorHAnsi"/>
                <w:lang w:eastAsia="pl-PL"/>
              </w:rPr>
              <w:t>ych</w:t>
            </w:r>
            <w:r w:rsidR="00D86DD6" w:rsidRPr="00670CF5">
              <w:rPr>
                <w:rFonts w:cstheme="minorHAnsi"/>
                <w:lang w:eastAsia="pl-PL"/>
              </w:rPr>
              <w:t xml:space="preserve"> z ujęcia zagadnień klimatycznych</w:t>
            </w:r>
            <w:r w:rsidR="005F75C7">
              <w:rPr>
                <w:rFonts w:cstheme="minorHAnsi"/>
                <w:lang w:eastAsia="pl-PL"/>
              </w:rPr>
              <w:t xml:space="preserve">, jednak odniesiono się do zaoszczędzonej energii (energia produkowana w procesie spalania biogazu z "własnej produkcji" oczyszczalni) oraz do </w:t>
            </w:r>
            <w:r w:rsidR="005F75C7" w:rsidRPr="00422164">
              <w:t>zmniejszenia emisji CO2 o 743,17 Mg CO2</w:t>
            </w:r>
          </w:p>
        </w:tc>
      </w:tr>
      <w:tr w:rsidR="0015763D" w:rsidTr="008615EE">
        <w:tc>
          <w:tcPr>
            <w:tcW w:w="3498" w:type="dxa"/>
          </w:tcPr>
          <w:p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>Czy wyodrębniono ko</w:t>
            </w:r>
            <w:r>
              <w:rPr>
                <w:rFonts w:cstheme="minorHAnsi"/>
                <w:lang w:eastAsia="pl-PL"/>
              </w:rPr>
              <w:t>rzyści wynikające z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15763D" w:rsidRPr="007A4A0C" w:rsidRDefault="00AC3866" w:rsidP="0015763D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 w:rsidRPr="00AC3866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15763D" w:rsidRPr="007A4A0C" w:rsidRDefault="00AC3866" w:rsidP="0015763D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>NIE DOTYCZY</w:t>
            </w:r>
          </w:p>
        </w:tc>
        <w:tc>
          <w:tcPr>
            <w:tcW w:w="3499" w:type="dxa"/>
          </w:tcPr>
          <w:p w:rsidR="0015763D" w:rsidRPr="007A4A0C" w:rsidRDefault="005F75C7" w:rsidP="00BE5DB2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>TAK</w:t>
            </w:r>
            <w:r w:rsidR="00AC3866" w:rsidRPr="00670CF5">
              <w:rPr>
                <w:rFonts w:cstheme="minorHAnsi"/>
                <w:lang w:eastAsia="pl-PL"/>
              </w:rPr>
              <w:t xml:space="preserve"> </w:t>
            </w:r>
          </w:p>
        </w:tc>
      </w:tr>
      <w:tr w:rsidR="00DE2465" w:rsidTr="000B64B0">
        <w:tc>
          <w:tcPr>
            <w:tcW w:w="3498" w:type="dxa"/>
          </w:tcPr>
          <w:p w:rsidR="00DE2465" w:rsidRDefault="00DE2465" w:rsidP="0015763D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FAKTYCZNE KORZYŚCI</w:t>
            </w:r>
          </w:p>
          <w:p w:rsidR="00DE2465" w:rsidRPr="007A4A0C" w:rsidRDefault="00DE2465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>(W TYM UNIKNIĘTE KOSZTY)</w:t>
            </w:r>
          </w:p>
        </w:tc>
        <w:tc>
          <w:tcPr>
            <w:tcW w:w="10496" w:type="dxa"/>
            <w:gridSpan w:val="3"/>
          </w:tcPr>
          <w:p w:rsidR="00DE2465" w:rsidRPr="00AC3866" w:rsidRDefault="005F75C7" w:rsidP="005F75C7">
            <w:pPr>
              <w:rPr>
                <w:rFonts w:cstheme="minorHAnsi"/>
                <w:color w:val="4472C4" w:themeColor="accent1"/>
                <w:lang w:eastAsia="pl-PL"/>
              </w:rPr>
            </w:pPr>
            <w:r>
              <w:t xml:space="preserve">pozyskanie 833,3 MWh energii elektrycznej z procesu spalania biogazu - zmniejszenie zapotrzebowania energetycznego (od dostawców zewnętrznych) o tę wartość - konkretne oszczędności roczne, które można wyrazić w pieniądzu </w:t>
            </w:r>
          </w:p>
        </w:tc>
      </w:tr>
      <w:tr w:rsidR="001B3B4D" w:rsidTr="001B3B4D">
        <w:tc>
          <w:tcPr>
            <w:tcW w:w="13994" w:type="dxa"/>
            <w:gridSpan w:val="4"/>
            <w:shd w:val="clear" w:color="auto" w:fill="00B0F0"/>
          </w:tcPr>
          <w:p w:rsidR="001B3B4D" w:rsidRPr="001B3B4D" w:rsidRDefault="001B3B4D" w:rsidP="0015763D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SPÓJNOŚĆ Z WYBRANYMI ZAŁOŻENIAMI PO</w:t>
            </w:r>
            <w:r w:rsidR="00077D63">
              <w:rPr>
                <w:rFonts w:cstheme="minorHAnsi"/>
                <w:b/>
                <w:lang w:eastAsia="pl-PL"/>
              </w:rPr>
              <w:t>RADNIKA</w:t>
            </w:r>
            <w:bookmarkStart w:id="0" w:name="_GoBack"/>
            <w:bookmarkEnd w:id="0"/>
          </w:p>
        </w:tc>
      </w:tr>
      <w:tr w:rsidR="001B3B4D" w:rsidTr="00F62BB0">
        <w:tc>
          <w:tcPr>
            <w:tcW w:w="6996" w:type="dxa"/>
            <w:gridSpan w:val="2"/>
          </w:tcPr>
          <w:p w:rsidR="001B3B4D" w:rsidRDefault="001B3B4D" w:rsidP="0015763D">
            <w:pPr>
              <w:rPr>
                <w:rFonts w:cstheme="minorHAnsi"/>
                <w:b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WYODRĘBNIENIE KOSZTÓW I KORZYŚCI</w:t>
            </w:r>
          </w:p>
          <w:p w:rsidR="001B3B4D" w:rsidRPr="001B3B4D" w:rsidRDefault="001B3B4D" w:rsidP="001B3B4D">
            <w:pPr>
              <w:jc w:val="both"/>
              <w:rPr>
                <w:rFonts w:cstheme="minorHAnsi"/>
                <w:i/>
                <w:color w:val="4472C4" w:themeColor="accent1"/>
                <w:lang w:eastAsia="pl-PL"/>
              </w:rPr>
            </w:pPr>
          </w:p>
        </w:tc>
        <w:tc>
          <w:tcPr>
            <w:tcW w:w="6998" w:type="dxa"/>
            <w:gridSpan w:val="2"/>
          </w:tcPr>
          <w:p w:rsidR="00AC3866" w:rsidRPr="00A700B8" w:rsidRDefault="00AC3866" w:rsidP="00AC3866">
            <w:pPr>
              <w:rPr>
                <w:rFonts w:cstheme="minorHAnsi"/>
                <w:lang w:eastAsia="pl-PL"/>
              </w:rPr>
            </w:pPr>
            <w:r w:rsidRPr="00F1705D">
              <w:rPr>
                <w:rFonts w:cstheme="minorHAnsi"/>
                <w:lang w:eastAsia="pl-PL"/>
              </w:rPr>
              <w:t>Nie  określono kosztów ponoszonych na zwiększanie odporności inwestycji na zmiany klimatu, zagrożenia klęskami żywiołowy</w:t>
            </w:r>
            <w:r w:rsidR="00A700B8">
              <w:rPr>
                <w:rFonts w:cstheme="minorHAnsi"/>
                <w:lang w:eastAsia="pl-PL"/>
              </w:rPr>
              <w:t>mi lub katastrofami naturalnymi, ani kosztów związanych z emisją gazów cieplarnianych.</w:t>
            </w:r>
          </w:p>
          <w:p w:rsidR="001B3B4D" w:rsidRPr="00A700B8" w:rsidRDefault="001B3B4D" w:rsidP="00A700B8">
            <w:pPr>
              <w:autoSpaceDE w:val="0"/>
              <w:autoSpaceDN w:val="0"/>
              <w:adjustRightInd w:val="0"/>
            </w:pPr>
          </w:p>
        </w:tc>
      </w:tr>
      <w:tr w:rsidR="001B3B4D" w:rsidTr="00F62BB0">
        <w:tc>
          <w:tcPr>
            <w:tcW w:w="6996" w:type="dxa"/>
            <w:gridSpan w:val="2"/>
          </w:tcPr>
          <w:p w:rsidR="001B3B4D" w:rsidRPr="004E4D11" w:rsidRDefault="001B3B4D" w:rsidP="004E4D11">
            <w:pPr>
              <w:rPr>
                <w:rFonts w:cstheme="minorHAnsi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SPÓJNOŚĆ ZAŁOŻEŃ W ANALI</w:t>
            </w:r>
            <w:r w:rsidR="00482AFF">
              <w:rPr>
                <w:rFonts w:cstheme="minorHAnsi"/>
                <w:b/>
                <w:lang w:eastAsia="pl-PL"/>
              </w:rPr>
              <w:t>ZIEWARIANTÓW NA ETAPIE AKK I OOŚ</w:t>
            </w:r>
            <w:r>
              <w:rPr>
                <w:rFonts w:cstheme="minorHAnsi"/>
                <w:lang w:eastAsia="pl-PL"/>
              </w:rPr>
              <w:t xml:space="preserve"> (dotyczy, jeżeli sporządzono raport OOŚ)</w:t>
            </w:r>
          </w:p>
        </w:tc>
        <w:tc>
          <w:tcPr>
            <w:tcW w:w="6998" w:type="dxa"/>
            <w:gridSpan w:val="2"/>
          </w:tcPr>
          <w:p w:rsidR="000A33F8" w:rsidRPr="000A33F8" w:rsidRDefault="007E2A75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TAK</w:t>
            </w:r>
          </w:p>
        </w:tc>
      </w:tr>
      <w:tr w:rsidR="001B3B4D" w:rsidRPr="007E2A75" w:rsidTr="00F62BB0">
        <w:tc>
          <w:tcPr>
            <w:tcW w:w="6996" w:type="dxa"/>
            <w:gridSpan w:val="2"/>
          </w:tcPr>
          <w:p w:rsidR="00482AFF" w:rsidRDefault="00482AFF" w:rsidP="00482AFF">
            <w:pPr>
              <w:rPr>
                <w:rFonts w:cstheme="minorHAnsi"/>
                <w:b/>
                <w:lang w:eastAsia="pl-PL"/>
              </w:rPr>
            </w:pPr>
            <w:r w:rsidRPr="00482AFF">
              <w:rPr>
                <w:rFonts w:cstheme="minorHAnsi"/>
                <w:b/>
                <w:lang w:eastAsia="pl-PL"/>
              </w:rPr>
              <w:t>ODNIESIENIE DO BEZPOSREDNICH I POŚREDNICH EMISJI GAZÓW CIEPLARNIANYCH</w:t>
            </w:r>
          </w:p>
          <w:p w:rsidR="007070B6" w:rsidRPr="004E4D11" w:rsidRDefault="007070B6" w:rsidP="00482AFF">
            <w:pPr>
              <w:rPr>
                <w:rFonts w:cstheme="minorHAnsi"/>
                <w:b/>
                <w:lang w:eastAsia="pl-PL"/>
              </w:rPr>
            </w:pPr>
          </w:p>
        </w:tc>
        <w:tc>
          <w:tcPr>
            <w:tcW w:w="6998" w:type="dxa"/>
            <w:gridSpan w:val="2"/>
          </w:tcPr>
          <w:p w:rsidR="001B3B4D" w:rsidRDefault="007228C7" w:rsidP="0015763D">
            <w:pPr>
              <w:rPr>
                <w:rFonts w:cstheme="minorHAnsi"/>
                <w:lang w:eastAsia="pl-PL"/>
              </w:rPr>
            </w:pPr>
            <w:r w:rsidRPr="007228C7">
              <w:rPr>
                <w:rFonts w:cstheme="minorHAnsi"/>
                <w:lang w:eastAsia="pl-PL"/>
              </w:rPr>
              <w:t>TAK</w:t>
            </w:r>
            <w:r w:rsidR="00652EB6">
              <w:rPr>
                <w:rFonts w:cstheme="minorHAnsi"/>
                <w:lang w:eastAsia="pl-PL"/>
              </w:rPr>
              <w:t>;</w:t>
            </w:r>
          </w:p>
          <w:p w:rsidR="00652EB6" w:rsidRPr="00D90BDF" w:rsidRDefault="00053F4F" w:rsidP="00D90BDF">
            <w:pPr>
              <w:autoSpaceDE w:val="0"/>
              <w:autoSpaceDN w:val="0"/>
              <w:adjustRightInd w:val="0"/>
              <w:rPr>
                <w:rFonts w:eastAsia="BookmanOldStyle" w:cs="BookmanOldStyle"/>
              </w:rPr>
            </w:pPr>
            <w:r>
              <w:t xml:space="preserve">Obliczenia wysokości emisji zastosowano </w:t>
            </w:r>
            <w:r w:rsidR="007E2A75">
              <w:t xml:space="preserve">oraz zużycia energii wykonano dla stanu istniejącego oraz przyszłego, w odniesieniu </w:t>
            </w:r>
            <w:r>
              <w:t xml:space="preserve">do wariantów inwestycji (SW </w:t>
            </w:r>
            <w:r w:rsidR="00652EB6">
              <w:t xml:space="preserve">rozdz. </w:t>
            </w:r>
            <w:r w:rsidR="007E2A75">
              <w:rPr>
                <w:rFonts w:eastAsia="BookmanOldStyle" w:cs="BookmanOldStyle"/>
              </w:rPr>
              <w:t>7.4.2</w:t>
            </w:r>
            <w:r w:rsidR="00652EB6">
              <w:t>)</w:t>
            </w:r>
            <w:r w:rsidR="00652EB6" w:rsidRPr="00A700B8">
              <w:t>.</w:t>
            </w:r>
            <w:r w:rsidR="00652EB6">
              <w:t xml:space="preserve"> Uwzględniono emisję bezpośrednią oraz </w:t>
            </w:r>
            <w:r w:rsidR="007E2A75">
              <w:t>pośrednią.</w:t>
            </w:r>
            <w:r w:rsidR="00652EB6">
              <w:t xml:space="preserve"> </w:t>
            </w:r>
          </w:p>
          <w:p w:rsidR="00D90BDF" w:rsidRPr="007E2A75" w:rsidRDefault="00D90BDF" w:rsidP="005F75C7">
            <w:pPr>
              <w:autoSpaceDE w:val="0"/>
              <w:autoSpaceDN w:val="0"/>
              <w:adjustRightInd w:val="0"/>
              <w:rPr>
                <w:rFonts w:cstheme="minorHAnsi"/>
                <w:color w:val="4472C4" w:themeColor="accent1"/>
                <w:lang w:eastAsia="pl-PL"/>
              </w:rPr>
            </w:pPr>
          </w:p>
        </w:tc>
      </w:tr>
    </w:tbl>
    <w:p w:rsidR="008615EE" w:rsidRPr="007E2A75" w:rsidRDefault="008615EE" w:rsidP="006A0215">
      <w:pPr>
        <w:rPr>
          <w:rFonts w:cstheme="minorHAnsi"/>
          <w:i/>
          <w:color w:val="4472C4" w:themeColor="accent1"/>
          <w:lang w:eastAsia="pl-PL"/>
        </w:rPr>
      </w:pPr>
    </w:p>
    <w:p w:rsidR="002037FC" w:rsidRDefault="002037FC" w:rsidP="002037FC">
      <w:pPr>
        <w:rPr>
          <w:rFonts w:cs="Calibri"/>
        </w:rPr>
      </w:pPr>
      <w:r>
        <w:rPr>
          <w:b/>
        </w:rPr>
        <w:t>IDENTYFIKACJA DOBRYCH PRAKTYK</w:t>
      </w:r>
    </w:p>
    <w:p w:rsidR="002037FC" w:rsidRDefault="002037FC" w:rsidP="002037FC">
      <w:pPr>
        <w:jc w:val="both"/>
        <w:rPr>
          <w:rFonts w:cs="Times New Roman"/>
          <w:b/>
        </w:rPr>
      </w:pPr>
      <w:r>
        <w:rPr>
          <w:rFonts w:cs="Calibri"/>
        </w:rPr>
        <w:t xml:space="preserve">Dobre praktyki: </w:t>
      </w:r>
      <w:r>
        <w:rPr>
          <w:rFonts w:eastAsia="BookmanOldStyle" w:cs="BookmanOldStyle"/>
        </w:rPr>
        <w:t>zmiana technologii przeróbki osadów polegająca na wprowadzeniu metanowej fermentacji osadów wstępnych i nadmiernych zamkniętych w komorze</w:t>
      </w:r>
      <w:r>
        <w:rPr>
          <w:rFonts w:cs="Calibri"/>
        </w:rPr>
        <w:t xml:space="preserve"> </w:t>
      </w:r>
      <w:r>
        <w:rPr>
          <w:rFonts w:eastAsia="BookmanOldStyle" w:cs="BookmanOldStyle"/>
        </w:rPr>
        <w:t xml:space="preserve">z odzyskaniem biogazu (montaż instalacji do odzysku biogazu) i wykorzystaniu go w procesie kogeneracji (zmniejszenie emisji gazów cieplarnianych, zwiększenie efektywności energetycznej obiektu); </w:t>
      </w:r>
      <w:r>
        <w:t xml:space="preserve">hermetyzacja procesów i zastosowanie </w:t>
      </w:r>
      <w:proofErr w:type="spellStart"/>
      <w:r>
        <w:t>biofiltrów</w:t>
      </w:r>
      <w:proofErr w:type="spellEnd"/>
      <w:r>
        <w:t xml:space="preserve"> (ograniczenie emisji gazów cieplarnianych)</w:t>
      </w:r>
      <w:r>
        <w:rPr>
          <w:rFonts w:cs="Calibri"/>
        </w:rPr>
        <w:t>. Przedstawione rozwiązania mają charakter uniwersalny i  mogą być zastosowane w projektach o podobnym charakterze.</w:t>
      </w:r>
    </w:p>
    <w:p w:rsidR="002037FC" w:rsidRDefault="002037FC" w:rsidP="002037FC">
      <w:pPr>
        <w:rPr>
          <w:b/>
        </w:rPr>
      </w:pPr>
      <w:r>
        <w:rPr>
          <w:b/>
        </w:rPr>
        <w:t>CZYNNIKI OGRANICZAJĄCE ZASTOSOWANIE PORODNIKA PRZEZ BENEFICJENTÓW</w:t>
      </w:r>
    </w:p>
    <w:p w:rsidR="002037FC" w:rsidRDefault="002037FC" w:rsidP="002037FC">
      <w:pPr>
        <w:rPr>
          <w:b/>
        </w:rPr>
      </w:pPr>
      <w:r>
        <w:rPr>
          <w:i/>
          <w:color w:val="800000"/>
        </w:rPr>
        <w:t xml:space="preserve">Firma zewnętrzna opracowywała wiosek. Beneficjent twierdzi, że na pewno przy sporządzaniu wniosku korzystano z „Poradnika...” </w:t>
      </w:r>
    </w:p>
    <w:p w:rsidR="002037FC" w:rsidRDefault="002037FC" w:rsidP="002037FC">
      <w:pPr>
        <w:rPr>
          <w:i/>
          <w:color w:val="4472C4"/>
        </w:rPr>
      </w:pPr>
      <w:r>
        <w:rPr>
          <w:b/>
        </w:rPr>
        <w:lastRenderedPageBreak/>
        <w:t>INNE MATERIAŁY WYKORZYSTYWANE NA ETAPIE PRZYGOTOWANIA PROJEKTÓW</w:t>
      </w:r>
    </w:p>
    <w:p w:rsidR="002037FC" w:rsidRDefault="002037FC" w:rsidP="002037FC">
      <w:pPr>
        <w:rPr>
          <w:b/>
        </w:rPr>
      </w:pPr>
      <w:r>
        <w:rPr>
          <w:i/>
          <w:color w:val="800000"/>
        </w:rPr>
        <w:t>Tak – krajowe programy środowiska, wojewódzkie programy środowiska.</w:t>
      </w:r>
    </w:p>
    <w:p w:rsidR="002037FC" w:rsidRDefault="002037FC" w:rsidP="002037FC">
      <w:pPr>
        <w:rPr>
          <w:b/>
        </w:rPr>
      </w:pPr>
      <w:r>
        <w:rPr>
          <w:b/>
        </w:rPr>
        <w:t>CZYNNIKI OGRANICZAJĄCE ZASTOSOWANIE ROZWIĄZAŃ ZWIĄZANYCH ZE ZMIANAMI KLIMATU, ICH ŁAGODZENIEM I PRZYSTOSOWANIEM DO TYCH ZMIAN ORAZ ODPORNOŚCI NA KLĘSKI ŻYWIOŁOWE</w:t>
      </w:r>
    </w:p>
    <w:p w:rsidR="002037FC" w:rsidRDefault="002037FC" w:rsidP="002037FC">
      <w:pPr>
        <w:rPr>
          <w:rFonts w:cs="Calibri"/>
          <w:color w:val="4472C4"/>
        </w:rPr>
      </w:pPr>
      <w:r>
        <w:rPr>
          <w:color w:val="800000"/>
        </w:rPr>
        <w:t>Trudności nie wystąpiły.</w:t>
      </w:r>
    </w:p>
    <w:p w:rsidR="002037FC" w:rsidRDefault="002037FC" w:rsidP="002037FC">
      <w:pPr>
        <w:rPr>
          <w:b/>
        </w:rPr>
      </w:pPr>
      <w:r>
        <w:rPr>
          <w:b/>
        </w:rPr>
        <w:t>ZAKRES OPCJI KLIMATYCZNYCH STOSOWANYCH W PROJEKTACH FINANSOWANYCH Z INNYCH ŹRÓDEŁ</w:t>
      </w:r>
    </w:p>
    <w:p w:rsidR="002037FC" w:rsidRDefault="002037FC" w:rsidP="002037FC">
      <w:pPr>
        <w:spacing w:before="120" w:after="120" w:line="276" w:lineRule="auto"/>
        <w:jc w:val="both"/>
        <w:rPr>
          <w:rFonts w:cs="Calibri"/>
          <w:color w:val="FF0000"/>
        </w:rPr>
      </w:pPr>
      <w:r>
        <w:rPr>
          <w:rFonts w:cs="Calibri"/>
          <w:color w:val="800000"/>
        </w:rPr>
        <w:t>Beneficjent finansował z Wojewódzkiego Funduszu Ochrony Środowiska rozbudowę kanalizacji. Ww. projekcie nie uwzględniano rozwiązań związanych z adaptacją do zmian klimatu lub łagodzenia zmian klimatu.</w:t>
      </w:r>
    </w:p>
    <w:p w:rsidR="000A33F8" w:rsidRPr="000A33F8" w:rsidRDefault="000A33F8" w:rsidP="002037FC">
      <w:pPr>
        <w:rPr>
          <w:rFonts w:cstheme="minorHAnsi"/>
          <w:color w:val="FF0000"/>
          <w:lang w:eastAsia="pl-PL"/>
        </w:rPr>
      </w:pPr>
    </w:p>
    <w:sectPr w:rsidR="000A33F8" w:rsidRPr="000A33F8" w:rsidSect="006D6E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OldStyle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B636C"/>
    <w:multiLevelType w:val="hybridMultilevel"/>
    <w:tmpl w:val="F6281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3341E"/>
    <w:multiLevelType w:val="hybridMultilevel"/>
    <w:tmpl w:val="AA261B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75806"/>
    <w:multiLevelType w:val="hybridMultilevel"/>
    <w:tmpl w:val="DA768EFA"/>
    <w:lvl w:ilvl="0" w:tplc="7E1A4C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27A71"/>
    <w:multiLevelType w:val="multilevel"/>
    <w:tmpl w:val="24682298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HAnsi" w:hint="default"/>
      </w:rPr>
    </w:lvl>
  </w:abstractNum>
  <w:abstractNum w:abstractNumId="4" w15:restartNumberingAfterBreak="0">
    <w:nsid w:val="13027A48"/>
    <w:multiLevelType w:val="hybridMultilevel"/>
    <w:tmpl w:val="D1682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86399B"/>
    <w:multiLevelType w:val="hybridMultilevel"/>
    <w:tmpl w:val="40DC98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321088"/>
    <w:multiLevelType w:val="hybridMultilevel"/>
    <w:tmpl w:val="8732F0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1207B5"/>
    <w:multiLevelType w:val="hybridMultilevel"/>
    <w:tmpl w:val="9D66D1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1A1F18"/>
    <w:multiLevelType w:val="hybridMultilevel"/>
    <w:tmpl w:val="27601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8B0D4C"/>
    <w:multiLevelType w:val="hybridMultilevel"/>
    <w:tmpl w:val="EAD44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4E1E37"/>
    <w:multiLevelType w:val="hybridMultilevel"/>
    <w:tmpl w:val="94C26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CF2BE2"/>
    <w:multiLevelType w:val="hybridMultilevel"/>
    <w:tmpl w:val="7BE6A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EA4354"/>
    <w:multiLevelType w:val="multilevel"/>
    <w:tmpl w:val="508A17A0"/>
    <w:lvl w:ilvl="0">
      <w:start w:val="1"/>
      <w:numFmt w:val="decimal"/>
      <w:lvlText w:val="(%1."/>
      <w:lvlJc w:val="left"/>
      <w:pPr>
        <w:ind w:left="396" w:hanging="396"/>
      </w:pPr>
      <w:rPr>
        <w:rFonts w:cstheme="minorHAnsi"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cstheme="minorHAnsi"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cstheme="minorHAnsi"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cstheme="minorHAnsi" w:hint="default"/>
      </w:r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9"/>
  </w:num>
  <w:num w:numId="5">
    <w:abstractNumId w:val="11"/>
  </w:num>
  <w:num w:numId="6">
    <w:abstractNumId w:val="8"/>
  </w:num>
  <w:num w:numId="7">
    <w:abstractNumId w:val="6"/>
  </w:num>
  <w:num w:numId="8">
    <w:abstractNumId w:val="10"/>
  </w:num>
  <w:num w:numId="9">
    <w:abstractNumId w:val="0"/>
  </w:num>
  <w:num w:numId="10">
    <w:abstractNumId w:val="5"/>
  </w:num>
  <w:num w:numId="11">
    <w:abstractNumId w:val="1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215"/>
    <w:rsid w:val="00014C2C"/>
    <w:rsid w:val="0004299F"/>
    <w:rsid w:val="00053F4F"/>
    <w:rsid w:val="00062CE1"/>
    <w:rsid w:val="00070938"/>
    <w:rsid w:val="00077D63"/>
    <w:rsid w:val="00090896"/>
    <w:rsid w:val="00092AE3"/>
    <w:rsid w:val="000A33F8"/>
    <w:rsid w:val="000D3CD2"/>
    <w:rsid w:val="000D411A"/>
    <w:rsid w:val="000E07D0"/>
    <w:rsid w:val="00122253"/>
    <w:rsid w:val="0015763D"/>
    <w:rsid w:val="00185B22"/>
    <w:rsid w:val="0019543D"/>
    <w:rsid w:val="001A0D0D"/>
    <w:rsid w:val="001B3B4D"/>
    <w:rsid w:val="001B3E52"/>
    <w:rsid w:val="00201D77"/>
    <w:rsid w:val="002037FC"/>
    <w:rsid w:val="002231EE"/>
    <w:rsid w:val="00230E7E"/>
    <w:rsid w:val="002F54E6"/>
    <w:rsid w:val="002F6113"/>
    <w:rsid w:val="003074CB"/>
    <w:rsid w:val="003272F3"/>
    <w:rsid w:val="00361A74"/>
    <w:rsid w:val="003719E6"/>
    <w:rsid w:val="0038570D"/>
    <w:rsid w:val="003D020D"/>
    <w:rsid w:val="003F0DEE"/>
    <w:rsid w:val="004002EE"/>
    <w:rsid w:val="00422164"/>
    <w:rsid w:val="00436F2A"/>
    <w:rsid w:val="0044652E"/>
    <w:rsid w:val="00447995"/>
    <w:rsid w:val="0045075D"/>
    <w:rsid w:val="00457898"/>
    <w:rsid w:val="004662BE"/>
    <w:rsid w:val="0048086C"/>
    <w:rsid w:val="00482AFF"/>
    <w:rsid w:val="004B46EC"/>
    <w:rsid w:val="004D3E4E"/>
    <w:rsid w:val="004D43D1"/>
    <w:rsid w:val="004E4D11"/>
    <w:rsid w:val="004E68FB"/>
    <w:rsid w:val="004F08E8"/>
    <w:rsid w:val="004F5599"/>
    <w:rsid w:val="00501740"/>
    <w:rsid w:val="0053468D"/>
    <w:rsid w:val="0056579D"/>
    <w:rsid w:val="0059040C"/>
    <w:rsid w:val="005A1CBC"/>
    <w:rsid w:val="005B3BF0"/>
    <w:rsid w:val="005C1F1C"/>
    <w:rsid w:val="005F75C7"/>
    <w:rsid w:val="00600253"/>
    <w:rsid w:val="00604C64"/>
    <w:rsid w:val="0063083D"/>
    <w:rsid w:val="00635B82"/>
    <w:rsid w:val="00652EB6"/>
    <w:rsid w:val="00670CF5"/>
    <w:rsid w:val="00675B8E"/>
    <w:rsid w:val="006A0215"/>
    <w:rsid w:val="006C44ED"/>
    <w:rsid w:val="006D6EC3"/>
    <w:rsid w:val="006E3C60"/>
    <w:rsid w:val="006F7D28"/>
    <w:rsid w:val="007070B6"/>
    <w:rsid w:val="007228C7"/>
    <w:rsid w:val="007425E1"/>
    <w:rsid w:val="007623D9"/>
    <w:rsid w:val="007923D6"/>
    <w:rsid w:val="007A4A0C"/>
    <w:rsid w:val="007B08A4"/>
    <w:rsid w:val="007D3586"/>
    <w:rsid w:val="007D4675"/>
    <w:rsid w:val="007E2A75"/>
    <w:rsid w:val="0080161A"/>
    <w:rsid w:val="008155B8"/>
    <w:rsid w:val="0081711D"/>
    <w:rsid w:val="0082304F"/>
    <w:rsid w:val="00824E30"/>
    <w:rsid w:val="008615EE"/>
    <w:rsid w:val="00862552"/>
    <w:rsid w:val="008A51F8"/>
    <w:rsid w:val="008B3383"/>
    <w:rsid w:val="008F0AED"/>
    <w:rsid w:val="0091713A"/>
    <w:rsid w:val="009567FA"/>
    <w:rsid w:val="009633DB"/>
    <w:rsid w:val="009C4F1D"/>
    <w:rsid w:val="009E7D85"/>
    <w:rsid w:val="00A0178C"/>
    <w:rsid w:val="00A0291F"/>
    <w:rsid w:val="00A12FAD"/>
    <w:rsid w:val="00A34900"/>
    <w:rsid w:val="00A700B8"/>
    <w:rsid w:val="00A9370C"/>
    <w:rsid w:val="00A9785B"/>
    <w:rsid w:val="00AB21A8"/>
    <w:rsid w:val="00AC3866"/>
    <w:rsid w:val="00AE05D2"/>
    <w:rsid w:val="00B15F0C"/>
    <w:rsid w:val="00B95F15"/>
    <w:rsid w:val="00BA2D24"/>
    <w:rsid w:val="00BA7F7A"/>
    <w:rsid w:val="00BE5DB2"/>
    <w:rsid w:val="00C12CEC"/>
    <w:rsid w:val="00C45BDB"/>
    <w:rsid w:val="00C71CFF"/>
    <w:rsid w:val="00C76E2A"/>
    <w:rsid w:val="00C83EC3"/>
    <w:rsid w:val="00CA3E10"/>
    <w:rsid w:val="00CA630C"/>
    <w:rsid w:val="00CB2DA1"/>
    <w:rsid w:val="00CC643A"/>
    <w:rsid w:val="00CF1B3E"/>
    <w:rsid w:val="00D45C33"/>
    <w:rsid w:val="00D6105C"/>
    <w:rsid w:val="00D74E49"/>
    <w:rsid w:val="00D856BA"/>
    <w:rsid w:val="00D86DD6"/>
    <w:rsid w:val="00D90BDF"/>
    <w:rsid w:val="00DC0BC9"/>
    <w:rsid w:val="00DD0CC0"/>
    <w:rsid w:val="00DE2465"/>
    <w:rsid w:val="00DF473C"/>
    <w:rsid w:val="00DF55C9"/>
    <w:rsid w:val="00E20452"/>
    <w:rsid w:val="00E24F1E"/>
    <w:rsid w:val="00E55CA2"/>
    <w:rsid w:val="00E7407F"/>
    <w:rsid w:val="00E844BD"/>
    <w:rsid w:val="00E93311"/>
    <w:rsid w:val="00EC3B49"/>
    <w:rsid w:val="00EE5091"/>
    <w:rsid w:val="00F1705D"/>
    <w:rsid w:val="00F54AB3"/>
    <w:rsid w:val="00F91B34"/>
    <w:rsid w:val="00F928BA"/>
    <w:rsid w:val="00F928E8"/>
    <w:rsid w:val="00FC32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B8C8F"/>
  <w15:docId w15:val="{D83B9A17-3E26-4F10-9206-843EF05CE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D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0E7E"/>
    <w:pPr>
      <w:ind w:left="720"/>
      <w:contextualSpacing/>
    </w:pPr>
  </w:style>
  <w:style w:type="table" w:styleId="Tabela-Siatka">
    <w:name w:val="Table Grid"/>
    <w:basedOn w:val="Standardowy"/>
    <w:uiPriority w:val="39"/>
    <w:rsid w:val="00466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6D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5B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5B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5B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B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5B8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5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B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1859</Words>
  <Characters>11158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Radomir Dyjak</dc:creator>
  <cp:lastModifiedBy>Iza</cp:lastModifiedBy>
  <cp:revision>4</cp:revision>
  <dcterms:created xsi:type="dcterms:W3CDTF">2018-10-22T06:51:00Z</dcterms:created>
  <dcterms:modified xsi:type="dcterms:W3CDTF">2018-11-16T00:19:00Z</dcterms:modified>
</cp:coreProperties>
</file>