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D82A04" w14:textId="77777777" w:rsidR="0056579D" w:rsidRPr="00DE2465" w:rsidRDefault="0056579D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CHARAKTERYSTYKA PRZEDSIĘWZIĘCIA</w:t>
      </w:r>
    </w:p>
    <w:p w14:paraId="7BD0B97C" w14:textId="0CB65FBE" w:rsidR="0015532E" w:rsidRDefault="0056579D" w:rsidP="00230E7E">
      <w:pPr>
        <w:rPr>
          <w:b/>
        </w:rPr>
      </w:pPr>
      <w:r w:rsidRPr="0015532E">
        <w:rPr>
          <w:b/>
        </w:rPr>
        <w:t>Działanie:</w:t>
      </w:r>
      <w:r w:rsidR="0015532E" w:rsidRPr="0015532E">
        <w:rPr>
          <w:b/>
        </w:rPr>
        <w:t xml:space="preserve"> </w:t>
      </w:r>
      <w:r w:rsidR="00720636" w:rsidRPr="00720636">
        <w:rPr>
          <w:b/>
        </w:rPr>
        <w:t>5.2. Rozwój transportu kolejowego poza TEN-T</w:t>
      </w:r>
    </w:p>
    <w:p w14:paraId="1168C8AE" w14:textId="07294004" w:rsidR="0015532E" w:rsidRDefault="0056579D" w:rsidP="00A0683D">
      <w:pPr>
        <w:rPr>
          <w:b/>
        </w:rPr>
      </w:pPr>
      <w:r>
        <w:rPr>
          <w:b/>
        </w:rPr>
        <w:t>Nazwa projektu:</w:t>
      </w:r>
      <w:r w:rsidR="0059040C">
        <w:rPr>
          <w:b/>
        </w:rPr>
        <w:t xml:space="preserve"> </w:t>
      </w:r>
      <w:r w:rsidR="00720636" w:rsidRPr="00720636">
        <w:rPr>
          <w:b/>
        </w:rPr>
        <w:t>Zakup 10 nowych elektrycznych zespołów trakcyjnych do obsługi przewozów aglomeracyjnych oraz unowocześnienie zaplecza utrzymania taboru.</w:t>
      </w:r>
    </w:p>
    <w:p w14:paraId="7BE76DC9" w14:textId="09A12C46" w:rsidR="0056579D" w:rsidRDefault="0091713A" w:rsidP="00230E7E">
      <w:pPr>
        <w:rPr>
          <w:b/>
        </w:rPr>
      </w:pPr>
      <w:r>
        <w:rPr>
          <w:b/>
        </w:rPr>
        <w:t xml:space="preserve">Numer projektu: </w:t>
      </w:r>
      <w:r w:rsidR="00720636" w:rsidRPr="00720636">
        <w:rPr>
          <w:b/>
        </w:rPr>
        <w:t>POIS.05.02.00-00-0018/17</w:t>
      </w:r>
    </w:p>
    <w:p w14:paraId="786BA928" w14:textId="483AF206" w:rsidR="0056579D" w:rsidRDefault="0056579D" w:rsidP="00230E7E">
      <w:pPr>
        <w:rPr>
          <w:b/>
        </w:rPr>
      </w:pPr>
      <w:r>
        <w:rPr>
          <w:b/>
        </w:rPr>
        <w:t>Beneficjent:</w:t>
      </w:r>
      <w:r w:rsidR="0059040C">
        <w:rPr>
          <w:b/>
        </w:rPr>
        <w:t xml:space="preserve"> </w:t>
      </w:r>
      <w:r w:rsidR="00720636" w:rsidRPr="00720636">
        <w:rPr>
          <w:b/>
        </w:rPr>
        <w:t>PKP Szybka Kolej Miejska w Trójmieście Sp. z o.o.</w:t>
      </w:r>
    </w:p>
    <w:p w14:paraId="55456E86" w14:textId="17839275" w:rsidR="0056579D" w:rsidRDefault="0056579D" w:rsidP="00230E7E">
      <w:pPr>
        <w:rPr>
          <w:b/>
        </w:rPr>
      </w:pPr>
      <w:r>
        <w:rPr>
          <w:b/>
        </w:rPr>
        <w:t>Wartość projektu:</w:t>
      </w:r>
      <w:r w:rsidR="0059040C">
        <w:rPr>
          <w:b/>
        </w:rPr>
        <w:t xml:space="preserve"> </w:t>
      </w:r>
      <w:r w:rsidR="00720636" w:rsidRPr="00720636">
        <w:rPr>
          <w:b/>
        </w:rPr>
        <w:t>393</w:t>
      </w:r>
      <w:r w:rsidR="00720636">
        <w:rPr>
          <w:b/>
        </w:rPr>
        <w:t> </w:t>
      </w:r>
      <w:r w:rsidR="00720636" w:rsidRPr="00720636">
        <w:rPr>
          <w:b/>
        </w:rPr>
        <w:t>751</w:t>
      </w:r>
      <w:r w:rsidR="00720636">
        <w:rPr>
          <w:b/>
        </w:rPr>
        <w:t> </w:t>
      </w:r>
      <w:r w:rsidR="00720636" w:rsidRPr="00720636">
        <w:rPr>
          <w:b/>
        </w:rPr>
        <w:t>905</w:t>
      </w:r>
      <w:r w:rsidR="00A0683D" w:rsidRPr="00A0683D">
        <w:rPr>
          <w:b/>
        </w:rPr>
        <w:t>,</w:t>
      </w:r>
      <w:r w:rsidR="00720636">
        <w:rPr>
          <w:b/>
        </w:rPr>
        <w:t>00</w:t>
      </w:r>
      <w:r w:rsidR="00A0683D">
        <w:rPr>
          <w:b/>
        </w:rPr>
        <w:t> </w:t>
      </w:r>
      <w:r w:rsidR="0059040C">
        <w:rPr>
          <w:b/>
        </w:rPr>
        <w:t>PLN</w:t>
      </w:r>
    </w:p>
    <w:p w14:paraId="5C60D485" w14:textId="1195601A" w:rsidR="0059040C" w:rsidRPr="00DF55C9" w:rsidRDefault="0056579D" w:rsidP="00720636">
      <w:pPr>
        <w:spacing w:line="240" w:lineRule="auto"/>
        <w:jc w:val="both"/>
        <w:rPr>
          <w:b/>
        </w:rPr>
      </w:pPr>
      <w:r>
        <w:rPr>
          <w:b/>
        </w:rPr>
        <w:t>Krótki opis:</w:t>
      </w:r>
      <w:r w:rsidR="0059040C">
        <w:rPr>
          <w:b/>
        </w:rPr>
        <w:t xml:space="preserve"> </w:t>
      </w:r>
      <w:r w:rsidR="00720636" w:rsidRPr="00720636">
        <w:t xml:space="preserve">Zakup 10 nowych elektrycznych zespołów trakcyjnych do obsługi przewozów aglomeracyjnych oraz unowocześnienie zaplecza utrzymania taboru. Składy wykorzystywane będą do obsługi ruchu aglomeracyjnego w korytarzu kolejowym Gdańsk Śródmieście – Lębork. Wnioskodawca dopuszcza możliwość również eksploatacji taboru od stacji Gdańsk Wrzeszcz do Gdyni (przez linie PKM tj. linia 248 i dalej przez linię 201 PKP PLK S.A. do Gdyni) w przypadku jej elektryfikacji. Projekt będzie oddziaływał przede wszystkim na obszar miast: Gdańska, Sopotu, Gdyni, </w:t>
      </w:r>
      <w:proofErr w:type="spellStart"/>
      <w:r w:rsidR="00720636" w:rsidRPr="00720636">
        <w:t>Rumi</w:t>
      </w:r>
      <w:proofErr w:type="spellEnd"/>
      <w:r w:rsidR="00720636" w:rsidRPr="00720636">
        <w:t>, Redy, Wejherowa i Lęborka. W ramach projektu planowany jest również zakup niezbędnych urządzeń sł</w:t>
      </w:r>
      <w:r w:rsidR="00720636">
        <w:t xml:space="preserve">użących do utrzymania taboru: mobilna </w:t>
      </w:r>
      <w:proofErr w:type="spellStart"/>
      <w:r w:rsidR="00720636">
        <w:t>napiaszczarka</w:t>
      </w:r>
      <w:proofErr w:type="spellEnd"/>
      <w:r w:rsidR="00720636">
        <w:t>, m</w:t>
      </w:r>
      <w:r w:rsidR="00720636" w:rsidRPr="00720636">
        <w:t>obilna platforma robocza d</w:t>
      </w:r>
      <w:r w:rsidR="00720636">
        <w:t>o dostępu do dachu pojazdów, p</w:t>
      </w:r>
      <w:r w:rsidR="00720636" w:rsidRPr="00720636">
        <w:t>rzenośne podnośniki kolumnow</w:t>
      </w:r>
      <w:r w:rsidR="00720636">
        <w:t>e, u</w:t>
      </w:r>
      <w:r w:rsidR="00720636" w:rsidRPr="00720636">
        <w:t>rzą</w:t>
      </w:r>
      <w:r w:rsidR="00720636">
        <w:t>dzenia utrzymania czystości, s</w:t>
      </w:r>
      <w:r w:rsidR="00720636" w:rsidRPr="00720636">
        <w:t>amojezdne urządzenie do opróżniania zbi</w:t>
      </w:r>
      <w:r w:rsidR="00720636">
        <w:t>orników fekaliów próżniowych WC.</w:t>
      </w:r>
      <w:r w:rsidR="00720636" w:rsidRPr="00720636">
        <w:t xml:space="preserve"> Istniejące zaplecze Wnioskodawcy nie posiada urządzeń umożliwiających prawidłowe utrzymanie nowych pojazdów. Wyżej wymieniony sprzęt jest niezbędny zarówno w celu utrzymania taboru w okresie gwarancji jak i na dalszym etapie eksploatacji (w tym – w okresie trwałości Projektu).</w:t>
      </w:r>
    </w:p>
    <w:p w14:paraId="09C5D3F4" w14:textId="77777777" w:rsidR="0056579D" w:rsidRPr="00DE2465" w:rsidRDefault="00230E7E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ZAKRES ORAZ SKUTECZNOŚĆ ROZWIĄZAŃ ZWIĄZANYCH Z KLIMATEM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2126"/>
        <w:gridCol w:w="2410"/>
        <w:gridCol w:w="1701"/>
        <w:gridCol w:w="5068"/>
      </w:tblGrid>
      <w:tr w:rsidR="006D6EC3" w14:paraId="704E64E8" w14:textId="77777777" w:rsidTr="00C63E3F">
        <w:tc>
          <w:tcPr>
            <w:tcW w:w="13994" w:type="dxa"/>
            <w:gridSpan w:val="5"/>
            <w:shd w:val="clear" w:color="auto" w:fill="A8D08D" w:themeFill="accent6" w:themeFillTint="99"/>
          </w:tcPr>
          <w:p w14:paraId="0560DEC2" w14:textId="77777777" w:rsidR="006D6EC3" w:rsidRDefault="00F928E8" w:rsidP="00230E7E">
            <w:r w:rsidRPr="004662BE">
              <w:rPr>
                <w:b/>
              </w:rPr>
              <w:t>ROZWIĄZANIA ZWIĄZANE ZE ZWIĘKSZANIEM ODPORNOŚCI INWESTYCJI NA ZMIANY KLIMATU, ZAGROŻENIA KLĘSKAMI ŻYWIOŁOWYMI LUB KATASTROFAMI NATURALNYMI</w:t>
            </w:r>
          </w:p>
        </w:tc>
      </w:tr>
      <w:tr w:rsidR="00F928E8" w14:paraId="2F5752F1" w14:textId="77777777" w:rsidTr="00E10773">
        <w:tc>
          <w:tcPr>
            <w:tcW w:w="2689" w:type="dxa"/>
            <w:shd w:val="clear" w:color="auto" w:fill="E2EFD9" w:themeFill="accent6" w:themeFillTint="33"/>
          </w:tcPr>
          <w:p w14:paraId="0A820D79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NAZWA </w:t>
            </w:r>
            <w:r w:rsidR="00E7407F">
              <w:rPr>
                <w:b/>
                <w:sz w:val="20"/>
                <w:szCs w:val="20"/>
              </w:rPr>
              <w:t>POTENCJALNEGO CZYNNIKA RYZYKA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3A4B91BB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POTENCJALNY ISTOTNY WPŁYW</w:t>
            </w:r>
          </w:p>
        </w:tc>
        <w:tc>
          <w:tcPr>
            <w:tcW w:w="2410" w:type="dxa"/>
            <w:shd w:val="clear" w:color="auto" w:fill="E2EFD9" w:themeFill="accent6" w:themeFillTint="33"/>
          </w:tcPr>
          <w:p w14:paraId="0022844F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SPOSÓB UWZGLĘDNIENIA</w:t>
            </w:r>
          </w:p>
        </w:tc>
        <w:tc>
          <w:tcPr>
            <w:tcW w:w="1701" w:type="dxa"/>
            <w:shd w:val="clear" w:color="auto" w:fill="E2EFD9" w:themeFill="accent6" w:themeFillTint="33"/>
          </w:tcPr>
          <w:p w14:paraId="473A8837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CZYNNIKI UZNANE ZA ISTOTNE</w:t>
            </w:r>
            <w:r w:rsidR="00E7407F">
              <w:rPr>
                <w:b/>
                <w:sz w:val="20"/>
                <w:szCs w:val="20"/>
              </w:rPr>
              <w:t xml:space="preserve"> W ANALIZIE RYZYK</w:t>
            </w:r>
          </w:p>
        </w:tc>
        <w:tc>
          <w:tcPr>
            <w:tcW w:w="5068" w:type="dxa"/>
            <w:shd w:val="clear" w:color="auto" w:fill="E2EFD9" w:themeFill="accent6" w:themeFillTint="33"/>
          </w:tcPr>
          <w:p w14:paraId="2B8884B1" w14:textId="77777777" w:rsidR="006D6EC3" w:rsidRPr="004D43D1" w:rsidRDefault="00F928E8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ZAPROPONOWANE</w:t>
            </w:r>
            <w:r w:rsidR="006D6EC3" w:rsidRPr="004D43D1">
              <w:rPr>
                <w:b/>
                <w:sz w:val="20"/>
                <w:szCs w:val="20"/>
              </w:rPr>
              <w:t xml:space="preserve"> OPCJE ADAPTACYJNE</w:t>
            </w:r>
          </w:p>
        </w:tc>
      </w:tr>
      <w:tr w:rsidR="006D6EC3" w14:paraId="2B2562CC" w14:textId="77777777" w:rsidTr="00E10773">
        <w:tc>
          <w:tcPr>
            <w:tcW w:w="2689" w:type="dxa"/>
          </w:tcPr>
          <w:p w14:paraId="4415BCD2" w14:textId="77777777" w:rsidR="006D6EC3" w:rsidRPr="006C2FD2" w:rsidRDefault="006D6EC3" w:rsidP="006D6EC3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 xml:space="preserve">Stopniowy wzrost temperatury powietrza (np. dłuższe okresy oscylowania temperatury w okolicach O st. C) i związane z nimi </w:t>
            </w:r>
            <w:r w:rsidRPr="006C2FD2">
              <w:rPr>
                <w:sz w:val="20"/>
                <w:szCs w:val="20"/>
              </w:rPr>
              <w:lastRenderedPageBreak/>
              <w:t>niekorzystne zjawiska (np. oblodzenie).</w:t>
            </w:r>
          </w:p>
        </w:tc>
        <w:tc>
          <w:tcPr>
            <w:tcW w:w="2126" w:type="dxa"/>
          </w:tcPr>
          <w:p w14:paraId="10F992E4" w14:textId="7DC5710D" w:rsidR="006D6EC3" w:rsidRPr="006C2FD2" w:rsidRDefault="0059040C" w:rsidP="00E10773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2410" w:type="dxa"/>
          </w:tcPr>
          <w:p w14:paraId="5184FD0F" w14:textId="685249A9" w:rsidR="006D6EC3" w:rsidRPr="00E10773" w:rsidRDefault="00E10773" w:rsidP="00E107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Mróz</w:t>
            </w:r>
          </w:p>
        </w:tc>
        <w:tc>
          <w:tcPr>
            <w:tcW w:w="1701" w:type="dxa"/>
          </w:tcPr>
          <w:p w14:paraId="75ED062E" w14:textId="1BE8EDAD" w:rsidR="006D6EC3" w:rsidRPr="006C2FD2" w:rsidRDefault="00E1077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5068" w:type="dxa"/>
          </w:tcPr>
          <w:p w14:paraId="5637863B" w14:textId="7454CEFC" w:rsidR="00604C64" w:rsidRPr="001D33B0" w:rsidRDefault="00E10773" w:rsidP="00FB36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Ryzyko na tyle niewielkie, iż nie wymaga wprowadzania dodatkowych działań adaptacyjnych poza rozwiązaniami projektowymi. Z</w:t>
            </w:r>
            <w:r w:rsidRPr="00E10773">
              <w:rPr>
                <w:sz w:val="20"/>
                <w:szCs w:val="20"/>
              </w:rPr>
              <w:t xml:space="preserve">apewniona zostanie niezawodna praca EZT podczas opadów atmosferycznych oraz w warunkach ostrej zimy (obfite opady śniegu i niskie temperatury). Tabor spełniać będzie wymogi obowiązujących norm PN-EN, kart </w:t>
            </w:r>
            <w:r w:rsidRPr="00E10773">
              <w:rPr>
                <w:sz w:val="20"/>
                <w:szCs w:val="20"/>
              </w:rPr>
              <w:lastRenderedPageBreak/>
              <w:t xml:space="preserve">UIC i odpowiednich Technicznych Specyfikacji Interoperacyjności TSI </w:t>
            </w:r>
            <w:proofErr w:type="spellStart"/>
            <w:r w:rsidRPr="00E10773">
              <w:rPr>
                <w:sz w:val="20"/>
                <w:szCs w:val="20"/>
              </w:rPr>
              <w:t>Loc&amp;pas</w:t>
            </w:r>
            <w:proofErr w:type="spellEnd"/>
            <w:r w:rsidRPr="00E10773">
              <w:rPr>
                <w:sz w:val="20"/>
                <w:szCs w:val="20"/>
              </w:rPr>
              <w:t xml:space="preserve"> 2014 w zakresie niezbędnym do prawidłowej eksploatacji. Zakupiony tabor będzie odporny na czynniki ryzyka klimatycznego poprzez zastosowanie rozwiązań </w:t>
            </w:r>
            <w:proofErr w:type="spellStart"/>
            <w:r w:rsidRPr="00E10773">
              <w:rPr>
                <w:sz w:val="20"/>
                <w:szCs w:val="20"/>
              </w:rPr>
              <w:t>tj</w:t>
            </w:r>
            <w:proofErr w:type="spellEnd"/>
            <w:r w:rsidRPr="00E10773">
              <w:rPr>
                <w:sz w:val="20"/>
                <w:szCs w:val="20"/>
              </w:rPr>
              <w:t xml:space="preserve">: - wydajne ogrzewanie konwekcyjne i nawiewne, klimatyzacja z autoregulacją temperatury; urządzenia elektryczne </w:t>
            </w:r>
            <w:proofErr w:type="spellStart"/>
            <w:r w:rsidRPr="00E10773">
              <w:rPr>
                <w:sz w:val="20"/>
                <w:szCs w:val="20"/>
              </w:rPr>
              <w:t>tj</w:t>
            </w:r>
            <w:proofErr w:type="spellEnd"/>
            <w:r w:rsidRPr="00E10773">
              <w:rPr>
                <w:sz w:val="20"/>
                <w:szCs w:val="20"/>
              </w:rPr>
              <w:t xml:space="preserve"> szafy WN i falowniki wentylowane posiadające filtry przeciwpyłowe, ogrzewane przednich szyb; piasecznice z podgrzewaniem (poprawiają przyczepność i skracają drogę hamowania nagłego); układ hamulcowy standardowo posiadający układ antypoślizgowy WSP (ruszanie i hamowanie); sprężarki powietrza zaopatrzone w osuszacze powietrza, mające na celu zabezpieczenie aparatów układu hamulcowego przed zamarzaniem; sprężarki posiadające grzałki pozwalające na ich rozruch w ujemnych temperaturach</w:t>
            </w:r>
            <w:r>
              <w:rPr>
                <w:sz w:val="20"/>
                <w:szCs w:val="20"/>
              </w:rPr>
              <w:t>.</w:t>
            </w:r>
          </w:p>
        </w:tc>
      </w:tr>
      <w:tr w:rsidR="00FB363E" w14:paraId="5178E7FD" w14:textId="77777777" w:rsidTr="00E10773">
        <w:tc>
          <w:tcPr>
            <w:tcW w:w="2689" w:type="dxa"/>
          </w:tcPr>
          <w:p w14:paraId="544BEC06" w14:textId="77777777" w:rsidR="00FB363E" w:rsidRPr="006C2FD2" w:rsidRDefault="00FB363E" w:rsidP="00FB363E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lastRenderedPageBreak/>
              <w:t>Ekstremalny wzrost temperatury i związane z nimi zjawiska (np. fale upałów, pożary, miejskie wyspy ciepła)</w:t>
            </w:r>
          </w:p>
        </w:tc>
        <w:tc>
          <w:tcPr>
            <w:tcW w:w="2126" w:type="dxa"/>
          </w:tcPr>
          <w:p w14:paraId="7FAA79B1" w14:textId="7495A07D" w:rsidR="00FB363E" w:rsidRPr="006C2FD2" w:rsidRDefault="00FB363E" w:rsidP="00E10773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, lecz niewielki </w:t>
            </w:r>
          </w:p>
        </w:tc>
        <w:tc>
          <w:tcPr>
            <w:tcW w:w="2410" w:type="dxa"/>
          </w:tcPr>
          <w:p w14:paraId="4A0B817F" w14:textId="4EFF4AF3" w:rsidR="00FB363E" w:rsidRPr="001D33B0" w:rsidRDefault="00E10773" w:rsidP="00FB36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Upały</w:t>
            </w:r>
          </w:p>
        </w:tc>
        <w:tc>
          <w:tcPr>
            <w:tcW w:w="1701" w:type="dxa"/>
          </w:tcPr>
          <w:p w14:paraId="3673CB44" w14:textId="77777777" w:rsidR="00FB363E" w:rsidRPr="006C2FD2" w:rsidRDefault="00FB363E" w:rsidP="00FB363E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NIE</w:t>
            </w:r>
          </w:p>
        </w:tc>
        <w:tc>
          <w:tcPr>
            <w:tcW w:w="5068" w:type="dxa"/>
          </w:tcPr>
          <w:p w14:paraId="7032371B" w14:textId="4E256696" w:rsidR="00FB363E" w:rsidRPr="001D33B0" w:rsidRDefault="00FB363E" w:rsidP="00FB363E">
            <w:pPr>
              <w:jc w:val="both"/>
              <w:rPr>
                <w:sz w:val="20"/>
                <w:szCs w:val="20"/>
              </w:rPr>
            </w:pPr>
          </w:p>
        </w:tc>
      </w:tr>
      <w:tr w:rsidR="00E10773" w14:paraId="3861FE36" w14:textId="77777777" w:rsidTr="00E10773">
        <w:tc>
          <w:tcPr>
            <w:tcW w:w="2689" w:type="dxa"/>
          </w:tcPr>
          <w:p w14:paraId="2668C561" w14:textId="77777777" w:rsidR="00E10773" w:rsidRPr="006C2FD2" w:rsidRDefault="00E10773" w:rsidP="00E10773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Stopniowe zmiany ilości opadów i związana z nimi dostępność wody (np. susze, deficyty wody, zmniejszenie przepływów w ciekach)</w:t>
            </w:r>
          </w:p>
        </w:tc>
        <w:tc>
          <w:tcPr>
            <w:tcW w:w="2126" w:type="dxa"/>
          </w:tcPr>
          <w:p w14:paraId="1C68E65E" w14:textId="0CD11EBC" w:rsidR="00E10773" w:rsidRPr="006C2FD2" w:rsidRDefault="00E10773" w:rsidP="00E10773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14:paraId="7F5A6C9A" w14:textId="40C1ABA5" w:rsidR="00E10773" w:rsidRPr="00E10773" w:rsidRDefault="00E10773" w:rsidP="00E107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Ulewy, śnieg, powodzie</w:t>
            </w:r>
          </w:p>
        </w:tc>
        <w:tc>
          <w:tcPr>
            <w:tcW w:w="1701" w:type="dxa"/>
          </w:tcPr>
          <w:p w14:paraId="4B054296" w14:textId="37E0C843" w:rsidR="00E10773" w:rsidRPr="006C2FD2" w:rsidRDefault="00E10773" w:rsidP="00E10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- śnieg</w:t>
            </w:r>
          </w:p>
        </w:tc>
        <w:tc>
          <w:tcPr>
            <w:tcW w:w="5068" w:type="dxa"/>
          </w:tcPr>
          <w:p w14:paraId="7098FE55" w14:textId="750C1F05" w:rsidR="00E10773" w:rsidRPr="001D33B0" w:rsidRDefault="00E10773" w:rsidP="00E107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Ryzyko na tyle niewielkie, iż nie wymaga wprowadzania dodatkowych działań adaptacyjnych poza rozwiązaniami projektowymi. Z</w:t>
            </w:r>
            <w:r w:rsidRPr="00E10773">
              <w:rPr>
                <w:sz w:val="20"/>
                <w:szCs w:val="20"/>
              </w:rPr>
              <w:t xml:space="preserve">apewniona zostanie niezawodna praca EZT podczas opadów atmosferycznych oraz w warunkach ostrej zimy (obfite opady śniegu i niskie temperatury). Tabor spełniać będzie wymogi obowiązujących norm PN-EN, kart UIC i odpowiednich Technicznych Specyfikacji Interoperacyjności TSI </w:t>
            </w:r>
            <w:proofErr w:type="spellStart"/>
            <w:r w:rsidRPr="00E10773">
              <w:rPr>
                <w:sz w:val="20"/>
                <w:szCs w:val="20"/>
              </w:rPr>
              <w:t>Loc&amp;pas</w:t>
            </w:r>
            <w:proofErr w:type="spellEnd"/>
            <w:r w:rsidRPr="00E10773">
              <w:rPr>
                <w:sz w:val="20"/>
                <w:szCs w:val="20"/>
              </w:rPr>
              <w:t xml:space="preserve"> 2014 w zakresie niezbędnym do prawidłowej eksploatacji. Zakupiony tabor będzie odporny na czynniki ryzyka klimatycznego poprzez zastosowanie rozwiązań </w:t>
            </w:r>
            <w:proofErr w:type="spellStart"/>
            <w:r w:rsidRPr="00E10773">
              <w:rPr>
                <w:sz w:val="20"/>
                <w:szCs w:val="20"/>
              </w:rPr>
              <w:t>tj</w:t>
            </w:r>
            <w:proofErr w:type="spellEnd"/>
            <w:r w:rsidRPr="00E10773">
              <w:rPr>
                <w:sz w:val="20"/>
                <w:szCs w:val="20"/>
              </w:rPr>
              <w:t xml:space="preserve">: - wydajne ogrzewanie konwekcyjne i nawiewne, klimatyzacja z autoregulacją temperatury; urządzenia elektryczne </w:t>
            </w:r>
            <w:proofErr w:type="spellStart"/>
            <w:r w:rsidRPr="00E10773">
              <w:rPr>
                <w:sz w:val="20"/>
                <w:szCs w:val="20"/>
              </w:rPr>
              <w:t>tj</w:t>
            </w:r>
            <w:proofErr w:type="spellEnd"/>
            <w:r w:rsidRPr="00E10773">
              <w:rPr>
                <w:sz w:val="20"/>
                <w:szCs w:val="20"/>
              </w:rPr>
              <w:t xml:space="preserve"> szafy WN i falowniki wentylowane posiadające filtry przeciwpyłowe, ogrzewane przednich szyb; piasecznice z podgrzewaniem (poprawiają przyczepność i skracają drogę hamowania nagłego); układ </w:t>
            </w:r>
            <w:r w:rsidRPr="00E10773">
              <w:rPr>
                <w:sz w:val="20"/>
                <w:szCs w:val="20"/>
              </w:rPr>
              <w:lastRenderedPageBreak/>
              <w:t>hamulcowy standardowo posiadający układ antypoślizgowy WSP (ruszanie i hamowanie); sprężarki powietrza zaopatrzone w osuszacze powietrza, mające na celu zabezpieczenie aparatów układu hamulcowego przed zamarzaniem; sprężarki posiadające grzałki pozwalające na ich rozruch w ujemnych temperaturach</w:t>
            </w:r>
            <w:r>
              <w:rPr>
                <w:sz w:val="20"/>
                <w:szCs w:val="20"/>
              </w:rPr>
              <w:t>.</w:t>
            </w:r>
          </w:p>
        </w:tc>
      </w:tr>
      <w:tr w:rsidR="00E10773" w14:paraId="1C630E7F" w14:textId="77777777" w:rsidTr="00E10773">
        <w:tc>
          <w:tcPr>
            <w:tcW w:w="2689" w:type="dxa"/>
          </w:tcPr>
          <w:p w14:paraId="226236DC" w14:textId="6EF6AFFC" w:rsidR="00E10773" w:rsidRPr="006C2FD2" w:rsidRDefault="00E10773" w:rsidP="00E10773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lastRenderedPageBreak/>
              <w:t>Wzrost maksymalnej prędkość wiatru i związane z nimi zjawiska (np. wichury)</w:t>
            </w:r>
          </w:p>
        </w:tc>
        <w:tc>
          <w:tcPr>
            <w:tcW w:w="2126" w:type="dxa"/>
          </w:tcPr>
          <w:p w14:paraId="2CDF5636" w14:textId="63ED856C" w:rsidR="00E10773" w:rsidRPr="006C2FD2" w:rsidRDefault="001E2708" w:rsidP="00E10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lecz niewielkie</w:t>
            </w:r>
          </w:p>
        </w:tc>
        <w:tc>
          <w:tcPr>
            <w:tcW w:w="2410" w:type="dxa"/>
          </w:tcPr>
          <w:p w14:paraId="0EFB299D" w14:textId="4D5C396B" w:rsidR="00E10773" w:rsidRPr="00E10773" w:rsidRDefault="00E10773" w:rsidP="00E1077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4783743" w14:textId="010BC5D2" w:rsidR="00E10773" w:rsidRPr="006C2FD2" w:rsidRDefault="00E10773" w:rsidP="00E10773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NIE</w:t>
            </w:r>
          </w:p>
        </w:tc>
        <w:tc>
          <w:tcPr>
            <w:tcW w:w="5068" w:type="dxa"/>
          </w:tcPr>
          <w:p w14:paraId="1A1E6DB2" w14:textId="462F12C4" w:rsidR="00E10773" w:rsidRPr="001D33B0" w:rsidRDefault="00E10773" w:rsidP="00E10773">
            <w:pPr>
              <w:jc w:val="both"/>
              <w:rPr>
                <w:sz w:val="20"/>
                <w:szCs w:val="20"/>
              </w:rPr>
            </w:pPr>
          </w:p>
        </w:tc>
      </w:tr>
      <w:tr w:rsidR="00E10773" w14:paraId="636FA872" w14:textId="77777777" w:rsidTr="00E10773">
        <w:tc>
          <w:tcPr>
            <w:tcW w:w="2689" w:type="dxa"/>
          </w:tcPr>
          <w:p w14:paraId="1F2FE6E5" w14:textId="02A5E010" w:rsidR="00E10773" w:rsidRPr="006C2FD2" w:rsidRDefault="00E10773" w:rsidP="00E10773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 xml:space="preserve">Erozja gleby i związane z nimi zjawiska (np. osuwiska, drenaż) </w:t>
            </w:r>
          </w:p>
        </w:tc>
        <w:tc>
          <w:tcPr>
            <w:tcW w:w="2126" w:type="dxa"/>
          </w:tcPr>
          <w:p w14:paraId="0BB9A0FB" w14:textId="0D6DEE50" w:rsidR="00E10773" w:rsidRPr="006C2FD2" w:rsidRDefault="00E10773" w:rsidP="00E10773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NIE</w:t>
            </w:r>
          </w:p>
        </w:tc>
        <w:tc>
          <w:tcPr>
            <w:tcW w:w="2410" w:type="dxa"/>
          </w:tcPr>
          <w:p w14:paraId="6B618317" w14:textId="2CAB9778" w:rsidR="00E10773" w:rsidRPr="006C2FD2" w:rsidRDefault="00E10773" w:rsidP="00E1077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6EEF541" w14:textId="103A72C8" w:rsidR="00E10773" w:rsidRPr="006C2FD2" w:rsidRDefault="00E10773" w:rsidP="00E10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5068" w:type="dxa"/>
          </w:tcPr>
          <w:p w14:paraId="1F643C72" w14:textId="16EFD541" w:rsidR="00E10773" w:rsidRPr="001D33B0" w:rsidRDefault="00E10773" w:rsidP="00E10773">
            <w:pPr>
              <w:jc w:val="both"/>
              <w:rPr>
                <w:sz w:val="20"/>
                <w:szCs w:val="20"/>
              </w:rPr>
            </w:pPr>
          </w:p>
        </w:tc>
      </w:tr>
      <w:tr w:rsidR="00E10773" w14:paraId="3371FFD0" w14:textId="77777777" w:rsidTr="00E10773">
        <w:tc>
          <w:tcPr>
            <w:tcW w:w="2689" w:type="dxa"/>
          </w:tcPr>
          <w:p w14:paraId="4D9E15C0" w14:textId="77777777" w:rsidR="00E10773" w:rsidRPr="006C2FD2" w:rsidRDefault="00E10773" w:rsidP="00E10773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Inne (jakie?)</w:t>
            </w:r>
          </w:p>
          <w:p w14:paraId="44B535A6" w14:textId="77777777" w:rsidR="00E10773" w:rsidRPr="006C2FD2" w:rsidRDefault="00E10773" w:rsidP="00E1077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6D80568" w14:textId="474D86FC" w:rsidR="00E10773" w:rsidRPr="006C2FD2" w:rsidRDefault="00E10773" w:rsidP="00E10773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NIE</w:t>
            </w:r>
          </w:p>
        </w:tc>
        <w:tc>
          <w:tcPr>
            <w:tcW w:w="2410" w:type="dxa"/>
          </w:tcPr>
          <w:p w14:paraId="58545A65" w14:textId="4DDE9F33" w:rsidR="00E10773" w:rsidRPr="001D33B0" w:rsidRDefault="00E10773" w:rsidP="00E1077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71CB905" w14:textId="04553341" w:rsidR="00E10773" w:rsidRPr="006C2FD2" w:rsidRDefault="00E10773" w:rsidP="00E10773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NIE</w:t>
            </w:r>
          </w:p>
        </w:tc>
        <w:tc>
          <w:tcPr>
            <w:tcW w:w="5068" w:type="dxa"/>
          </w:tcPr>
          <w:p w14:paraId="1DED4B64" w14:textId="09D4CF3F" w:rsidR="00E10773" w:rsidRPr="001D33B0" w:rsidRDefault="00E10773" w:rsidP="00E10773">
            <w:pPr>
              <w:jc w:val="both"/>
              <w:rPr>
                <w:sz w:val="20"/>
                <w:szCs w:val="20"/>
              </w:rPr>
            </w:pPr>
          </w:p>
        </w:tc>
      </w:tr>
      <w:tr w:rsidR="00E10773" w14:paraId="68CC1FA3" w14:textId="77777777" w:rsidTr="00E10773">
        <w:tc>
          <w:tcPr>
            <w:tcW w:w="4815" w:type="dxa"/>
            <w:gridSpan w:val="2"/>
            <w:shd w:val="clear" w:color="auto" w:fill="E2EFD9" w:themeFill="accent6" w:themeFillTint="33"/>
          </w:tcPr>
          <w:p w14:paraId="376FA927" w14:textId="77777777" w:rsidR="00E10773" w:rsidRPr="004D43D1" w:rsidRDefault="00E10773" w:rsidP="00E1077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ZAKRES ANALIZ KLIMATYCZNYCH</w:t>
            </w:r>
          </w:p>
        </w:tc>
        <w:tc>
          <w:tcPr>
            <w:tcW w:w="2410" w:type="dxa"/>
            <w:shd w:val="clear" w:color="auto" w:fill="E2EFD9" w:themeFill="accent6" w:themeFillTint="33"/>
          </w:tcPr>
          <w:p w14:paraId="51B907CC" w14:textId="77777777" w:rsidR="00E10773" w:rsidRPr="004D43D1" w:rsidRDefault="00E10773" w:rsidP="00E1077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CZY </w:t>
            </w:r>
            <w:r>
              <w:rPr>
                <w:b/>
                <w:sz w:val="20"/>
                <w:szCs w:val="20"/>
              </w:rPr>
              <w:t>UWZGLĘDNIONO W ANALIZIE</w:t>
            </w:r>
            <w:r w:rsidRPr="004D43D1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6769" w:type="dxa"/>
            <w:gridSpan w:val="2"/>
            <w:shd w:val="clear" w:color="auto" w:fill="E2EFD9" w:themeFill="accent6" w:themeFillTint="33"/>
          </w:tcPr>
          <w:p w14:paraId="426CF3A7" w14:textId="77777777" w:rsidR="00E10773" w:rsidRPr="004D43D1" w:rsidRDefault="00E10773" w:rsidP="00E1077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PODEJŚCIE METODOLOGICZNE?</w:t>
            </w:r>
          </w:p>
        </w:tc>
      </w:tr>
      <w:tr w:rsidR="00E10773" w14:paraId="79CA8F2D" w14:textId="77777777" w:rsidTr="00E10773">
        <w:tc>
          <w:tcPr>
            <w:tcW w:w="4815" w:type="dxa"/>
            <w:gridSpan w:val="2"/>
          </w:tcPr>
          <w:p w14:paraId="79E6A579" w14:textId="77777777" w:rsidR="00E10773" w:rsidRPr="006C2FD2" w:rsidRDefault="00E10773" w:rsidP="00E10773">
            <w:r w:rsidRPr="006C2FD2">
              <w:t>Aktualne zagrożenia klimatyczne</w:t>
            </w:r>
          </w:p>
        </w:tc>
        <w:tc>
          <w:tcPr>
            <w:tcW w:w="2410" w:type="dxa"/>
          </w:tcPr>
          <w:p w14:paraId="20671D6D" w14:textId="14432DA0" w:rsidR="00E10773" w:rsidRPr="006C2FD2" w:rsidRDefault="00FA3289" w:rsidP="00E10773">
            <w:r>
              <w:t>NIE</w:t>
            </w:r>
          </w:p>
        </w:tc>
        <w:tc>
          <w:tcPr>
            <w:tcW w:w="6769" w:type="dxa"/>
            <w:gridSpan w:val="2"/>
          </w:tcPr>
          <w:p w14:paraId="7C2D8815" w14:textId="7DDF8AD2" w:rsidR="00E10773" w:rsidRPr="001E2708" w:rsidRDefault="00FA3289" w:rsidP="001E27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Zakup taboru nie obejmuje etapu robót budowalnych.</w:t>
            </w:r>
          </w:p>
        </w:tc>
      </w:tr>
      <w:tr w:rsidR="00E10773" w14:paraId="0949F650" w14:textId="77777777" w:rsidTr="00E10773">
        <w:tc>
          <w:tcPr>
            <w:tcW w:w="4815" w:type="dxa"/>
            <w:gridSpan w:val="2"/>
          </w:tcPr>
          <w:p w14:paraId="6AE3B3CC" w14:textId="77777777" w:rsidR="00E10773" w:rsidRPr="001B2780" w:rsidRDefault="00E10773" w:rsidP="00E10773">
            <w:r w:rsidRPr="001B2780">
              <w:t>Przyszłe zagrożenia klimatyczne</w:t>
            </w:r>
          </w:p>
        </w:tc>
        <w:tc>
          <w:tcPr>
            <w:tcW w:w="2410" w:type="dxa"/>
          </w:tcPr>
          <w:p w14:paraId="3C757C17" w14:textId="77777777" w:rsidR="00E10773" w:rsidRPr="001B2780" w:rsidRDefault="00E10773" w:rsidP="00E10773">
            <w:r w:rsidRPr="001B2780">
              <w:t>TAK</w:t>
            </w:r>
          </w:p>
        </w:tc>
        <w:tc>
          <w:tcPr>
            <w:tcW w:w="6769" w:type="dxa"/>
            <w:gridSpan w:val="2"/>
          </w:tcPr>
          <w:p w14:paraId="62159F44" w14:textId="77777777" w:rsidR="00E10773" w:rsidRPr="001B2780" w:rsidRDefault="001E2708" w:rsidP="00E10773">
            <w:pPr>
              <w:jc w:val="both"/>
              <w:rPr>
                <w:sz w:val="20"/>
                <w:szCs w:val="20"/>
              </w:rPr>
            </w:pPr>
            <w:r w:rsidRPr="001B2780">
              <w:rPr>
                <w:sz w:val="20"/>
                <w:szCs w:val="20"/>
              </w:rPr>
              <w:t>Ryzyka związane z klimatem (powodzie, upały, ulewy, śnieg i mróz oceniono jako średnie w 30-letnim okresie eksploatacji zakupionego taboru.</w:t>
            </w:r>
          </w:p>
          <w:p w14:paraId="6933F4F9" w14:textId="728BEEF5" w:rsidR="001E2708" w:rsidRPr="001B2780" w:rsidRDefault="001E2708" w:rsidP="00E10773">
            <w:pPr>
              <w:jc w:val="both"/>
              <w:rPr>
                <w:sz w:val="20"/>
                <w:szCs w:val="20"/>
              </w:rPr>
            </w:pPr>
            <w:proofErr w:type="spellStart"/>
            <w:r w:rsidRPr="001B2780">
              <w:t>WoD</w:t>
            </w:r>
            <w:proofErr w:type="spellEnd"/>
            <w:r w:rsidRPr="001B2780">
              <w:t xml:space="preserve"> nie podaje źródła analiz i podejścia metodologiczne , SW też nie, brak załącznika do SW z analizą klimatyczną.</w:t>
            </w:r>
          </w:p>
        </w:tc>
      </w:tr>
      <w:tr w:rsidR="00E10773" w14:paraId="0BAA842A" w14:textId="77777777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14:paraId="757B0638" w14:textId="710FFB88" w:rsidR="00E10773" w:rsidRPr="001B2780" w:rsidRDefault="00E10773" w:rsidP="00E10773">
            <w:pPr>
              <w:rPr>
                <w:b/>
                <w:sz w:val="20"/>
                <w:szCs w:val="20"/>
              </w:rPr>
            </w:pPr>
            <w:r w:rsidRPr="001B2780">
              <w:rPr>
                <w:b/>
                <w:sz w:val="20"/>
                <w:szCs w:val="20"/>
              </w:rPr>
              <w:t>OCENA PODEJŚCIA DO SZACOWANIA RYZYK KLIMATYCZNYCH W KONTEKŚCIE ZAŁOŻEŃ PO</w:t>
            </w:r>
            <w:r w:rsidR="00281ED4">
              <w:rPr>
                <w:b/>
                <w:sz w:val="20"/>
                <w:szCs w:val="20"/>
              </w:rPr>
              <w:t>RADNIKA</w:t>
            </w:r>
          </w:p>
        </w:tc>
      </w:tr>
      <w:tr w:rsidR="00E10773" w14:paraId="5D3801AD" w14:textId="77777777" w:rsidTr="00C63E3F">
        <w:tc>
          <w:tcPr>
            <w:tcW w:w="13994" w:type="dxa"/>
            <w:gridSpan w:val="5"/>
            <w:shd w:val="clear" w:color="auto" w:fill="auto"/>
          </w:tcPr>
          <w:p w14:paraId="17149ABB" w14:textId="55DCEF36" w:rsidR="00E10773" w:rsidRPr="001B2780" w:rsidRDefault="001E2708" w:rsidP="00E10773">
            <w:pPr>
              <w:jc w:val="both"/>
              <w:rPr>
                <w:sz w:val="20"/>
              </w:rPr>
            </w:pPr>
            <w:r w:rsidRPr="001B2780">
              <w:rPr>
                <w:sz w:val="20"/>
              </w:rPr>
              <w:t>UWAGA! BEZ załącznika do SW obejmującego analizę klimatyczną nie jestem w stanie wypełnić tego punktu.</w:t>
            </w:r>
          </w:p>
          <w:p w14:paraId="632D558E" w14:textId="4FBE5934" w:rsidR="00E10773" w:rsidRPr="001B2780" w:rsidRDefault="00E10773" w:rsidP="00E10773">
            <w:pPr>
              <w:jc w:val="both"/>
              <w:rPr>
                <w:sz w:val="20"/>
              </w:rPr>
            </w:pPr>
          </w:p>
        </w:tc>
      </w:tr>
      <w:tr w:rsidR="00E10773" w14:paraId="022BCA8E" w14:textId="77777777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14:paraId="48A52290" w14:textId="77777777" w:rsidR="00E10773" w:rsidRPr="006C2FD2" w:rsidRDefault="00E10773" w:rsidP="00E10773">
            <w:pPr>
              <w:rPr>
                <w:b/>
                <w:sz w:val="20"/>
                <w:szCs w:val="20"/>
              </w:rPr>
            </w:pPr>
            <w:r w:rsidRPr="006C2FD2">
              <w:rPr>
                <w:b/>
                <w:sz w:val="20"/>
                <w:szCs w:val="20"/>
              </w:rPr>
              <w:t>ADEKWATNOŚĆ I SKUTECZNOŚĆ ZASTOSOWANYCH ROZWIĄZAŃ ZABEZPIECZAJĄCYCH</w:t>
            </w:r>
          </w:p>
        </w:tc>
      </w:tr>
      <w:tr w:rsidR="00E10773" w14:paraId="4B15B9DA" w14:textId="77777777" w:rsidTr="00C63E3F">
        <w:tc>
          <w:tcPr>
            <w:tcW w:w="13994" w:type="dxa"/>
            <w:gridSpan w:val="5"/>
          </w:tcPr>
          <w:p w14:paraId="3DDFBB00" w14:textId="5470F2E9" w:rsidR="00E10773" w:rsidRPr="00FB363E" w:rsidRDefault="00E10773" w:rsidP="00E10773">
            <w:r w:rsidRPr="006C2FD2">
              <w:t xml:space="preserve">Dla wszystkich istotnych </w:t>
            </w:r>
            <w:proofErr w:type="spellStart"/>
            <w:r w:rsidRPr="006C2FD2">
              <w:t>ryzyk</w:t>
            </w:r>
            <w:proofErr w:type="spellEnd"/>
            <w:r w:rsidRPr="006C2FD2">
              <w:t xml:space="preserve"> wskazano adekwatne opcje adaptacyjne (wynikające z przyjętego kształtu projektu). Proponowane opcje adaptacyjne mają przede wszystkich charakter organizacyjny, nie wpływają na zmianę kształtu projektu.</w:t>
            </w:r>
          </w:p>
        </w:tc>
      </w:tr>
      <w:tr w:rsidR="00E10773" w14:paraId="439C3E8D" w14:textId="77777777" w:rsidTr="00C63E3F">
        <w:tc>
          <w:tcPr>
            <w:tcW w:w="13994" w:type="dxa"/>
            <w:gridSpan w:val="5"/>
            <w:shd w:val="clear" w:color="auto" w:fill="A8D08D" w:themeFill="accent6" w:themeFillTint="99"/>
          </w:tcPr>
          <w:p w14:paraId="1B87CBA5" w14:textId="77777777" w:rsidR="00E10773" w:rsidRDefault="00E10773" w:rsidP="00E10773">
            <w:pPr>
              <w:rPr>
                <w:b/>
              </w:rPr>
            </w:pPr>
            <w:r w:rsidRPr="004662BE">
              <w:rPr>
                <w:b/>
              </w:rPr>
              <w:t>ROZWIĄZANIA ZWIĄZANE Z ŁAGODZENIEM ZMIAN KLIMATU</w:t>
            </w:r>
          </w:p>
        </w:tc>
      </w:tr>
      <w:tr w:rsidR="00E10773" w:rsidRPr="00F928E8" w14:paraId="31A3856D" w14:textId="77777777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14:paraId="5C18773F" w14:textId="77777777" w:rsidR="00E10773" w:rsidRPr="00F928E8" w:rsidRDefault="00E10773" w:rsidP="00E10773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E10773" w14:paraId="71F4E76B" w14:textId="77777777" w:rsidTr="00C63E3F">
        <w:tc>
          <w:tcPr>
            <w:tcW w:w="13994" w:type="dxa"/>
            <w:gridSpan w:val="5"/>
          </w:tcPr>
          <w:p w14:paraId="379F365A" w14:textId="2C7CB1CD" w:rsidR="00E10773" w:rsidRPr="00FB363E" w:rsidRDefault="00E10773" w:rsidP="00E10773">
            <w:r w:rsidRPr="00FB363E">
              <w:t>brak rozwiązań</w:t>
            </w:r>
          </w:p>
        </w:tc>
      </w:tr>
      <w:tr w:rsidR="00E10773" w:rsidRPr="00F928E8" w14:paraId="64C64EA6" w14:textId="77777777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14:paraId="5B5EF412" w14:textId="77777777" w:rsidR="00E10773" w:rsidRPr="00F928E8" w:rsidRDefault="00E10773" w:rsidP="00E10773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E10773" w14:paraId="4439876A" w14:textId="77777777" w:rsidTr="00C63E3F">
        <w:tc>
          <w:tcPr>
            <w:tcW w:w="13994" w:type="dxa"/>
            <w:gridSpan w:val="5"/>
          </w:tcPr>
          <w:p w14:paraId="4BA641DD" w14:textId="46BDDEC9" w:rsidR="00E10773" w:rsidRPr="00FB363E" w:rsidRDefault="00E10773" w:rsidP="00E10773">
            <w:proofErr w:type="spellStart"/>
            <w:r w:rsidRPr="00604C64">
              <w:t>n.d</w:t>
            </w:r>
            <w:proofErr w:type="spellEnd"/>
            <w:r w:rsidRPr="00604C64">
              <w:t>.</w:t>
            </w:r>
          </w:p>
        </w:tc>
      </w:tr>
      <w:tr w:rsidR="00E10773" w14:paraId="78AD9101" w14:textId="77777777" w:rsidTr="00C63E3F">
        <w:tc>
          <w:tcPr>
            <w:tcW w:w="13994" w:type="dxa"/>
            <w:gridSpan w:val="5"/>
            <w:shd w:val="clear" w:color="auto" w:fill="A8D08D" w:themeFill="accent6" w:themeFillTint="99"/>
          </w:tcPr>
          <w:p w14:paraId="6E0CB5F6" w14:textId="77777777" w:rsidR="00E10773" w:rsidRDefault="00E10773" w:rsidP="00E10773">
            <w:pPr>
              <w:rPr>
                <w:b/>
              </w:rPr>
            </w:pPr>
            <w:r w:rsidRPr="004662BE">
              <w:rPr>
                <w:b/>
              </w:rPr>
              <w:t xml:space="preserve">ROZWIĄZANIA ZWIĄZANE Z </w:t>
            </w:r>
            <w:r>
              <w:rPr>
                <w:b/>
              </w:rPr>
              <w:t>ADAPTACJĄ DO ZMIAN KLIMATU (POZA ZWIĘKSZENIEM ODPORNOŚCI INWESTYCJI)</w:t>
            </w:r>
          </w:p>
        </w:tc>
      </w:tr>
      <w:tr w:rsidR="00E10773" w:rsidRPr="00F928E8" w14:paraId="7562B91C" w14:textId="77777777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14:paraId="35A0D045" w14:textId="77777777" w:rsidR="00E10773" w:rsidRPr="00F928E8" w:rsidRDefault="00E10773" w:rsidP="00E10773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E10773" w14:paraId="500D6AC9" w14:textId="77777777" w:rsidTr="00C63E3F">
        <w:tc>
          <w:tcPr>
            <w:tcW w:w="13994" w:type="dxa"/>
            <w:gridSpan w:val="5"/>
          </w:tcPr>
          <w:p w14:paraId="1146468E" w14:textId="7D18B2A3" w:rsidR="00E10773" w:rsidRDefault="00E10773" w:rsidP="00E10773">
            <w:pPr>
              <w:rPr>
                <w:b/>
              </w:rPr>
            </w:pPr>
            <w:r w:rsidRPr="00FB363E">
              <w:t>brak rozwiązań</w:t>
            </w:r>
          </w:p>
        </w:tc>
      </w:tr>
      <w:tr w:rsidR="00E10773" w:rsidRPr="00F928E8" w14:paraId="32305DEC" w14:textId="77777777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14:paraId="2DC67983" w14:textId="77777777" w:rsidR="00E10773" w:rsidRPr="00F928E8" w:rsidRDefault="00E10773" w:rsidP="00E107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CHARAKTER ODDZIAŁYWANIA</w:t>
            </w:r>
          </w:p>
        </w:tc>
      </w:tr>
      <w:tr w:rsidR="00E10773" w:rsidRPr="00F928E8" w14:paraId="4CFDFBAA" w14:textId="77777777" w:rsidTr="00C63E3F">
        <w:tc>
          <w:tcPr>
            <w:tcW w:w="13994" w:type="dxa"/>
            <w:gridSpan w:val="5"/>
          </w:tcPr>
          <w:p w14:paraId="22FFDE40" w14:textId="378A0D74" w:rsidR="00E10773" w:rsidRPr="00FB363E" w:rsidRDefault="00E10773" w:rsidP="00E10773">
            <w:pPr>
              <w:rPr>
                <w:sz w:val="20"/>
                <w:szCs w:val="20"/>
              </w:rPr>
            </w:pPr>
            <w:proofErr w:type="spellStart"/>
            <w:r w:rsidRPr="00604C64">
              <w:rPr>
                <w:sz w:val="20"/>
                <w:szCs w:val="20"/>
              </w:rPr>
              <w:t>n.d</w:t>
            </w:r>
            <w:proofErr w:type="spellEnd"/>
            <w:r w:rsidRPr="00604C64">
              <w:rPr>
                <w:sz w:val="20"/>
                <w:szCs w:val="20"/>
              </w:rPr>
              <w:t>.</w:t>
            </w:r>
          </w:p>
        </w:tc>
      </w:tr>
      <w:tr w:rsidR="00E10773" w:rsidRPr="00F928E8" w14:paraId="64DE44F3" w14:textId="77777777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14:paraId="46AC8E5C" w14:textId="77777777" w:rsidR="00E10773" w:rsidRPr="00F928E8" w:rsidRDefault="00E10773" w:rsidP="00E10773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E10773" w14:paraId="43FA918A" w14:textId="77777777" w:rsidTr="00C63E3F">
        <w:tc>
          <w:tcPr>
            <w:tcW w:w="13994" w:type="dxa"/>
            <w:gridSpan w:val="5"/>
          </w:tcPr>
          <w:p w14:paraId="537B806C" w14:textId="4632E6E5" w:rsidR="00E10773" w:rsidRPr="00FB363E" w:rsidRDefault="00E10773" w:rsidP="00E10773">
            <w:proofErr w:type="spellStart"/>
            <w:r w:rsidRPr="00604C64">
              <w:t>n.d</w:t>
            </w:r>
            <w:proofErr w:type="spellEnd"/>
            <w:r w:rsidRPr="00604C64">
              <w:t>.</w:t>
            </w:r>
          </w:p>
        </w:tc>
      </w:tr>
    </w:tbl>
    <w:p w14:paraId="38812809" w14:textId="3DE7EC10" w:rsidR="00B95F15" w:rsidRPr="00281ED4" w:rsidRDefault="00C76E2A" w:rsidP="006A0215">
      <w:pPr>
        <w:rPr>
          <w:b/>
          <w:sz w:val="32"/>
          <w:szCs w:val="32"/>
        </w:rPr>
      </w:pPr>
      <w:r w:rsidRPr="00DE2465">
        <w:rPr>
          <w:b/>
          <w:sz w:val="32"/>
          <w:szCs w:val="32"/>
        </w:rPr>
        <w:t>SKALA ODDZIAŁYWANIA STOSOWANYCH ROZWIĄZAŃ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2"/>
        <w:gridCol w:w="7655"/>
      </w:tblGrid>
      <w:tr w:rsidR="004662BE" w14:paraId="18940BAD" w14:textId="77777777" w:rsidTr="00320904">
        <w:tc>
          <w:tcPr>
            <w:tcW w:w="13887" w:type="dxa"/>
            <w:gridSpan w:val="2"/>
            <w:shd w:val="clear" w:color="auto" w:fill="E2EFD9" w:themeFill="accent6" w:themeFillTint="33"/>
          </w:tcPr>
          <w:p w14:paraId="4DE9ACB9" w14:textId="77777777" w:rsidR="004662BE" w:rsidRPr="004662BE" w:rsidRDefault="00AB21A8" w:rsidP="004662BE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 xml:space="preserve">LOKALNE </w:t>
            </w:r>
            <w:r>
              <w:rPr>
                <w:rFonts w:cstheme="minorHAnsi"/>
                <w:b/>
                <w:lang w:eastAsia="pl-PL"/>
              </w:rPr>
              <w:t>ODDZIAŁYWANIE</w:t>
            </w:r>
            <w:r w:rsidRPr="00AB21A8">
              <w:rPr>
                <w:rFonts w:cstheme="minorHAnsi"/>
                <w:b/>
                <w:lang w:eastAsia="pl-PL"/>
              </w:rPr>
              <w:t xml:space="preserve"> PODJĘTYCH DZIAŁAŃ ADAPTACYJNYCH</w:t>
            </w:r>
          </w:p>
        </w:tc>
      </w:tr>
      <w:tr w:rsidR="00AB21A8" w14:paraId="5F4CCDB6" w14:textId="77777777" w:rsidTr="00CC643A">
        <w:tc>
          <w:tcPr>
            <w:tcW w:w="6232" w:type="dxa"/>
            <w:shd w:val="clear" w:color="auto" w:fill="92D050"/>
          </w:tcPr>
          <w:p w14:paraId="0290B6DB" w14:textId="77777777"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14:paraId="04C39C38" w14:textId="77777777"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6E3C60" w14:paraId="4DBF94B6" w14:textId="77777777" w:rsidTr="00CC643A">
        <w:tc>
          <w:tcPr>
            <w:tcW w:w="6232" w:type="dxa"/>
          </w:tcPr>
          <w:p w14:paraId="207CA6E3" w14:textId="77777777" w:rsidR="006E3C60" w:rsidRPr="00604C64" w:rsidRDefault="00604C64" w:rsidP="006E3C60">
            <w:pPr>
              <w:rPr>
                <w:rFonts w:cstheme="minorHAnsi"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7655" w:type="dxa"/>
          </w:tcPr>
          <w:p w14:paraId="691B0C9B" w14:textId="77777777" w:rsidR="006E3C60" w:rsidRPr="006E3C60" w:rsidRDefault="00604C64" w:rsidP="006E3C60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</w:tr>
      <w:tr w:rsidR="006E3C60" w14:paraId="5783835A" w14:textId="77777777" w:rsidTr="00320904">
        <w:tc>
          <w:tcPr>
            <w:tcW w:w="13887" w:type="dxa"/>
            <w:gridSpan w:val="2"/>
            <w:shd w:val="clear" w:color="auto" w:fill="E2EFD9" w:themeFill="accent6" w:themeFillTint="33"/>
          </w:tcPr>
          <w:p w14:paraId="49B8F45E" w14:textId="77777777" w:rsidR="006E3C60" w:rsidRPr="00AB21A8" w:rsidRDefault="006E3C60" w:rsidP="006E3C60">
            <w:pPr>
              <w:jc w:val="center"/>
              <w:rPr>
                <w:rFonts w:cstheme="minorHAnsi"/>
                <w:b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>REGIONALNE LUB PONADREGIONALNE</w:t>
            </w:r>
            <w:r w:rsidRPr="00AB21A8">
              <w:rPr>
                <w:rFonts w:cstheme="minorHAnsi"/>
                <w:b/>
                <w:lang w:eastAsia="pl-PL"/>
              </w:rPr>
              <w:t xml:space="preserve"> </w:t>
            </w:r>
            <w:r>
              <w:rPr>
                <w:rFonts w:cstheme="minorHAnsi"/>
                <w:b/>
                <w:lang w:eastAsia="pl-PL"/>
              </w:rPr>
              <w:t xml:space="preserve">ODDZIAŁYWANIE PODJĘTYCH </w:t>
            </w:r>
            <w:r w:rsidRPr="00AB21A8">
              <w:rPr>
                <w:rFonts w:cstheme="minorHAnsi"/>
                <w:b/>
                <w:lang w:eastAsia="pl-PL"/>
              </w:rPr>
              <w:t>DZIAŁAŃ ADAPTACYJNYCH</w:t>
            </w:r>
          </w:p>
        </w:tc>
      </w:tr>
      <w:tr w:rsidR="006E3C60" w14:paraId="50B63A9A" w14:textId="77777777" w:rsidTr="00CC643A">
        <w:tc>
          <w:tcPr>
            <w:tcW w:w="6232" w:type="dxa"/>
            <w:shd w:val="clear" w:color="auto" w:fill="92D050"/>
          </w:tcPr>
          <w:p w14:paraId="6B52FF4A" w14:textId="77777777"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14:paraId="6A18B3CA" w14:textId="77777777"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CC643A" w14:paraId="65A8B9F0" w14:textId="77777777" w:rsidTr="00CC643A">
        <w:tc>
          <w:tcPr>
            <w:tcW w:w="6232" w:type="dxa"/>
          </w:tcPr>
          <w:p w14:paraId="79F30733" w14:textId="77777777" w:rsidR="00CC643A" w:rsidRPr="006E3C60" w:rsidRDefault="00604C64" w:rsidP="00CC643A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7655" w:type="dxa"/>
          </w:tcPr>
          <w:p w14:paraId="7B6826E3" w14:textId="77777777" w:rsidR="00CC643A" w:rsidRPr="006E3C60" w:rsidRDefault="00604C64" w:rsidP="00CC643A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</w:tr>
      <w:tr w:rsidR="00CC643A" w14:paraId="28BD9417" w14:textId="77777777" w:rsidTr="00320904">
        <w:tc>
          <w:tcPr>
            <w:tcW w:w="13887" w:type="dxa"/>
            <w:gridSpan w:val="2"/>
            <w:shd w:val="clear" w:color="auto" w:fill="E2EFD9" w:themeFill="accent6" w:themeFillTint="33"/>
          </w:tcPr>
          <w:p w14:paraId="14F2268C" w14:textId="77777777" w:rsidR="00CC643A" w:rsidRPr="00B95F15" w:rsidRDefault="00CC643A" w:rsidP="00CC643A">
            <w:pPr>
              <w:jc w:val="center"/>
              <w:rPr>
                <w:rFonts w:cstheme="minorHAnsi"/>
                <w:b/>
                <w:lang w:eastAsia="pl-PL"/>
              </w:rPr>
            </w:pPr>
            <w:r w:rsidRPr="00B95F15">
              <w:rPr>
                <w:rFonts w:cstheme="minorHAnsi"/>
                <w:b/>
                <w:lang w:eastAsia="pl-PL"/>
              </w:rPr>
              <w:t>DZIAŁANIA MINIMALIZUJĄCE RYZYKO WYSTĄPIENIA NEGATYWNYCH ODDZIAŁYWAŃ</w:t>
            </w:r>
          </w:p>
        </w:tc>
      </w:tr>
      <w:tr w:rsidR="00CC643A" w14:paraId="36C1C9BD" w14:textId="77777777" w:rsidTr="00CC643A">
        <w:tc>
          <w:tcPr>
            <w:tcW w:w="13887" w:type="dxa"/>
            <w:gridSpan w:val="2"/>
          </w:tcPr>
          <w:p w14:paraId="0BE6F7EC" w14:textId="77777777" w:rsidR="00CC643A" w:rsidRPr="00CC643A" w:rsidRDefault="006C44ED" w:rsidP="00CC643A">
            <w:pPr>
              <w:rPr>
                <w:rFonts w:cstheme="minorHAnsi"/>
                <w:i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</w:tr>
    </w:tbl>
    <w:p w14:paraId="1AF81AE2" w14:textId="77777777" w:rsidR="00D86DD6" w:rsidRPr="004E4D11" w:rsidRDefault="00C76E2A" w:rsidP="00DE2465">
      <w:pPr>
        <w:rPr>
          <w:rFonts w:cstheme="minorHAnsi"/>
          <w:b/>
          <w:sz w:val="32"/>
          <w:szCs w:val="32"/>
          <w:lang w:eastAsia="pl-PL"/>
        </w:rPr>
      </w:pPr>
      <w:r w:rsidRPr="004E4D11">
        <w:rPr>
          <w:rFonts w:cstheme="minorHAnsi"/>
          <w:b/>
          <w:sz w:val="32"/>
          <w:szCs w:val="32"/>
          <w:lang w:eastAsia="pl-PL"/>
        </w:rPr>
        <w:t>KOSZTY I KORZYŚCI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8615EE" w14:paraId="39D54D60" w14:textId="77777777" w:rsidTr="00320904">
        <w:tc>
          <w:tcPr>
            <w:tcW w:w="3498" w:type="dxa"/>
            <w:shd w:val="clear" w:color="auto" w:fill="A8D08D" w:themeFill="accent6" w:themeFillTint="99"/>
          </w:tcPr>
          <w:p w14:paraId="3B2C11F7" w14:textId="77777777"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ETAP</w:t>
            </w:r>
          </w:p>
        </w:tc>
        <w:tc>
          <w:tcPr>
            <w:tcW w:w="3498" w:type="dxa"/>
            <w:shd w:val="clear" w:color="auto" w:fill="A8D08D" w:themeFill="accent6" w:themeFillTint="99"/>
          </w:tcPr>
          <w:p w14:paraId="24B9FD9C" w14:textId="77777777" w:rsidR="008615EE" w:rsidRPr="006C2FD2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 xml:space="preserve">ROZWIĄZANIA ZWIĄZANE ZE ZWIĘKSZANIEM ODPORNOŚCI INWESTYCJI </w:t>
            </w:r>
          </w:p>
        </w:tc>
        <w:tc>
          <w:tcPr>
            <w:tcW w:w="3499" w:type="dxa"/>
            <w:shd w:val="clear" w:color="auto" w:fill="A8D08D" w:themeFill="accent6" w:themeFillTint="99"/>
          </w:tcPr>
          <w:p w14:paraId="0E430B16" w14:textId="77777777" w:rsidR="008615EE" w:rsidRPr="006C2FD2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>ROZWIĄZANIA ZWIĄZANE Z ADAPTACJĄ (INNE)</w:t>
            </w:r>
          </w:p>
        </w:tc>
        <w:tc>
          <w:tcPr>
            <w:tcW w:w="3499" w:type="dxa"/>
            <w:shd w:val="clear" w:color="auto" w:fill="A8D08D" w:themeFill="accent6" w:themeFillTint="99"/>
          </w:tcPr>
          <w:p w14:paraId="3D0D146C" w14:textId="77777777" w:rsidR="008615EE" w:rsidRPr="006C2FD2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>ROZWIĄZANIA ZWIĄZANE Z ŁAGODZENIEM ZMIAN KLIMATU (INNE)</w:t>
            </w:r>
          </w:p>
        </w:tc>
      </w:tr>
      <w:tr w:rsidR="007A4A0C" w14:paraId="63F14F38" w14:textId="77777777" w:rsidTr="008615EE">
        <w:tc>
          <w:tcPr>
            <w:tcW w:w="3498" w:type="dxa"/>
          </w:tcPr>
          <w:p w14:paraId="4706230F" w14:textId="77777777"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UJĘCIE OPCJI W PROJEKCIE</w:t>
            </w:r>
          </w:p>
        </w:tc>
        <w:tc>
          <w:tcPr>
            <w:tcW w:w="3498" w:type="dxa"/>
          </w:tcPr>
          <w:p w14:paraId="517BBF5B" w14:textId="544EC0DB" w:rsidR="007A4A0C" w:rsidRPr="00FB363E" w:rsidRDefault="00FB363E" w:rsidP="007A4A0C">
            <w:pPr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1368D5C9" w14:textId="77777777" w:rsidR="007A4A0C" w:rsidRPr="00FB363E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FB363E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37DE3DB0" w14:textId="77777777" w:rsidR="007A4A0C" w:rsidRPr="00FB363E" w:rsidRDefault="00AC3866" w:rsidP="007A4A0C">
            <w:pPr>
              <w:jc w:val="center"/>
              <w:rPr>
                <w:rFonts w:cstheme="minorHAnsi"/>
                <w:lang w:eastAsia="pl-PL"/>
              </w:rPr>
            </w:pPr>
            <w:r w:rsidRPr="00FB363E">
              <w:rPr>
                <w:rFonts w:cstheme="minorHAnsi"/>
                <w:lang w:eastAsia="pl-PL"/>
              </w:rPr>
              <w:t>NIE</w:t>
            </w:r>
          </w:p>
        </w:tc>
      </w:tr>
      <w:tr w:rsidR="007A4A0C" w14:paraId="2BF710A9" w14:textId="77777777" w:rsidTr="00320904">
        <w:tc>
          <w:tcPr>
            <w:tcW w:w="13994" w:type="dxa"/>
            <w:gridSpan w:val="4"/>
            <w:shd w:val="clear" w:color="auto" w:fill="E2EFD9" w:themeFill="accent6" w:themeFillTint="33"/>
          </w:tcPr>
          <w:p w14:paraId="3B78FFB8" w14:textId="77777777" w:rsidR="007A4A0C" w:rsidRPr="006C2FD2" w:rsidRDefault="0015763D" w:rsidP="007A4A0C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 xml:space="preserve">WPŁYW </w:t>
            </w:r>
            <w:r w:rsidR="007A4A0C" w:rsidRPr="006C2FD2">
              <w:rPr>
                <w:rFonts w:cstheme="minorHAnsi"/>
                <w:b/>
                <w:lang w:eastAsia="pl-PL"/>
              </w:rPr>
              <w:t>KOSZTY</w:t>
            </w:r>
          </w:p>
        </w:tc>
      </w:tr>
      <w:tr w:rsidR="007A4A0C" w14:paraId="77E27570" w14:textId="77777777" w:rsidTr="00E53715">
        <w:tc>
          <w:tcPr>
            <w:tcW w:w="3498" w:type="dxa"/>
          </w:tcPr>
          <w:p w14:paraId="4046DC91" w14:textId="77777777"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REALIZACJI INWESTYCJI</w:t>
            </w:r>
          </w:p>
        </w:tc>
        <w:tc>
          <w:tcPr>
            <w:tcW w:w="10496" w:type="dxa"/>
            <w:gridSpan w:val="3"/>
          </w:tcPr>
          <w:p w14:paraId="798870DA" w14:textId="77777777" w:rsidR="00670CF5" w:rsidRPr="00FB363E" w:rsidRDefault="002F6113" w:rsidP="00D42B11">
            <w:pPr>
              <w:jc w:val="both"/>
              <w:rPr>
                <w:rFonts w:cstheme="minorHAnsi"/>
                <w:lang w:eastAsia="pl-PL"/>
              </w:rPr>
            </w:pPr>
            <w:r w:rsidRPr="00FB363E">
              <w:rPr>
                <w:rFonts w:cstheme="minorHAnsi"/>
                <w:lang w:eastAsia="pl-PL"/>
              </w:rPr>
              <w:t xml:space="preserve">Nie określono kosztów </w:t>
            </w:r>
            <w:r w:rsidR="0015763D" w:rsidRPr="00FB363E">
              <w:rPr>
                <w:rFonts w:cstheme="minorHAnsi"/>
                <w:lang w:eastAsia="pl-PL"/>
              </w:rPr>
              <w:t>ponoszon</w:t>
            </w:r>
            <w:r w:rsidR="00670CF5" w:rsidRPr="00FB363E">
              <w:rPr>
                <w:rFonts w:cstheme="minorHAnsi"/>
                <w:lang w:eastAsia="pl-PL"/>
              </w:rPr>
              <w:t>ych</w:t>
            </w:r>
            <w:r w:rsidR="0015763D" w:rsidRPr="00FB363E">
              <w:rPr>
                <w:rFonts w:cstheme="minorHAnsi"/>
                <w:lang w:eastAsia="pl-PL"/>
              </w:rPr>
              <w:t xml:space="preserve"> na zwiększanie odporności inwestycji na zmiany klimatu, zagrożenia klęskami żywiołowymi lub katastrofami naturalnymi</w:t>
            </w:r>
            <w:r w:rsidR="00A0683D" w:rsidRPr="00FB363E">
              <w:rPr>
                <w:rFonts w:cstheme="minorHAnsi"/>
                <w:lang w:eastAsia="pl-PL"/>
              </w:rPr>
              <w:t>.</w:t>
            </w:r>
          </w:p>
          <w:p w14:paraId="025E54A8" w14:textId="77777777" w:rsidR="00A0683D" w:rsidRPr="00FB363E" w:rsidRDefault="00670CF5" w:rsidP="00A0683D">
            <w:pPr>
              <w:jc w:val="both"/>
              <w:rPr>
                <w:rFonts w:cstheme="minorHAnsi"/>
                <w:lang w:eastAsia="pl-PL"/>
              </w:rPr>
            </w:pPr>
            <w:r w:rsidRPr="00FB363E">
              <w:t>Zapewnienie odporności związane jest z doborem odpowiedniej technologii wykonania, która obecnie jest standardową technologią (nie są to dodatkowe działania inwestycyjne, które można odrębnie wycenić). W związku z tym nie ma możliwości określenia</w:t>
            </w:r>
            <w:r w:rsidR="00D42B11" w:rsidRPr="00FB363E">
              <w:t>,</w:t>
            </w:r>
            <w:r w:rsidRPr="00FB363E">
              <w:t xml:space="preserve"> jaka część kosztów dotyczy </w:t>
            </w:r>
            <w:r w:rsidRPr="00FB363E">
              <w:rPr>
                <w:rFonts w:cstheme="minorHAnsi"/>
                <w:lang w:eastAsia="pl-PL"/>
              </w:rPr>
              <w:t>zwiększania odporności inwestycji na zmiany klimatu.</w:t>
            </w:r>
          </w:p>
        </w:tc>
      </w:tr>
      <w:tr w:rsidR="00D42B11" w14:paraId="503BC868" w14:textId="77777777" w:rsidTr="008615EE">
        <w:tc>
          <w:tcPr>
            <w:tcW w:w="3498" w:type="dxa"/>
          </w:tcPr>
          <w:p w14:paraId="45C043AC" w14:textId="77777777" w:rsidR="00D42B11" w:rsidRPr="007A4A0C" w:rsidRDefault="00D42B11" w:rsidP="00D42B11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14:paraId="7BF1034F" w14:textId="77777777" w:rsidR="00D42B11" w:rsidRPr="00FB363E" w:rsidRDefault="00D42B11" w:rsidP="00D42B11">
            <w:pPr>
              <w:jc w:val="center"/>
              <w:rPr>
                <w:rFonts w:cstheme="minorHAnsi"/>
                <w:lang w:eastAsia="pl-PL"/>
              </w:rPr>
            </w:pPr>
            <w:r w:rsidRPr="00FB363E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6818E821" w14:textId="77777777" w:rsidR="00D42B11" w:rsidRPr="00FB363E" w:rsidRDefault="00D42B11" w:rsidP="00D42B11">
            <w:pPr>
              <w:jc w:val="center"/>
            </w:pPr>
            <w:r w:rsidRPr="00FB363E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1E8E32B3" w14:textId="29D0AB2C" w:rsidR="00D42B11" w:rsidRPr="00FB363E" w:rsidRDefault="00D42B11" w:rsidP="00D42B11">
            <w:pPr>
              <w:jc w:val="center"/>
            </w:pPr>
            <w:r w:rsidRPr="00FB363E">
              <w:rPr>
                <w:rFonts w:cstheme="minorHAnsi"/>
                <w:lang w:eastAsia="pl-PL"/>
              </w:rPr>
              <w:t>NIE</w:t>
            </w:r>
          </w:p>
        </w:tc>
      </w:tr>
      <w:tr w:rsidR="007A4A0C" w14:paraId="6A587795" w14:textId="77777777" w:rsidTr="00E53715">
        <w:tc>
          <w:tcPr>
            <w:tcW w:w="3498" w:type="dxa"/>
          </w:tcPr>
          <w:p w14:paraId="20840D48" w14:textId="77777777"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EKSPLOATACJI</w:t>
            </w:r>
          </w:p>
        </w:tc>
        <w:tc>
          <w:tcPr>
            <w:tcW w:w="10496" w:type="dxa"/>
            <w:gridSpan w:val="3"/>
          </w:tcPr>
          <w:p w14:paraId="04FE5249" w14:textId="77777777" w:rsidR="0015763D" w:rsidRPr="001B2780" w:rsidRDefault="00D42B11" w:rsidP="00A0683D">
            <w:pPr>
              <w:jc w:val="both"/>
              <w:rPr>
                <w:rFonts w:cstheme="minorHAnsi"/>
                <w:lang w:eastAsia="pl-PL"/>
              </w:rPr>
            </w:pPr>
            <w:r w:rsidRPr="001B2780">
              <w:rPr>
                <w:rFonts w:cstheme="minorHAnsi"/>
                <w:lang w:eastAsia="pl-PL"/>
              </w:rPr>
              <w:t>Nie</w:t>
            </w:r>
            <w:r w:rsidR="00670CF5" w:rsidRPr="001B2780">
              <w:rPr>
                <w:rFonts w:cstheme="minorHAnsi"/>
                <w:lang w:eastAsia="pl-PL"/>
              </w:rPr>
              <w:t xml:space="preserve"> określono kosztów ponoszonych na zwiększanie odporności inwestycji na zmiany klimatu, zagrożenia klęskami żywiołowym</w:t>
            </w:r>
            <w:r w:rsidR="00A0683D" w:rsidRPr="001B2780">
              <w:rPr>
                <w:rFonts w:cstheme="minorHAnsi"/>
                <w:lang w:eastAsia="pl-PL"/>
              </w:rPr>
              <w:t>i lub katastrofami naturalnymi.</w:t>
            </w:r>
          </w:p>
          <w:p w14:paraId="2BA766CE" w14:textId="77777777" w:rsidR="00F1705D" w:rsidRPr="001B2780" w:rsidRDefault="00D42B11" w:rsidP="00A0683D">
            <w:pPr>
              <w:jc w:val="both"/>
              <w:rPr>
                <w:rFonts w:cstheme="minorHAnsi"/>
                <w:lang w:eastAsia="pl-PL"/>
              </w:rPr>
            </w:pPr>
            <w:r w:rsidRPr="001B2780">
              <w:rPr>
                <w:rFonts w:cstheme="minorHAnsi"/>
                <w:lang w:eastAsia="pl-PL"/>
              </w:rPr>
              <w:lastRenderedPageBreak/>
              <w:t xml:space="preserve">Analiza przeprowadzona w SW </w:t>
            </w:r>
            <w:r w:rsidR="00670CF5" w:rsidRPr="001B2780">
              <w:rPr>
                <w:rFonts w:cstheme="minorHAnsi"/>
                <w:lang w:eastAsia="pl-PL"/>
              </w:rPr>
              <w:t xml:space="preserve">odnosi się do różnych kategorii kosztów ponoszonych na etapie eksploatacji, </w:t>
            </w:r>
            <w:r w:rsidR="00F1705D" w:rsidRPr="001B2780">
              <w:rPr>
                <w:rFonts w:cstheme="minorHAnsi"/>
                <w:lang w:eastAsia="pl-PL"/>
              </w:rPr>
              <w:t>jednak</w:t>
            </w:r>
            <w:r w:rsidR="00670CF5" w:rsidRPr="001B2780">
              <w:rPr>
                <w:rFonts w:cstheme="minorHAnsi"/>
                <w:lang w:eastAsia="pl-PL"/>
              </w:rPr>
              <w:t xml:space="preserve"> nie </w:t>
            </w:r>
            <w:r w:rsidR="00F1705D" w:rsidRPr="001B2780">
              <w:rPr>
                <w:rFonts w:cstheme="minorHAnsi"/>
                <w:lang w:eastAsia="pl-PL"/>
              </w:rPr>
              <w:t xml:space="preserve">odwołują się one do kosztów opcji związanych ze zwiększaniem odporności inwestycji na zmiany klimatu. </w:t>
            </w:r>
          </w:p>
          <w:p w14:paraId="501FADB9" w14:textId="2868357D" w:rsidR="00A0683D" w:rsidRPr="001B2780" w:rsidRDefault="00E10773" w:rsidP="00FA3289">
            <w:pPr>
              <w:jc w:val="both"/>
              <w:rPr>
                <w:rFonts w:cstheme="minorHAnsi"/>
                <w:lang w:eastAsia="pl-PL"/>
              </w:rPr>
            </w:pPr>
            <w:r w:rsidRPr="001B2780">
              <w:rPr>
                <w:rFonts w:cstheme="minorHAnsi"/>
                <w:lang w:eastAsia="pl-PL"/>
              </w:rPr>
              <w:t>Projekt będzie generował koszty</w:t>
            </w:r>
            <w:r w:rsidR="00FA3289" w:rsidRPr="001B2780">
              <w:rPr>
                <w:rFonts w:cstheme="minorHAnsi"/>
                <w:lang w:eastAsia="pl-PL"/>
              </w:rPr>
              <w:t xml:space="preserve"> / korzyści związane z wpływem na klimat</w:t>
            </w:r>
          </w:p>
        </w:tc>
      </w:tr>
      <w:tr w:rsidR="00AC3866" w14:paraId="4A3D0BB5" w14:textId="77777777" w:rsidTr="008615EE">
        <w:tc>
          <w:tcPr>
            <w:tcW w:w="3498" w:type="dxa"/>
          </w:tcPr>
          <w:p w14:paraId="5EF0861D" w14:textId="77777777" w:rsidR="00AC3866" w:rsidRPr="007A4A0C" w:rsidRDefault="00AC3866" w:rsidP="00AC3866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lastRenderedPageBreak/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14:paraId="4C55F175" w14:textId="77777777" w:rsidR="00AC3866" w:rsidRPr="00FB363E" w:rsidRDefault="00AC3866" w:rsidP="00AC3866">
            <w:pPr>
              <w:jc w:val="center"/>
              <w:rPr>
                <w:rFonts w:cstheme="minorHAnsi"/>
                <w:lang w:eastAsia="pl-PL"/>
              </w:rPr>
            </w:pPr>
            <w:r w:rsidRPr="00FB363E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181CF710" w14:textId="77777777" w:rsidR="00AC3866" w:rsidRPr="001B2780" w:rsidRDefault="00D42B11" w:rsidP="00AC3866">
            <w:pPr>
              <w:jc w:val="center"/>
              <w:rPr>
                <w:rFonts w:cstheme="minorHAnsi"/>
                <w:lang w:eastAsia="pl-PL"/>
              </w:rPr>
            </w:pPr>
            <w:r w:rsidRPr="001B2780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2A3EE752" w14:textId="77777777" w:rsidR="00AC3866" w:rsidRPr="00FB363E" w:rsidRDefault="00D42B11" w:rsidP="00AC3866">
            <w:pPr>
              <w:jc w:val="center"/>
              <w:rPr>
                <w:rFonts w:cstheme="minorHAnsi"/>
                <w:lang w:eastAsia="pl-PL"/>
              </w:rPr>
            </w:pPr>
            <w:r w:rsidRPr="00FB363E">
              <w:rPr>
                <w:rFonts w:cstheme="minorHAnsi"/>
                <w:lang w:eastAsia="pl-PL"/>
              </w:rPr>
              <w:t>NIE</w:t>
            </w:r>
          </w:p>
        </w:tc>
      </w:tr>
      <w:tr w:rsidR="007A4A0C" w14:paraId="75F6C48C" w14:textId="77777777" w:rsidTr="00320904">
        <w:tc>
          <w:tcPr>
            <w:tcW w:w="13994" w:type="dxa"/>
            <w:gridSpan w:val="4"/>
            <w:shd w:val="clear" w:color="auto" w:fill="E2EFD9" w:themeFill="accent6" w:themeFillTint="33"/>
          </w:tcPr>
          <w:p w14:paraId="22F6ED35" w14:textId="77777777" w:rsidR="007A4A0C" w:rsidRPr="001B2780" w:rsidRDefault="007A4A0C" w:rsidP="007A4A0C">
            <w:pPr>
              <w:rPr>
                <w:rFonts w:cstheme="minorHAnsi"/>
                <w:b/>
                <w:i/>
                <w:lang w:eastAsia="pl-PL"/>
              </w:rPr>
            </w:pPr>
            <w:r w:rsidRPr="001B2780">
              <w:rPr>
                <w:rFonts w:cstheme="minorHAnsi"/>
                <w:b/>
                <w:lang w:eastAsia="pl-PL"/>
              </w:rPr>
              <w:t>KORZYŚCI</w:t>
            </w:r>
          </w:p>
        </w:tc>
      </w:tr>
      <w:tr w:rsidR="0015763D" w14:paraId="1B6E69D6" w14:textId="77777777" w:rsidTr="00E53715">
        <w:tc>
          <w:tcPr>
            <w:tcW w:w="3498" w:type="dxa"/>
          </w:tcPr>
          <w:p w14:paraId="16DF14D7" w14:textId="77777777"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POTECNJALNE KORZY</w:t>
            </w:r>
            <w:r w:rsidR="008155B8">
              <w:rPr>
                <w:rFonts w:cstheme="minorHAnsi"/>
                <w:lang w:eastAsia="pl-PL"/>
              </w:rPr>
              <w:t>ŚCI LUB KOSZTY UNIKNIETYCH STRAT</w:t>
            </w:r>
          </w:p>
        </w:tc>
        <w:tc>
          <w:tcPr>
            <w:tcW w:w="10496" w:type="dxa"/>
            <w:gridSpan w:val="3"/>
          </w:tcPr>
          <w:p w14:paraId="397D6A93" w14:textId="10EE1063" w:rsidR="00A0683D" w:rsidRPr="001B2780" w:rsidRDefault="00D42B11" w:rsidP="00E10773">
            <w:pPr>
              <w:jc w:val="both"/>
              <w:rPr>
                <w:rFonts w:cstheme="minorHAnsi"/>
                <w:lang w:eastAsia="pl-PL"/>
              </w:rPr>
            </w:pPr>
            <w:r w:rsidRPr="001B2780">
              <w:rPr>
                <w:rFonts w:cstheme="minorHAnsi"/>
                <w:lang w:eastAsia="pl-PL"/>
              </w:rPr>
              <w:t>O</w:t>
            </w:r>
            <w:r w:rsidR="00670CF5" w:rsidRPr="001B2780">
              <w:rPr>
                <w:rFonts w:cstheme="minorHAnsi"/>
                <w:lang w:eastAsia="pl-PL"/>
              </w:rPr>
              <w:t>kreślono</w:t>
            </w:r>
            <w:r w:rsidR="00D86DD6" w:rsidRPr="001B2780">
              <w:rPr>
                <w:rFonts w:cstheme="minorHAnsi"/>
                <w:lang w:eastAsia="pl-PL"/>
              </w:rPr>
              <w:t xml:space="preserve"> </w:t>
            </w:r>
            <w:r w:rsidR="00E10773" w:rsidRPr="001B2780">
              <w:rPr>
                <w:rFonts w:cstheme="minorHAnsi"/>
                <w:lang w:eastAsia="pl-PL"/>
              </w:rPr>
              <w:t>koszty</w:t>
            </w:r>
            <w:r w:rsidR="00FA3289" w:rsidRPr="001B2780">
              <w:rPr>
                <w:rFonts w:cstheme="minorHAnsi"/>
                <w:lang w:eastAsia="pl-PL"/>
              </w:rPr>
              <w:t xml:space="preserve"> / korzyści</w:t>
            </w:r>
            <w:r w:rsidR="00E10773" w:rsidRPr="001B2780">
              <w:rPr>
                <w:rFonts w:cstheme="minorHAnsi"/>
                <w:lang w:eastAsia="pl-PL"/>
              </w:rPr>
              <w:t xml:space="preserve"> </w:t>
            </w:r>
            <w:r w:rsidR="00D86DD6" w:rsidRPr="001B2780">
              <w:rPr>
                <w:rFonts w:cstheme="minorHAnsi"/>
                <w:lang w:eastAsia="pl-PL"/>
              </w:rPr>
              <w:t>wynikając</w:t>
            </w:r>
            <w:r w:rsidRPr="001B2780">
              <w:rPr>
                <w:rFonts w:cstheme="minorHAnsi"/>
                <w:lang w:eastAsia="pl-PL"/>
              </w:rPr>
              <w:t>e</w:t>
            </w:r>
            <w:r w:rsidR="00D86DD6" w:rsidRPr="001B2780">
              <w:rPr>
                <w:rFonts w:cstheme="minorHAnsi"/>
                <w:lang w:eastAsia="pl-PL"/>
              </w:rPr>
              <w:t xml:space="preserve"> z ujęcia zagadnień klimatycznych</w:t>
            </w:r>
            <w:r w:rsidRPr="001B2780">
              <w:rPr>
                <w:rFonts w:cstheme="minorHAnsi"/>
                <w:lang w:eastAsia="pl-PL"/>
              </w:rPr>
              <w:t xml:space="preserve"> w postaci wpływu na klimat rozumianego jako emisja </w:t>
            </w:r>
            <w:r w:rsidR="00FA3289" w:rsidRPr="001B2780">
              <w:rPr>
                <w:rFonts w:cstheme="minorHAnsi"/>
                <w:lang w:eastAsia="pl-PL"/>
              </w:rPr>
              <w:t xml:space="preserve">/redukcja emisji </w:t>
            </w:r>
            <w:r w:rsidRPr="001B2780">
              <w:rPr>
                <w:rFonts w:cstheme="minorHAnsi"/>
                <w:lang w:eastAsia="pl-PL"/>
              </w:rPr>
              <w:t>CO</w:t>
            </w:r>
            <w:r w:rsidRPr="001B2780">
              <w:rPr>
                <w:rFonts w:cstheme="minorHAnsi"/>
                <w:vertAlign w:val="subscript"/>
                <w:lang w:eastAsia="pl-PL"/>
              </w:rPr>
              <w:t>2</w:t>
            </w:r>
            <w:r w:rsidRPr="001B2780">
              <w:rPr>
                <w:rFonts w:cstheme="minorHAnsi"/>
                <w:lang w:eastAsia="pl-PL"/>
              </w:rPr>
              <w:t xml:space="preserve">. </w:t>
            </w:r>
            <w:r w:rsidR="00E10773" w:rsidRPr="001B2780">
              <w:rPr>
                <w:rFonts w:cstheme="minorHAnsi"/>
                <w:lang w:eastAsia="pl-PL"/>
              </w:rPr>
              <w:t>Koszty</w:t>
            </w:r>
            <w:r w:rsidR="00FA3289" w:rsidRPr="001B2780">
              <w:rPr>
                <w:rFonts w:cstheme="minorHAnsi"/>
                <w:lang w:eastAsia="pl-PL"/>
              </w:rPr>
              <w:t>/korzyści</w:t>
            </w:r>
            <w:r w:rsidR="00FB363E" w:rsidRPr="001B2780">
              <w:rPr>
                <w:rFonts w:cstheme="minorHAnsi"/>
                <w:lang w:eastAsia="pl-PL"/>
              </w:rPr>
              <w:t xml:space="preserve"> zmian klimatycznych obliczono na poziomie </w:t>
            </w:r>
            <w:r w:rsidR="00E10773" w:rsidRPr="001B2780">
              <w:rPr>
                <w:rFonts w:cstheme="minorHAnsi"/>
                <w:lang w:eastAsia="pl-PL"/>
              </w:rPr>
              <w:t>13 109 698,95</w:t>
            </w:r>
            <w:r w:rsidR="00FB363E" w:rsidRPr="001B2780">
              <w:rPr>
                <w:rFonts w:cstheme="minorHAnsi"/>
                <w:lang w:eastAsia="pl-PL"/>
              </w:rPr>
              <w:t xml:space="preserve"> PLN; % całkowitych ko</w:t>
            </w:r>
            <w:r w:rsidR="00E10773" w:rsidRPr="001B2780">
              <w:rPr>
                <w:rFonts w:cstheme="minorHAnsi"/>
                <w:lang w:eastAsia="pl-PL"/>
              </w:rPr>
              <w:t>sztów</w:t>
            </w:r>
            <w:r w:rsidR="00FB363E" w:rsidRPr="001B2780">
              <w:rPr>
                <w:rFonts w:cstheme="minorHAnsi"/>
                <w:lang w:eastAsia="pl-PL"/>
              </w:rPr>
              <w:t xml:space="preserve"> wyniósł </w:t>
            </w:r>
            <w:r w:rsidR="00E10773" w:rsidRPr="001B2780">
              <w:rPr>
                <w:rFonts w:cstheme="minorHAnsi"/>
                <w:lang w:eastAsia="pl-PL"/>
              </w:rPr>
              <w:t>4,57</w:t>
            </w:r>
            <w:r w:rsidR="00FB363E" w:rsidRPr="001B2780">
              <w:rPr>
                <w:rFonts w:cstheme="minorHAnsi"/>
                <w:lang w:eastAsia="pl-PL"/>
              </w:rPr>
              <w:t>%.</w:t>
            </w:r>
            <w:r w:rsidR="00FA3289" w:rsidRPr="001B2780">
              <w:rPr>
                <w:rFonts w:cstheme="minorHAnsi"/>
                <w:lang w:eastAsia="pl-PL"/>
              </w:rPr>
              <w:t xml:space="preserve"> </w:t>
            </w:r>
            <w:r w:rsidR="00E10773" w:rsidRPr="001B2780">
              <w:rPr>
                <w:rFonts w:cstheme="minorHAnsi"/>
                <w:lang w:eastAsia="pl-PL"/>
              </w:rPr>
              <w:t>Średnioroczna emisja</w:t>
            </w:r>
            <w:r w:rsidR="00FA3289" w:rsidRPr="001B2780">
              <w:rPr>
                <w:rFonts w:cstheme="minorHAnsi"/>
                <w:lang w:eastAsia="pl-PL"/>
              </w:rPr>
              <w:t xml:space="preserve"> / redukcja emisji</w:t>
            </w:r>
            <w:r w:rsidR="00E10773" w:rsidRPr="001B2780">
              <w:rPr>
                <w:rFonts w:cstheme="minorHAnsi"/>
                <w:lang w:eastAsia="pl-PL"/>
              </w:rPr>
              <w:t xml:space="preserve"> CO</w:t>
            </w:r>
            <w:r w:rsidR="00E10773" w:rsidRPr="001B2780">
              <w:rPr>
                <w:rFonts w:cstheme="minorHAnsi"/>
                <w:vertAlign w:val="subscript"/>
                <w:lang w:eastAsia="pl-PL"/>
              </w:rPr>
              <w:t>2</w:t>
            </w:r>
            <w:r w:rsidR="00E10773" w:rsidRPr="001B2780">
              <w:rPr>
                <w:rFonts w:cstheme="minorHAnsi"/>
                <w:lang w:eastAsia="pl-PL"/>
              </w:rPr>
              <w:t xml:space="preserve"> wyniesie4 100,00 Mg.</w:t>
            </w:r>
          </w:p>
        </w:tc>
      </w:tr>
      <w:tr w:rsidR="0015763D" w14:paraId="5700C70F" w14:textId="77777777" w:rsidTr="008615EE">
        <w:tc>
          <w:tcPr>
            <w:tcW w:w="3498" w:type="dxa"/>
          </w:tcPr>
          <w:p w14:paraId="75DF07D0" w14:textId="77777777"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>Czy wyodrębniono ko</w:t>
            </w:r>
            <w:r>
              <w:rPr>
                <w:rFonts w:cstheme="minorHAnsi"/>
                <w:lang w:eastAsia="pl-PL"/>
              </w:rPr>
              <w:t>rzyści wynikające z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14:paraId="083BA4F0" w14:textId="77777777" w:rsidR="0015763D" w:rsidRPr="006C2FD2" w:rsidRDefault="00AC3866" w:rsidP="0015763D">
            <w:pPr>
              <w:jc w:val="center"/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73332DBA" w14:textId="77777777" w:rsidR="0015763D" w:rsidRPr="006C2FD2" w:rsidRDefault="00D42B11" w:rsidP="0015763D">
            <w:pPr>
              <w:jc w:val="center"/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0D6E2EA9" w14:textId="37063AD1" w:rsidR="0015763D" w:rsidRPr="007A4A0C" w:rsidRDefault="00D42B11" w:rsidP="0015763D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 w:rsidRPr="00AD1DC5">
              <w:rPr>
                <w:rFonts w:cstheme="minorHAnsi"/>
                <w:lang w:eastAsia="pl-PL"/>
              </w:rPr>
              <w:t>NIE</w:t>
            </w:r>
          </w:p>
        </w:tc>
      </w:tr>
      <w:tr w:rsidR="00DE2465" w14:paraId="6CBEA3F0" w14:textId="77777777" w:rsidTr="00E53715">
        <w:tc>
          <w:tcPr>
            <w:tcW w:w="3498" w:type="dxa"/>
          </w:tcPr>
          <w:p w14:paraId="53E17718" w14:textId="77777777" w:rsidR="00DE2465" w:rsidRDefault="00DE2465" w:rsidP="0015763D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FAKTYCZNE KORZYŚCI</w:t>
            </w:r>
          </w:p>
          <w:p w14:paraId="0BA2BC19" w14:textId="7293B054" w:rsidR="00E10773" w:rsidRPr="00E10773" w:rsidRDefault="00DE2465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(W TYM UNIKNIĘTE KOSZTY)</w:t>
            </w:r>
          </w:p>
        </w:tc>
        <w:tc>
          <w:tcPr>
            <w:tcW w:w="10496" w:type="dxa"/>
            <w:gridSpan w:val="3"/>
          </w:tcPr>
          <w:p w14:paraId="7D16BF87" w14:textId="5CC2B665" w:rsidR="00DE2465" w:rsidRPr="006C2FD2" w:rsidRDefault="00DE2465" w:rsidP="0015763D">
            <w:pPr>
              <w:rPr>
                <w:rFonts w:cstheme="minorHAnsi"/>
                <w:lang w:eastAsia="pl-PL"/>
              </w:rPr>
            </w:pPr>
          </w:p>
        </w:tc>
      </w:tr>
      <w:tr w:rsidR="001B3B4D" w14:paraId="7B3E9EF9" w14:textId="77777777" w:rsidTr="00320904">
        <w:tc>
          <w:tcPr>
            <w:tcW w:w="13994" w:type="dxa"/>
            <w:gridSpan w:val="4"/>
            <w:shd w:val="clear" w:color="auto" w:fill="E2EFD9" w:themeFill="accent6" w:themeFillTint="33"/>
          </w:tcPr>
          <w:p w14:paraId="68A41ECD" w14:textId="72C84590" w:rsidR="001B3B4D" w:rsidRPr="006C2FD2" w:rsidRDefault="001B3B4D" w:rsidP="0015763D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>SPÓJNOŚĆ Z WYBRANYMI ZAŁOŻENIAMI PO</w:t>
            </w:r>
            <w:r w:rsidR="00281ED4">
              <w:rPr>
                <w:rFonts w:cstheme="minorHAnsi"/>
                <w:b/>
                <w:lang w:eastAsia="pl-PL"/>
              </w:rPr>
              <w:t>RADNIKA</w:t>
            </w:r>
          </w:p>
        </w:tc>
      </w:tr>
      <w:tr w:rsidR="001B3B4D" w14:paraId="5B52C67F" w14:textId="77777777" w:rsidTr="00E53715">
        <w:tc>
          <w:tcPr>
            <w:tcW w:w="6996" w:type="dxa"/>
            <w:gridSpan w:val="2"/>
          </w:tcPr>
          <w:p w14:paraId="2C65A401" w14:textId="77777777" w:rsidR="001B3B4D" w:rsidRPr="006C2FD2" w:rsidRDefault="001B3B4D" w:rsidP="0015763D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>WYODRĘBNIENIE KOSZTÓW I KORZYŚCI</w:t>
            </w:r>
          </w:p>
          <w:p w14:paraId="5251836B" w14:textId="77777777" w:rsidR="001B3B4D" w:rsidRPr="006C2FD2" w:rsidRDefault="001B3B4D" w:rsidP="001B3B4D">
            <w:pPr>
              <w:jc w:val="both"/>
              <w:rPr>
                <w:rFonts w:cstheme="minorHAnsi"/>
                <w:i/>
                <w:lang w:eastAsia="pl-PL"/>
              </w:rPr>
            </w:pPr>
          </w:p>
        </w:tc>
        <w:tc>
          <w:tcPr>
            <w:tcW w:w="6998" w:type="dxa"/>
            <w:gridSpan w:val="2"/>
          </w:tcPr>
          <w:p w14:paraId="61A39332" w14:textId="712ADFB9" w:rsidR="001B3B4D" w:rsidRPr="001E2708" w:rsidRDefault="001E2708" w:rsidP="00FB363E">
            <w:pPr>
              <w:jc w:val="both"/>
              <w:rPr>
                <w:rFonts w:cstheme="minorHAnsi"/>
                <w:sz w:val="20"/>
                <w:lang w:eastAsia="pl-PL"/>
              </w:rPr>
            </w:pPr>
            <w:r>
              <w:rPr>
                <w:rFonts w:cstheme="minorHAnsi"/>
                <w:sz w:val="20"/>
                <w:lang w:eastAsia="pl-PL"/>
              </w:rPr>
              <w:t>Wykorzystano</w:t>
            </w:r>
            <w:r w:rsidR="00FB363E" w:rsidRPr="00FB363E">
              <w:rPr>
                <w:rFonts w:cstheme="minorHAnsi"/>
                <w:sz w:val="20"/>
                <w:lang w:eastAsia="pl-PL"/>
              </w:rPr>
              <w:t xml:space="preserve"> metodologię Europejskiego Banku Inwestycyjnego, zawartą w dokumencie pn. „</w:t>
            </w:r>
            <w:proofErr w:type="spellStart"/>
            <w:r w:rsidR="00FB363E" w:rsidRPr="00FB363E">
              <w:rPr>
                <w:rFonts w:cstheme="minorHAnsi"/>
                <w:sz w:val="20"/>
                <w:lang w:eastAsia="pl-PL"/>
              </w:rPr>
              <w:t>Methodologies</w:t>
            </w:r>
            <w:proofErr w:type="spellEnd"/>
            <w:r w:rsidR="00FB363E" w:rsidRPr="00FB363E">
              <w:rPr>
                <w:rFonts w:cstheme="minorHAnsi"/>
                <w:sz w:val="20"/>
                <w:lang w:eastAsia="pl-PL"/>
              </w:rPr>
              <w:t xml:space="preserve"> for the </w:t>
            </w:r>
            <w:proofErr w:type="spellStart"/>
            <w:r w:rsidR="00FB363E" w:rsidRPr="00FB363E">
              <w:rPr>
                <w:rFonts w:cstheme="minorHAnsi"/>
                <w:sz w:val="20"/>
                <w:lang w:eastAsia="pl-PL"/>
              </w:rPr>
              <w:t>Assessment</w:t>
            </w:r>
            <w:proofErr w:type="spellEnd"/>
            <w:r w:rsidR="00FB363E" w:rsidRPr="00FB363E">
              <w:rPr>
                <w:rFonts w:cstheme="minorHAnsi"/>
                <w:sz w:val="20"/>
                <w:lang w:eastAsia="pl-PL"/>
              </w:rPr>
              <w:t xml:space="preserve"> of Project GHG </w:t>
            </w:r>
            <w:proofErr w:type="spellStart"/>
            <w:r w:rsidR="00FB363E" w:rsidRPr="00FB363E">
              <w:rPr>
                <w:rFonts w:cstheme="minorHAnsi"/>
                <w:sz w:val="20"/>
                <w:lang w:eastAsia="pl-PL"/>
              </w:rPr>
              <w:t>Emissions</w:t>
            </w:r>
            <w:proofErr w:type="spellEnd"/>
            <w:r w:rsidR="00FB363E" w:rsidRPr="00FB363E">
              <w:rPr>
                <w:rFonts w:cstheme="minorHAnsi"/>
                <w:sz w:val="20"/>
                <w:lang w:eastAsia="pl-PL"/>
              </w:rPr>
              <w:t xml:space="preserve"> and </w:t>
            </w:r>
            <w:proofErr w:type="spellStart"/>
            <w:r w:rsidR="00FB363E" w:rsidRPr="00FB363E">
              <w:rPr>
                <w:rFonts w:cstheme="minorHAnsi"/>
                <w:sz w:val="20"/>
                <w:lang w:eastAsia="pl-PL"/>
              </w:rPr>
              <w:t>Emission</w:t>
            </w:r>
            <w:proofErr w:type="spellEnd"/>
            <w:r w:rsidR="00FB363E" w:rsidRPr="00FB363E">
              <w:rPr>
                <w:rFonts w:cstheme="minorHAnsi"/>
                <w:sz w:val="20"/>
                <w:lang w:eastAsia="pl-PL"/>
              </w:rPr>
              <w:t xml:space="preserve"> </w:t>
            </w:r>
            <w:proofErr w:type="spellStart"/>
            <w:r w:rsidR="00FB363E" w:rsidRPr="00FB363E">
              <w:rPr>
                <w:rFonts w:cstheme="minorHAnsi"/>
                <w:sz w:val="20"/>
                <w:lang w:eastAsia="pl-PL"/>
              </w:rPr>
              <w:t>Variations</w:t>
            </w:r>
            <w:proofErr w:type="spellEnd"/>
            <w:r w:rsidR="00FB363E" w:rsidRPr="00FB363E">
              <w:rPr>
                <w:rFonts w:cstheme="minorHAnsi"/>
                <w:sz w:val="20"/>
                <w:lang w:eastAsia="pl-PL"/>
              </w:rPr>
              <w:t>"(EBI, 2012, wersja10), dostosowaną do potrzeb projektów w ramach „Niebieskiej Księgi. Nowe wydanie 2014-2020. Sektor kolejowy. Infrastruktura kolejowa., wrzesień 2015”</w:t>
            </w:r>
          </w:p>
        </w:tc>
      </w:tr>
      <w:tr w:rsidR="001B3B4D" w14:paraId="07A612E6" w14:textId="77777777" w:rsidTr="00E53715">
        <w:tc>
          <w:tcPr>
            <w:tcW w:w="6996" w:type="dxa"/>
            <w:gridSpan w:val="2"/>
          </w:tcPr>
          <w:p w14:paraId="1195CE1B" w14:textId="77777777" w:rsidR="001B3B4D" w:rsidRPr="006C2FD2" w:rsidRDefault="001B3B4D" w:rsidP="004E4D11">
            <w:pPr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>SPÓJNOŚĆ ZAŁOŻEŃ W ANALI</w:t>
            </w:r>
            <w:r w:rsidR="00482AFF" w:rsidRPr="006C2FD2">
              <w:rPr>
                <w:rFonts w:cstheme="minorHAnsi"/>
                <w:b/>
                <w:lang w:eastAsia="pl-PL"/>
              </w:rPr>
              <w:t>ZIE</w:t>
            </w:r>
            <w:r w:rsidRPr="006C2FD2">
              <w:rPr>
                <w:rFonts w:cstheme="minorHAnsi"/>
                <w:b/>
                <w:lang w:eastAsia="pl-PL"/>
              </w:rPr>
              <w:t xml:space="preserve"> </w:t>
            </w:r>
            <w:r w:rsidR="00482AFF" w:rsidRPr="006C2FD2">
              <w:rPr>
                <w:rFonts w:cstheme="minorHAnsi"/>
                <w:b/>
                <w:lang w:eastAsia="pl-PL"/>
              </w:rPr>
              <w:t>WARIANTÓW NA ETAPIE AKK I OOŚ</w:t>
            </w:r>
            <w:r w:rsidRPr="006C2FD2">
              <w:rPr>
                <w:rFonts w:cstheme="minorHAnsi"/>
                <w:lang w:eastAsia="pl-PL"/>
              </w:rPr>
              <w:t xml:space="preserve"> (dotyczy, jeżeli sporządzono raport OOŚ)</w:t>
            </w:r>
          </w:p>
        </w:tc>
        <w:tc>
          <w:tcPr>
            <w:tcW w:w="6998" w:type="dxa"/>
            <w:gridSpan w:val="2"/>
          </w:tcPr>
          <w:p w14:paraId="3B109EBA" w14:textId="23A44D01" w:rsidR="000A33F8" w:rsidRPr="006C2FD2" w:rsidRDefault="001E2708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NIE DOTYCZY</w:t>
            </w:r>
          </w:p>
        </w:tc>
      </w:tr>
      <w:tr w:rsidR="001B3B4D" w14:paraId="6DB88EC9" w14:textId="77777777" w:rsidTr="00E53715">
        <w:tc>
          <w:tcPr>
            <w:tcW w:w="6996" w:type="dxa"/>
            <w:gridSpan w:val="2"/>
          </w:tcPr>
          <w:p w14:paraId="092FC66B" w14:textId="09511EBF" w:rsidR="00482AFF" w:rsidRPr="006C2FD2" w:rsidRDefault="00482AFF" w:rsidP="00482AFF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>ODNIESIENIE DO BEZPO</w:t>
            </w:r>
            <w:r w:rsidR="00281ED4">
              <w:rPr>
                <w:rFonts w:cstheme="minorHAnsi"/>
                <w:b/>
                <w:lang w:eastAsia="pl-PL"/>
              </w:rPr>
              <w:t>Ś</w:t>
            </w:r>
            <w:r w:rsidRPr="006C2FD2">
              <w:rPr>
                <w:rFonts w:cstheme="minorHAnsi"/>
                <w:b/>
                <w:lang w:eastAsia="pl-PL"/>
              </w:rPr>
              <w:t>REDNICH I POŚREDNICH EMISJI GAZÓW CIEPLARNIANYCH</w:t>
            </w:r>
          </w:p>
        </w:tc>
        <w:tc>
          <w:tcPr>
            <w:tcW w:w="6998" w:type="dxa"/>
            <w:gridSpan w:val="2"/>
          </w:tcPr>
          <w:p w14:paraId="08DBA794" w14:textId="77777777" w:rsidR="001B3B4D" w:rsidRPr="006C2FD2" w:rsidRDefault="007228C7" w:rsidP="0015763D">
            <w:pPr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TAK</w:t>
            </w:r>
          </w:p>
        </w:tc>
      </w:tr>
    </w:tbl>
    <w:p w14:paraId="5C4AB3CC" w14:textId="77777777" w:rsidR="008615EE" w:rsidRDefault="008615EE" w:rsidP="006A0215">
      <w:pPr>
        <w:rPr>
          <w:rFonts w:cstheme="minorHAnsi"/>
          <w:i/>
          <w:color w:val="4472C4" w:themeColor="accent1"/>
          <w:lang w:eastAsia="pl-PL"/>
        </w:rPr>
      </w:pPr>
    </w:p>
    <w:p w14:paraId="38E07FD6" w14:textId="77777777" w:rsidR="00230E7E" w:rsidRPr="0048086C" w:rsidRDefault="00230E7E" w:rsidP="006A0215">
      <w:pPr>
        <w:rPr>
          <w:b/>
        </w:rPr>
      </w:pPr>
      <w:r w:rsidRPr="0048086C">
        <w:rPr>
          <w:b/>
        </w:rPr>
        <w:t>IDENTYFIKACJA DOBRYCH PRAKTYK</w:t>
      </w:r>
    </w:p>
    <w:p w14:paraId="17950FB5" w14:textId="30E1C29D" w:rsidR="00600253" w:rsidRPr="0048086C" w:rsidRDefault="0048086C" w:rsidP="006A0215">
      <w:pPr>
        <w:rPr>
          <w:rFonts w:cstheme="minorHAnsi"/>
          <w:lang w:eastAsia="pl-PL"/>
        </w:rPr>
      </w:pPr>
      <w:r w:rsidRPr="0048086C">
        <w:rPr>
          <w:rFonts w:cstheme="minorHAnsi"/>
          <w:lang w:eastAsia="pl-PL"/>
        </w:rPr>
        <w:t>NIE ZIDENTYFIKOWANO</w:t>
      </w:r>
      <w:r w:rsidR="001D33B0">
        <w:rPr>
          <w:rFonts w:cstheme="minorHAnsi"/>
          <w:lang w:eastAsia="pl-PL"/>
        </w:rPr>
        <w:t xml:space="preserve"> </w:t>
      </w:r>
    </w:p>
    <w:p w14:paraId="4C8859DC" w14:textId="77777777" w:rsidR="00D74E49" w:rsidRDefault="00D74E49" w:rsidP="006A0215">
      <w:pPr>
        <w:rPr>
          <w:b/>
        </w:rPr>
      </w:pPr>
      <w:r w:rsidRPr="00DE2465">
        <w:rPr>
          <w:b/>
        </w:rPr>
        <w:t>CZYNNIKI OGRANICZAJĄCE ZASTOSOWANIE PORODNIKA</w:t>
      </w:r>
      <w:r w:rsidR="00DE2465">
        <w:rPr>
          <w:b/>
        </w:rPr>
        <w:t xml:space="preserve"> PRZEZ BENEFICJENTÓW</w:t>
      </w:r>
    </w:p>
    <w:p w14:paraId="25EC3539" w14:textId="77777777" w:rsidR="00DE2465" w:rsidRPr="001B2780" w:rsidRDefault="00DE2465" w:rsidP="006A0215">
      <w:pPr>
        <w:rPr>
          <w:b/>
        </w:rPr>
      </w:pPr>
      <w:r>
        <w:rPr>
          <w:b/>
        </w:rPr>
        <w:t>(</w:t>
      </w:r>
      <w:r w:rsidRPr="001B2780">
        <w:rPr>
          <w:b/>
        </w:rPr>
        <w:t>na podstawie TDI)</w:t>
      </w:r>
    </w:p>
    <w:p w14:paraId="59470AEE" w14:textId="3E312D76" w:rsidR="001B2780" w:rsidRPr="001B2780" w:rsidRDefault="001B2780" w:rsidP="001B2780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lastRenderedPageBreak/>
        <w:t>Beneficjent nie opracowywał dokumentacji, nie potrafił odpowiedzieć na pytanie.</w:t>
      </w:r>
    </w:p>
    <w:p w14:paraId="526FC7E0" w14:textId="77777777" w:rsidR="000D411A" w:rsidRPr="001B2780" w:rsidRDefault="000D411A" w:rsidP="006A0215">
      <w:pPr>
        <w:rPr>
          <w:b/>
        </w:rPr>
      </w:pPr>
      <w:r w:rsidRPr="001B2780">
        <w:rPr>
          <w:b/>
        </w:rPr>
        <w:t>INNE MATERIAŁY WYKORZYSTYWANE NA ETAPIE PRZYGOTOWANIA PROJEKTÓW</w:t>
      </w:r>
    </w:p>
    <w:p w14:paraId="32225B7D" w14:textId="02227542" w:rsidR="001B2780" w:rsidRPr="001B2780" w:rsidRDefault="001B2780" w:rsidP="001B2780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14:paraId="1AE086DB" w14:textId="77777777" w:rsidR="00D74E49" w:rsidRPr="001B2780" w:rsidRDefault="00D74E49" w:rsidP="006A0215">
      <w:pPr>
        <w:rPr>
          <w:b/>
        </w:rPr>
      </w:pPr>
      <w:r w:rsidRPr="001B2780">
        <w:rPr>
          <w:b/>
        </w:rPr>
        <w:t>CZYNNIKI OGRANICZAJĄCE ZASTOSOWANIE ROZWIĄZAŃ ZWIĄZANYCH ZE ZMIANAMI KLIMATU, ICH ŁAGODZENIEM I PRZYSTOSOWANIEM DO TYCH ZMIAN ORAZ ODPORNOŚCI NA KLĘSKI ŻYWIOŁOWE</w:t>
      </w:r>
    </w:p>
    <w:p w14:paraId="32A25042" w14:textId="77777777" w:rsidR="00DE2465" w:rsidRPr="001B2780" w:rsidRDefault="00DE2465" w:rsidP="006A0215">
      <w:pPr>
        <w:rPr>
          <w:b/>
        </w:rPr>
      </w:pPr>
      <w:r w:rsidRPr="001B2780">
        <w:rPr>
          <w:b/>
        </w:rPr>
        <w:t>(na podstawie TDI)</w:t>
      </w:r>
    </w:p>
    <w:p w14:paraId="11E0641F" w14:textId="77777777" w:rsidR="001B2780" w:rsidRDefault="001B2780" w:rsidP="001B2780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14:paraId="32D8E696" w14:textId="77777777" w:rsidR="001B2780" w:rsidRPr="001B2780" w:rsidRDefault="001B2780" w:rsidP="00D74E49">
      <w:pPr>
        <w:rPr>
          <w:rFonts w:cstheme="minorHAnsi"/>
          <w:color w:val="4472C4" w:themeColor="accent1"/>
          <w:lang w:eastAsia="pl-PL"/>
        </w:rPr>
      </w:pPr>
    </w:p>
    <w:p w14:paraId="0DE471DC" w14:textId="77777777" w:rsidR="00014C2C" w:rsidRPr="001B2780" w:rsidRDefault="000D411A" w:rsidP="00D74E49">
      <w:pPr>
        <w:rPr>
          <w:b/>
        </w:rPr>
      </w:pPr>
      <w:r w:rsidRPr="001B2780">
        <w:rPr>
          <w:b/>
        </w:rPr>
        <w:t>ZAKRES OPCJI KLIMATYCZNYCH STOSOWANYCH W PROJEKTACH FINANSOWANYCH Z INNYCH ŹRÓDEŁ</w:t>
      </w:r>
    </w:p>
    <w:p w14:paraId="0FF0B1F5" w14:textId="77777777" w:rsidR="000D411A" w:rsidRPr="001B2780" w:rsidRDefault="000D411A" w:rsidP="000D411A">
      <w:pPr>
        <w:rPr>
          <w:b/>
        </w:rPr>
      </w:pPr>
      <w:r w:rsidRPr="001B2780">
        <w:rPr>
          <w:b/>
        </w:rPr>
        <w:t>(na podstawie TDI)</w:t>
      </w:r>
    </w:p>
    <w:p w14:paraId="71714EE5" w14:textId="77777777" w:rsidR="001B2780" w:rsidRDefault="001B2780" w:rsidP="001B2780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bookmarkStart w:id="0" w:name="_GoBack"/>
      <w:bookmarkEnd w:id="0"/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14:paraId="64A38425" w14:textId="77777777" w:rsidR="001B2780" w:rsidRDefault="001B2780" w:rsidP="00862552">
      <w:pPr>
        <w:spacing w:before="120" w:after="120" w:line="276" w:lineRule="auto"/>
        <w:jc w:val="both"/>
        <w:rPr>
          <w:rFonts w:cstheme="minorHAnsi"/>
          <w:color w:val="0070C0"/>
          <w:lang w:eastAsia="pl-PL"/>
        </w:rPr>
      </w:pPr>
    </w:p>
    <w:sectPr w:rsidR="001B2780" w:rsidSect="006D6E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381C5B" w14:textId="77777777" w:rsidR="00802318" w:rsidRDefault="00802318" w:rsidP="00C63E3F">
      <w:pPr>
        <w:spacing w:after="0" w:line="240" w:lineRule="auto"/>
      </w:pPr>
      <w:r>
        <w:separator/>
      </w:r>
    </w:p>
  </w:endnote>
  <w:endnote w:type="continuationSeparator" w:id="0">
    <w:p w14:paraId="0A991020" w14:textId="77777777" w:rsidR="00802318" w:rsidRDefault="00802318" w:rsidP="00C63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817BEB" w14:textId="77777777" w:rsidR="00802318" w:rsidRDefault="00802318" w:rsidP="00C63E3F">
      <w:pPr>
        <w:spacing w:after="0" w:line="240" w:lineRule="auto"/>
      </w:pPr>
      <w:r>
        <w:separator/>
      </w:r>
    </w:p>
  </w:footnote>
  <w:footnote w:type="continuationSeparator" w:id="0">
    <w:p w14:paraId="0F175C81" w14:textId="77777777" w:rsidR="00802318" w:rsidRDefault="00802318" w:rsidP="00C63E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03B74"/>
    <w:multiLevelType w:val="hybridMultilevel"/>
    <w:tmpl w:val="1C24F4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75806"/>
    <w:multiLevelType w:val="hybridMultilevel"/>
    <w:tmpl w:val="DA768EFA"/>
    <w:lvl w:ilvl="0" w:tplc="7E1A4C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50FB0"/>
    <w:multiLevelType w:val="hybridMultilevel"/>
    <w:tmpl w:val="2D187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816F0"/>
    <w:multiLevelType w:val="hybridMultilevel"/>
    <w:tmpl w:val="31C22986"/>
    <w:lvl w:ilvl="0" w:tplc="8FB8EFE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9059D"/>
    <w:multiLevelType w:val="hybridMultilevel"/>
    <w:tmpl w:val="0A829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7726BF"/>
    <w:multiLevelType w:val="hybridMultilevel"/>
    <w:tmpl w:val="70B8B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27A71"/>
    <w:multiLevelType w:val="multilevel"/>
    <w:tmpl w:val="24682298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HAnsi" w:hint="default"/>
      </w:rPr>
    </w:lvl>
  </w:abstractNum>
  <w:abstractNum w:abstractNumId="7" w15:restartNumberingAfterBreak="0">
    <w:nsid w:val="17321088"/>
    <w:multiLevelType w:val="hybridMultilevel"/>
    <w:tmpl w:val="AB1241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41C3A"/>
    <w:multiLevelType w:val="hybridMultilevel"/>
    <w:tmpl w:val="11C064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A1F18"/>
    <w:multiLevelType w:val="hybridMultilevel"/>
    <w:tmpl w:val="E5BC2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82C38"/>
    <w:multiLevelType w:val="hybridMultilevel"/>
    <w:tmpl w:val="4336BD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B34331"/>
    <w:multiLevelType w:val="hybridMultilevel"/>
    <w:tmpl w:val="DC3EB5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30671"/>
    <w:multiLevelType w:val="hybridMultilevel"/>
    <w:tmpl w:val="9C284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8B0D4C"/>
    <w:multiLevelType w:val="hybridMultilevel"/>
    <w:tmpl w:val="EAD44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4E1E37"/>
    <w:multiLevelType w:val="hybridMultilevel"/>
    <w:tmpl w:val="94C26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2C54CD"/>
    <w:multiLevelType w:val="hybridMultilevel"/>
    <w:tmpl w:val="09CE9CB6"/>
    <w:lvl w:ilvl="0" w:tplc="DAB87EB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CF2BE2"/>
    <w:multiLevelType w:val="hybridMultilevel"/>
    <w:tmpl w:val="7BE6A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365C7"/>
    <w:multiLevelType w:val="hybridMultilevel"/>
    <w:tmpl w:val="801C4F74"/>
    <w:lvl w:ilvl="0" w:tplc="8F10FCBE">
      <w:start w:val="1"/>
      <w:numFmt w:val="bullet"/>
      <w:lvlText w:val=""/>
      <w:lvlJc w:val="left"/>
      <w:pPr>
        <w:ind w:left="730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57C906D1"/>
    <w:multiLevelType w:val="hybridMultilevel"/>
    <w:tmpl w:val="7EEC8394"/>
    <w:lvl w:ilvl="0" w:tplc="61B4A19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EA4354"/>
    <w:multiLevelType w:val="multilevel"/>
    <w:tmpl w:val="508A17A0"/>
    <w:lvl w:ilvl="0">
      <w:start w:val="1"/>
      <w:numFmt w:val="decimal"/>
      <w:lvlText w:val="(%1."/>
      <w:lvlJc w:val="left"/>
      <w:pPr>
        <w:ind w:left="396" w:hanging="396"/>
      </w:pPr>
      <w:rPr>
        <w:rFonts w:cstheme="minorHAnsi"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cstheme="minorHAnsi"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cstheme="minorHAnsi"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cstheme="minorHAnsi" w:hint="default"/>
      </w:rPr>
    </w:lvl>
  </w:abstractNum>
  <w:num w:numId="1">
    <w:abstractNumId w:val="6"/>
  </w:num>
  <w:num w:numId="2">
    <w:abstractNumId w:val="19"/>
  </w:num>
  <w:num w:numId="3">
    <w:abstractNumId w:val="1"/>
  </w:num>
  <w:num w:numId="4">
    <w:abstractNumId w:val="13"/>
  </w:num>
  <w:num w:numId="5">
    <w:abstractNumId w:val="16"/>
  </w:num>
  <w:num w:numId="6">
    <w:abstractNumId w:val="9"/>
  </w:num>
  <w:num w:numId="7">
    <w:abstractNumId w:val="7"/>
  </w:num>
  <w:num w:numId="8">
    <w:abstractNumId w:val="14"/>
  </w:num>
  <w:num w:numId="9">
    <w:abstractNumId w:val="17"/>
  </w:num>
  <w:num w:numId="10">
    <w:abstractNumId w:val="5"/>
  </w:num>
  <w:num w:numId="11">
    <w:abstractNumId w:val="8"/>
  </w:num>
  <w:num w:numId="12">
    <w:abstractNumId w:val="3"/>
  </w:num>
  <w:num w:numId="13">
    <w:abstractNumId w:val="15"/>
  </w:num>
  <w:num w:numId="14">
    <w:abstractNumId w:val="12"/>
  </w:num>
  <w:num w:numId="15">
    <w:abstractNumId w:val="18"/>
  </w:num>
  <w:num w:numId="16">
    <w:abstractNumId w:val="4"/>
  </w:num>
  <w:num w:numId="17">
    <w:abstractNumId w:val="10"/>
  </w:num>
  <w:num w:numId="18">
    <w:abstractNumId w:val="11"/>
  </w:num>
  <w:num w:numId="19">
    <w:abstractNumId w:val="0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215"/>
    <w:rsid w:val="00014C2C"/>
    <w:rsid w:val="00062CE1"/>
    <w:rsid w:val="000742AE"/>
    <w:rsid w:val="00092AE3"/>
    <w:rsid w:val="000A33F8"/>
    <w:rsid w:val="000D411A"/>
    <w:rsid w:val="0015532E"/>
    <w:rsid w:val="0015763D"/>
    <w:rsid w:val="00183CA1"/>
    <w:rsid w:val="001A0D0D"/>
    <w:rsid w:val="001B2780"/>
    <w:rsid w:val="001B3B4D"/>
    <w:rsid w:val="001B3E52"/>
    <w:rsid w:val="001D33B0"/>
    <w:rsid w:val="001E2708"/>
    <w:rsid w:val="00230E7E"/>
    <w:rsid w:val="0026792C"/>
    <w:rsid w:val="00281ED4"/>
    <w:rsid w:val="002E49B9"/>
    <w:rsid w:val="002F6113"/>
    <w:rsid w:val="003074CB"/>
    <w:rsid w:val="00320904"/>
    <w:rsid w:val="003272F3"/>
    <w:rsid w:val="003719E6"/>
    <w:rsid w:val="0038570D"/>
    <w:rsid w:val="003E39F7"/>
    <w:rsid w:val="004002EE"/>
    <w:rsid w:val="0044652E"/>
    <w:rsid w:val="00457898"/>
    <w:rsid w:val="00462135"/>
    <w:rsid w:val="004662BE"/>
    <w:rsid w:val="0048086C"/>
    <w:rsid w:val="00482AFF"/>
    <w:rsid w:val="004D43D1"/>
    <w:rsid w:val="004E4D11"/>
    <w:rsid w:val="0056579D"/>
    <w:rsid w:val="0059040C"/>
    <w:rsid w:val="00600253"/>
    <w:rsid w:val="00604C64"/>
    <w:rsid w:val="00670CF5"/>
    <w:rsid w:val="00675B8E"/>
    <w:rsid w:val="0069281D"/>
    <w:rsid w:val="006A0215"/>
    <w:rsid w:val="006C2FD2"/>
    <w:rsid w:val="006C44ED"/>
    <w:rsid w:val="006D16D5"/>
    <w:rsid w:val="006D6EC3"/>
    <w:rsid w:val="006E3C60"/>
    <w:rsid w:val="00720636"/>
    <w:rsid w:val="007228C7"/>
    <w:rsid w:val="007A3DA9"/>
    <w:rsid w:val="007A4A0C"/>
    <w:rsid w:val="007B08A4"/>
    <w:rsid w:val="0080161A"/>
    <w:rsid w:val="00802318"/>
    <w:rsid w:val="008155B8"/>
    <w:rsid w:val="0081711D"/>
    <w:rsid w:val="008615EE"/>
    <w:rsid w:val="00862552"/>
    <w:rsid w:val="0091713A"/>
    <w:rsid w:val="00924DDE"/>
    <w:rsid w:val="009F7893"/>
    <w:rsid w:val="00A0683D"/>
    <w:rsid w:val="00A34900"/>
    <w:rsid w:val="00AB21A8"/>
    <w:rsid w:val="00AC3866"/>
    <w:rsid w:val="00AD1DC5"/>
    <w:rsid w:val="00B50451"/>
    <w:rsid w:val="00B95F15"/>
    <w:rsid w:val="00BA2D24"/>
    <w:rsid w:val="00C22E4F"/>
    <w:rsid w:val="00C63E3F"/>
    <w:rsid w:val="00C76E2A"/>
    <w:rsid w:val="00C83EC3"/>
    <w:rsid w:val="00CB2DA1"/>
    <w:rsid w:val="00CC643A"/>
    <w:rsid w:val="00D40E2A"/>
    <w:rsid w:val="00D42B11"/>
    <w:rsid w:val="00D74E49"/>
    <w:rsid w:val="00D86DD6"/>
    <w:rsid w:val="00D91832"/>
    <w:rsid w:val="00DE2465"/>
    <w:rsid w:val="00DF55C9"/>
    <w:rsid w:val="00E10773"/>
    <w:rsid w:val="00E20452"/>
    <w:rsid w:val="00E53715"/>
    <w:rsid w:val="00E7407F"/>
    <w:rsid w:val="00E81B94"/>
    <w:rsid w:val="00EE5091"/>
    <w:rsid w:val="00F0160C"/>
    <w:rsid w:val="00F1705D"/>
    <w:rsid w:val="00F56BD4"/>
    <w:rsid w:val="00F928BA"/>
    <w:rsid w:val="00F928E8"/>
    <w:rsid w:val="00FA3289"/>
    <w:rsid w:val="00FB1594"/>
    <w:rsid w:val="00FB363E"/>
    <w:rsid w:val="00FC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A10C1"/>
  <w15:chartTrackingRefBased/>
  <w15:docId w15:val="{503DBE42-6AB2-41E0-AB12-A8A14155D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30E7E"/>
    <w:pPr>
      <w:ind w:left="720"/>
      <w:contextualSpacing/>
    </w:pPr>
  </w:style>
  <w:style w:type="table" w:styleId="Tabela-Siatka">
    <w:name w:val="Table Grid"/>
    <w:basedOn w:val="Standardowy"/>
    <w:uiPriority w:val="39"/>
    <w:rsid w:val="00466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6D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C63E3F"/>
  </w:style>
  <w:style w:type="character" w:styleId="Odwoaniedokomentarza">
    <w:name w:val="annotation reference"/>
    <w:basedOn w:val="Domylnaczcionkaakapitu"/>
    <w:uiPriority w:val="99"/>
    <w:semiHidden/>
    <w:unhideWhenUsed/>
    <w:rsid w:val="00A068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68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683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68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68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68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683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36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36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36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6</Pages>
  <Words>1408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Dyjak</dc:creator>
  <cp:keywords/>
  <dc:description/>
  <cp:lastModifiedBy>Iza</cp:lastModifiedBy>
  <cp:revision>8</cp:revision>
  <dcterms:created xsi:type="dcterms:W3CDTF">2018-10-12T08:52:00Z</dcterms:created>
  <dcterms:modified xsi:type="dcterms:W3CDTF">2018-11-16T00:39:00Z</dcterms:modified>
</cp:coreProperties>
</file>