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82A04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7BD0B97C" w14:textId="55E2E7D1"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9E6801" w:rsidRPr="009E6801">
        <w:rPr>
          <w:b/>
        </w:rPr>
        <w:t>1.6. Promowanie wykorzystywania wysokosprawnej kogeneracji ciepła i energii elektrycznej w oparciu o zapotrzebowanie na ciepło użytkowe</w:t>
      </w:r>
    </w:p>
    <w:p w14:paraId="7CE41856" w14:textId="325BF9C7" w:rsidR="009E6801" w:rsidRDefault="009E6801" w:rsidP="00230E7E">
      <w:pPr>
        <w:rPr>
          <w:b/>
        </w:rPr>
      </w:pPr>
      <w:r>
        <w:rPr>
          <w:b/>
        </w:rPr>
        <w:t xml:space="preserve">Poddziałanie: </w:t>
      </w:r>
      <w:r w:rsidRPr="009E6801">
        <w:rPr>
          <w:b/>
        </w:rPr>
        <w:t>1.6.1. Źródła wysokosprawnej kogeneracji</w:t>
      </w:r>
    </w:p>
    <w:p w14:paraId="1168C8AE" w14:textId="3F6F19B9" w:rsidR="0015532E" w:rsidRDefault="0056579D" w:rsidP="00A0683D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9E6801" w:rsidRPr="009E6801">
        <w:rPr>
          <w:b/>
        </w:rPr>
        <w:t>Budowa źródła wysokosprawnej kogeneracji w Tarnobrzegu.</w:t>
      </w:r>
    </w:p>
    <w:p w14:paraId="7BE76DC9" w14:textId="26AEB2D1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9E6801" w:rsidRPr="009E6801">
        <w:rPr>
          <w:b/>
        </w:rPr>
        <w:t>POIS.01.06.01-00-0040/16</w:t>
      </w:r>
    </w:p>
    <w:p w14:paraId="786BA928" w14:textId="74563179"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9E6801" w:rsidRPr="009E6801">
        <w:rPr>
          <w:b/>
        </w:rPr>
        <w:t>ECO Kogeneracja Spółka Z Ograniczoną Odpowiedzialnością</w:t>
      </w:r>
    </w:p>
    <w:p w14:paraId="55456E86" w14:textId="7A4F282A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9E6801" w:rsidRPr="009E6801">
        <w:rPr>
          <w:b/>
        </w:rPr>
        <w:t>19</w:t>
      </w:r>
      <w:r w:rsidR="009E6801">
        <w:rPr>
          <w:b/>
        </w:rPr>
        <w:t xml:space="preserve"> </w:t>
      </w:r>
      <w:r w:rsidR="009E6801" w:rsidRPr="009E6801">
        <w:rPr>
          <w:b/>
        </w:rPr>
        <w:t>165</w:t>
      </w:r>
      <w:r w:rsidR="009E6801">
        <w:rPr>
          <w:b/>
        </w:rPr>
        <w:t xml:space="preserve"> </w:t>
      </w:r>
      <w:r w:rsidR="009E6801" w:rsidRPr="009E6801">
        <w:rPr>
          <w:b/>
        </w:rPr>
        <w:t>392,64</w:t>
      </w:r>
      <w:r w:rsidR="00A0683D">
        <w:rPr>
          <w:b/>
        </w:rPr>
        <w:t> </w:t>
      </w:r>
      <w:r w:rsidR="0059040C">
        <w:rPr>
          <w:b/>
        </w:rPr>
        <w:t>PLN</w:t>
      </w:r>
    </w:p>
    <w:p w14:paraId="5C60D485" w14:textId="408042B3" w:rsidR="0059040C" w:rsidRPr="00DF55C9" w:rsidRDefault="0056579D" w:rsidP="00720636">
      <w:pPr>
        <w:spacing w:line="240" w:lineRule="auto"/>
        <w:jc w:val="both"/>
        <w:rPr>
          <w:b/>
        </w:rPr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9E6801">
        <w:t xml:space="preserve">Zakres projektu obejmuje budowę układu kogeneracyjnego o znamionowej mocy wytwórczej ok. 5,4 </w:t>
      </w:r>
      <w:proofErr w:type="spellStart"/>
      <w:r w:rsidR="009E6801">
        <w:t>MWe</w:t>
      </w:r>
      <w:proofErr w:type="spellEnd"/>
      <w:r w:rsidR="009E6801">
        <w:t xml:space="preserve"> oraz ok. 4,8 </w:t>
      </w:r>
      <w:proofErr w:type="spellStart"/>
      <w:r w:rsidR="009E6801">
        <w:t>MWt</w:t>
      </w:r>
      <w:proofErr w:type="spellEnd"/>
      <w:r w:rsidR="009E6801">
        <w:t xml:space="preserve">, która zostanie zrealizowana na bazie dwóch kontenerowych agregatów gazowych o znamionowej mocy wytwórczej ok. 2,7 </w:t>
      </w:r>
      <w:proofErr w:type="spellStart"/>
      <w:r w:rsidR="009E6801">
        <w:t>MWe</w:t>
      </w:r>
      <w:proofErr w:type="spellEnd"/>
      <w:r w:rsidR="009E6801">
        <w:t xml:space="preserve"> i 2,4 </w:t>
      </w:r>
      <w:proofErr w:type="spellStart"/>
      <w:r w:rsidR="009E6801">
        <w:t>MWt</w:t>
      </w:r>
      <w:proofErr w:type="spellEnd"/>
      <w:r w:rsidR="009E6801">
        <w:t xml:space="preserve"> każdy wraz z infrastrukturą towarzyszącą zapewniającą wyprowadzenie energii (tj. przyłącze ciepłownicze, gazowe i elektryczne).</w:t>
      </w:r>
    </w:p>
    <w:p w14:paraId="09C5D3F4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2410"/>
        <w:gridCol w:w="1701"/>
        <w:gridCol w:w="5068"/>
      </w:tblGrid>
      <w:tr w:rsidR="006D6EC3" w14:paraId="704E64E8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0560DEC2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2F5752F1" w14:textId="77777777" w:rsidTr="00E10773">
        <w:tc>
          <w:tcPr>
            <w:tcW w:w="2689" w:type="dxa"/>
            <w:shd w:val="clear" w:color="auto" w:fill="E2EFD9" w:themeFill="accent6" w:themeFillTint="33"/>
          </w:tcPr>
          <w:p w14:paraId="0A820D79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A4B91B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0022844F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73A8837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068" w:type="dxa"/>
            <w:shd w:val="clear" w:color="auto" w:fill="E2EFD9" w:themeFill="accent6" w:themeFillTint="33"/>
          </w:tcPr>
          <w:p w14:paraId="2B8884B1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9E6801" w14:paraId="2B2562CC" w14:textId="77777777" w:rsidTr="00E10773">
        <w:tc>
          <w:tcPr>
            <w:tcW w:w="2689" w:type="dxa"/>
          </w:tcPr>
          <w:p w14:paraId="4415BCD2" w14:textId="77777777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126" w:type="dxa"/>
          </w:tcPr>
          <w:p w14:paraId="10F992E4" w14:textId="30AF7D18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5184FD0F" w14:textId="685249A9" w:rsidR="009E6801" w:rsidRPr="00E10773" w:rsidRDefault="009E6801" w:rsidP="009E68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Mróz</w:t>
            </w:r>
          </w:p>
        </w:tc>
        <w:tc>
          <w:tcPr>
            <w:tcW w:w="1701" w:type="dxa"/>
          </w:tcPr>
          <w:p w14:paraId="75ED062E" w14:textId="524B6F0D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5637863B" w14:textId="74F1C847" w:rsidR="009E6801" w:rsidRPr="001D33B0" w:rsidRDefault="009E6801" w:rsidP="009E6801">
            <w:pPr>
              <w:jc w:val="both"/>
              <w:rPr>
                <w:sz w:val="20"/>
                <w:szCs w:val="20"/>
              </w:rPr>
            </w:pPr>
            <w:r w:rsidRPr="009E6801">
              <w:rPr>
                <w:sz w:val="20"/>
                <w:szCs w:val="20"/>
              </w:rPr>
              <w:t>Klęski żywiołowe: fale mrozów –</w:t>
            </w:r>
            <w:r>
              <w:rPr>
                <w:sz w:val="20"/>
                <w:szCs w:val="20"/>
              </w:rPr>
              <w:t xml:space="preserve"> </w:t>
            </w:r>
            <w:r w:rsidRPr="009E6801">
              <w:rPr>
                <w:sz w:val="20"/>
                <w:szCs w:val="20"/>
              </w:rPr>
              <w:t>prawdopodobieństwo wystąpienia oszacowano na „marginalne”, wpływ na projekt - na „nieistotne”.</w:t>
            </w:r>
          </w:p>
        </w:tc>
      </w:tr>
      <w:tr w:rsidR="00FB363E" w14:paraId="5178E7FD" w14:textId="77777777" w:rsidTr="00E10773">
        <w:tc>
          <w:tcPr>
            <w:tcW w:w="2689" w:type="dxa"/>
          </w:tcPr>
          <w:p w14:paraId="544BEC06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2126" w:type="dxa"/>
          </w:tcPr>
          <w:p w14:paraId="7FAA79B1" w14:textId="6A274091" w:rsidR="00FB363E" w:rsidRPr="006C2FD2" w:rsidRDefault="009E6801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4A0B817F" w14:textId="4EFF4AF3" w:rsidR="00FB363E" w:rsidRPr="001D33B0" w:rsidRDefault="00E10773" w:rsidP="00FB36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Upały</w:t>
            </w:r>
          </w:p>
        </w:tc>
        <w:tc>
          <w:tcPr>
            <w:tcW w:w="1701" w:type="dxa"/>
          </w:tcPr>
          <w:p w14:paraId="3673CB44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7032371B" w14:textId="3CD9AC92" w:rsidR="00FB363E" w:rsidRPr="001D33B0" w:rsidRDefault="009E6801" w:rsidP="009E6801">
            <w:pPr>
              <w:jc w:val="both"/>
              <w:rPr>
                <w:sz w:val="20"/>
                <w:szCs w:val="20"/>
              </w:rPr>
            </w:pPr>
            <w:r w:rsidRPr="009E6801">
              <w:rPr>
                <w:sz w:val="20"/>
                <w:szCs w:val="20"/>
              </w:rPr>
              <w:t xml:space="preserve">Klęski żywiołowe: fale upałów </w:t>
            </w:r>
            <w:r>
              <w:rPr>
                <w:sz w:val="20"/>
                <w:szCs w:val="20"/>
              </w:rPr>
              <w:t xml:space="preserve">– </w:t>
            </w:r>
            <w:r w:rsidRPr="009E6801">
              <w:rPr>
                <w:sz w:val="20"/>
                <w:szCs w:val="20"/>
              </w:rPr>
              <w:t>prawdopodobieństwo wystąpienia oszacowano na „marginalne”, wpływ na projekt - na „nieistotne”.</w:t>
            </w:r>
          </w:p>
        </w:tc>
      </w:tr>
      <w:tr w:rsidR="009E6801" w14:paraId="3861FE36" w14:textId="77777777" w:rsidTr="00E10773">
        <w:tc>
          <w:tcPr>
            <w:tcW w:w="2689" w:type="dxa"/>
          </w:tcPr>
          <w:p w14:paraId="2668C561" w14:textId="77777777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2126" w:type="dxa"/>
          </w:tcPr>
          <w:p w14:paraId="1C68E65E" w14:textId="253354BA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7F5A6C9A" w14:textId="634EF147" w:rsidR="009E6801" w:rsidRPr="00E10773" w:rsidRDefault="009E6801" w:rsidP="009E68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9E6801">
              <w:rPr>
                <w:sz w:val="20"/>
                <w:szCs w:val="20"/>
              </w:rPr>
              <w:t>ystępowani</w:t>
            </w:r>
            <w:r>
              <w:rPr>
                <w:sz w:val="20"/>
                <w:szCs w:val="20"/>
              </w:rPr>
              <w:t>e</w:t>
            </w:r>
            <w:r w:rsidRPr="009E6801">
              <w:rPr>
                <w:sz w:val="20"/>
                <w:szCs w:val="20"/>
              </w:rPr>
              <w:t xml:space="preserve"> powodzi, podtopień</w:t>
            </w:r>
            <w:r>
              <w:rPr>
                <w:sz w:val="20"/>
                <w:szCs w:val="20"/>
              </w:rPr>
              <w:t>, katastrofalne opady śniegu</w:t>
            </w:r>
          </w:p>
        </w:tc>
        <w:tc>
          <w:tcPr>
            <w:tcW w:w="1701" w:type="dxa"/>
          </w:tcPr>
          <w:p w14:paraId="4B054296" w14:textId="0048ECE9" w:rsidR="009E6801" w:rsidRPr="006C2FD2" w:rsidRDefault="009E6801" w:rsidP="009E6801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7098FE55" w14:textId="1BCD5A9F" w:rsidR="009E6801" w:rsidRPr="001D33B0" w:rsidRDefault="009E6801" w:rsidP="009E6801">
            <w:pPr>
              <w:jc w:val="both"/>
              <w:rPr>
                <w:sz w:val="20"/>
                <w:szCs w:val="20"/>
              </w:rPr>
            </w:pPr>
            <w:r w:rsidRPr="009E6801">
              <w:rPr>
                <w:sz w:val="20"/>
                <w:szCs w:val="20"/>
              </w:rPr>
              <w:t xml:space="preserve">Klęski żywiołowe: powodzie, </w:t>
            </w:r>
            <w:r>
              <w:rPr>
                <w:sz w:val="20"/>
                <w:szCs w:val="20"/>
              </w:rPr>
              <w:t>katastrofalne opady śniegu –p</w:t>
            </w:r>
            <w:r w:rsidRPr="009E6801">
              <w:rPr>
                <w:sz w:val="20"/>
                <w:szCs w:val="20"/>
              </w:rPr>
              <w:t>rawdopodobieństwo wystąpienia oszacowano na „marginalne”, wpływ na projekt - na „nieistotne”.</w:t>
            </w:r>
            <w:r w:rsidR="00520F9E">
              <w:rPr>
                <w:sz w:val="20"/>
                <w:szCs w:val="20"/>
              </w:rPr>
              <w:t xml:space="preserve"> T</w:t>
            </w:r>
            <w:r w:rsidR="00520F9E" w:rsidRPr="00520F9E">
              <w:rPr>
                <w:sz w:val="20"/>
                <w:szCs w:val="20"/>
              </w:rPr>
              <w:t>eren planowanej instalacji leży poza zasięgiem zagrożenia powodziowego, zagrożenia w przypadku całkowitego lub częściowego uszkodzenia wału przeciwpowodziowego</w:t>
            </w:r>
            <w:r w:rsidR="00520F9E">
              <w:rPr>
                <w:sz w:val="20"/>
                <w:szCs w:val="20"/>
              </w:rPr>
              <w:t>.</w:t>
            </w:r>
          </w:p>
        </w:tc>
      </w:tr>
      <w:tr w:rsidR="00E10773" w14:paraId="1C630E7F" w14:textId="77777777" w:rsidTr="00E10773">
        <w:tc>
          <w:tcPr>
            <w:tcW w:w="2689" w:type="dxa"/>
          </w:tcPr>
          <w:p w14:paraId="226236DC" w14:textId="6EF6AFF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126" w:type="dxa"/>
          </w:tcPr>
          <w:p w14:paraId="2CDF5636" w14:textId="5D7185C0" w:rsidR="00E10773" w:rsidRPr="006C2FD2" w:rsidRDefault="00E10773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0EFB299D" w14:textId="10B2A4AA" w:rsidR="00E10773" w:rsidRPr="00E10773" w:rsidRDefault="009E6801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Silne wiatry</w:t>
            </w:r>
          </w:p>
        </w:tc>
        <w:tc>
          <w:tcPr>
            <w:tcW w:w="1701" w:type="dxa"/>
          </w:tcPr>
          <w:p w14:paraId="54783743" w14:textId="010BC5D2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A1E6DB2" w14:textId="462F12C4" w:rsidR="00E10773" w:rsidRPr="001D33B0" w:rsidRDefault="00E10773" w:rsidP="00E10773">
            <w:pPr>
              <w:jc w:val="both"/>
              <w:rPr>
                <w:sz w:val="20"/>
                <w:szCs w:val="20"/>
              </w:rPr>
            </w:pPr>
          </w:p>
        </w:tc>
      </w:tr>
      <w:tr w:rsidR="00E10773" w14:paraId="636FA872" w14:textId="77777777" w:rsidTr="00E10773">
        <w:tc>
          <w:tcPr>
            <w:tcW w:w="2689" w:type="dxa"/>
          </w:tcPr>
          <w:p w14:paraId="1F2FE6E5" w14:textId="02A5E010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126" w:type="dxa"/>
          </w:tcPr>
          <w:p w14:paraId="0BB9A0FB" w14:textId="0D6DEE50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6B618317" w14:textId="10C16671" w:rsidR="00E10773" w:rsidRPr="006C2FD2" w:rsidRDefault="009E6801" w:rsidP="009E68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E6801">
              <w:rPr>
                <w:sz w:val="20"/>
                <w:szCs w:val="20"/>
              </w:rPr>
              <w:t xml:space="preserve">szkodzenia lub przerwania wałów przeciwpowodziowych oraz związane </w:t>
            </w:r>
            <w:r>
              <w:rPr>
                <w:sz w:val="20"/>
                <w:szCs w:val="20"/>
              </w:rPr>
              <w:t xml:space="preserve">z występowaniem masowych ruchów </w:t>
            </w:r>
            <w:r w:rsidRPr="009E6801">
              <w:rPr>
                <w:sz w:val="20"/>
                <w:szCs w:val="20"/>
              </w:rPr>
              <w:t>ziemi</w:t>
            </w:r>
          </w:p>
        </w:tc>
        <w:tc>
          <w:tcPr>
            <w:tcW w:w="1701" w:type="dxa"/>
          </w:tcPr>
          <w:p w14:paraId="16EEF541" w14:textId="103A72C8" w:rsidR="00E10773" w:rsidRPr="006C2FD2" w:rsidRDefault="00E10773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F643C72" w14:textId="0B2DBD22" w:rsidR="00E10773" w:rsidRPr="001D33B0" w:rsidRDefault="009E6801" w:rsidP="009E6801">
            <w:pPr>
              <w:jc w:val="both"/>
              <w:rPr>
                <w:sz w:val="20"/>
                <w:szCs w:val="20"/>
              </w:rPr>
            </w:pPr>
            <w:r w:rsidRPr="009E6801">
              <w:rPr>
                <w:sz w:val="20"/>
                <w:szCs w:val="20"/>
              </w:rPr>
              <w:t xml:space="preserve">Klęski żywiołowe: </w:t>
            </w:r>
            <w:r>
              <w:rPr>
                <w:sz w:val="20"/>
                <w:szCs w:val="20"/>
              </w:rPr>
              <w:t xml:space="preserve">powodzie, przerwania wałów - </w:t>
            </w:r>
            <w:r w:rsidRPr="009E6801">
              <w:rPr>
                <w:sz w:val="20"/>
                <w:szCs w:val="20"/>
              </w:rPr>
              <w:t>prawdopodobieństwo wystąpienia oszacowano na „marginalne”, wpływ na projekt - na „nieistotne”.</w:t>
            </w:r>
            <w:r w:rsidR="00520F9E">
              <w:rPr>
                <w:sz w:val="20"/>
                <w:szCs w:val="20"/>
              </w:rPr>
              <w:t xml:space="preserve"> T</w:t>
            </w:r>
            <w:r w:rsidR="00520F9E" w:rsidRPr="00520F9E">
              <w:rPr>
                <w:sz w:val="20"/>
                <w:szCs w:val="20"/>
              </w:rPr>
              <w:t>eren planowanej instalacji leży poza zasięgiem zagrożenia powodziowego, zagrożenia w przypadku całkowitego lub częściowego uszkodzenia wału przeciwpowodziowego</w:t>
            </w:r>
            <w:r w:rsidR="00520F9E">
              <w:rPr>
                <w:sz w:val="20"/>
                <w:szCs w:val="20"/>
              </w:rPr>
              <w:t>.</w:t>
            </w:r>
          </w:p>
        </w:tc>
      </w:tr>
      <w:tr w:rsidR="00E10773" w14:paraId="3371FFD0" w14:textId="77777777" w:rsidTr="00E10773">
        <w:tc>
          <w:tcPr>
            <w:tcW w:w="2689" w:type="dxa"/>
          </w:tcPr>
          <w:p w14:paraId="4D9E15C0" w14:textId="77777777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14:paraId="44B535A6" w14:textId="77777777" w:rsidR="00E10773" w:rsidRPr="006C2FD2" w:rsidRDefault="00E10773" w:rsidP="00E1077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6D80568" w14:textId="474D86F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58545A65" w14:textId="25C43D55" w:rsidR="00E10773" w:rsidRPr="001D33B0" w:rsidRDefault="00520F9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Pożary, trzęsienia ziemi</w:t>
            </w:r>
          </w:p>
        </w:tc>
        <w:tc>
          <w:tcPr>
            <w:tcW w:w="1701" w:type="dxa"/>
          </w:tcPr>
          <w:p w14:paraId="371CB905" w14:textId="04553341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DED4B64" w14:textId="1A0B40B6" w:rsidR="00E10773" w:rsidRPr="001D33B0" w:rsidRDefault="009E6801" w:rsidP="009E6801">
            <w:pPr>
              <w:jc w:val="both"/>
              <w:rPr>
                <w:sz w:val="20"/>
                <w:szCs w:val="20"/>
              </w:rPr>
            </w:pPr>
            <w:r w:rsidRPr="009E6801">
              <w:rPr>
                <w:sz w:val="20"/>
                <w:szCs w:val="20"/>
              </w:rPr>
              <w:t xml:space="preserve">Klęski żywiołowe: pożary, </w:t>
            </w:r>
            <w:r>
              <w:rPr>
                <w:sz w:val="20"/>
                <w:szCs w:val="20"/>
              </w:rPr>
              <w:t>trzęsienia ziemi –</w:t>
            </w:r>
            <w:r w:rsidRPr="009E6801">
              <w:rPr>
                <w:sz w:val="20"/>
                <w:szCs w:val="20"/>
              </w:rPr>
              <w:t>prawdopodobieństwo wystąpienia oszacowano na „marginalne”, wpływ na projekt - na „nieistotne”.</w:t>
            </w:r>
          </w:p>
        </w:tc>
      </w:tr>
      <w:tr w:rsidR="00E10773" w14:paraId="68CC1FA3" w14:textId="77777777" w:rsidTr="00E10773">
        <w:tc>
          <w:tcPr>
            <w:tcW w:w="4815" w:type="dxa"/>
            <w:gridSpan w:val="2"/>
            <w:shd w:val="clear" w:color="auto" w:fill="E2EFD9" w:themeFill="accent6" w:themeFillTint="33"/>
          </w:tcPr>
          <w:p w14:paraId="376FA92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51B907CC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769" w:type="dxa"/>
            <w:gridSpan w:val="2"/>
            <w:shd w:val="clear" w:color="auto" w:fill="E2EFD9" w:themeFill="accent6" w:themeFillTint="33"/>
          </w:tcPr>
          <w:p w14:paraId="426CF3A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E10773" w14:paraId="79CA8F2D" w14:textId="77777777" w:rsidTr="00E10773">
        <w:tc>
          <w:tcPr>
            <w:tcW w:w="4815" w:type="dxa"/>
            <w:gridSpan w:val="2"/>
          </w:tcPr>
          <w:p w14:paraId="79E6A579" w14:textId="77777777" w:rsidR="00E10773" w:rsidRPr="006C2FD2" w:rsidRDefault="00E10773" w:rsidP="00E10773">
            <w:r w:rsidRPr="006C2FD2">
              <w:t>Aktualne zagrożenia klimatyczne</w:t>
            </w:r>
          </w:p>
        </w:tc>
        <w:tc>
          <w:tcPr>
            <w:tcW w:w="2410" w:type="dxa"/>
          </w:tcPr>
          <w:p w14:paraId="20671D6D" w14:textId="77777777" w:rsidR="00E10773" w:rsidRPr="006C2FD2" w:rsidRDefault="00E10773" w:rsidP="00E10773">
            <w:r w:rsidRPr="006C2FD2">
              <w:t>TAK</w:t>
            </w:r>
          </w:p>
        </w:tc>
        <w:tc>
          <w:tcPr>
            <w:tcW w:w="6769" w:type="dxa"/>
            <w:gridSpan w:val="2"/>
          </w:tcPr>
          <w:p w14:paraId="7C2D8815" w14:textId="4D0D041A" w:rsidR="00E10773" w:rsidRPr="00520F9E" w:rsidRDefault="00520F9E" w:rsidP="00520F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prowadzono pogłębionej analizy, jedynie podstawową analizę ryzyka, w której ujęto wymienione powyżej czynniki klimatyczne, stwierdzając marginalne ryzyko, a tym samym brak istotności dla funkcjonowania infrastruktury.</w:t>
            </w:r>
          </w:p>
        </w:tc>
      </w:tr>
      <w:tr w:rsidR="00520F9E" w14:paraId="0949F650" w14:textId="77777777" w:rsidTr="00E10773">
        <w:tc>
          <w:tcPr>
            <w:tcW w:w="4815" w:type="dxa"/>
            <w:gridSpan w:val="2"/>
          </w:tcPr>
          <w:p w14:paraId="6AE3B3CC" w14:textId="77777777" w:rsidR="00520F9E" w:rsidRPr="006C2FD2" w:rsidRDefault="00520F9E" w:rsidP="00520F9E">
            <w:r w:rsidRPr="006C2FD2">
              <w:t>Przyszłe zagrożenia klimatyczne</w:t>
            </w:r>
          </w:p>
        </w:tc>
        <w:tc>
          <w:tcPr>
            <w:tcW w:w="2410" w:type="dxa"/>
          </w:tcPr>
          <w:p w14:paraId="3C757C17" w14:textId="77777777" w:rsidR="00520F9E" w:rsidRPr="006C2FD2" w:rsidRDefault="00520F9E" w:rsidP="00520F9E">
            <w:r w:rsidRPr="006C2FD2">
              <w:t>TAK</w:t>
            </w:r>
          </w:p>
        </w:tc>
        <w:tc>
          <w:tcPr>
            <w:tcW w:w="6769" w:type="dxa"/>
            <w:gridSpan w:val="2"/>
          </w:tcPr>
          <w:p w14:paraId="6933F4F9" w14:textId="31C00EEA" w:rsidR="00520F9E" w:rsidRPr="001D33B0" w:rsidRDefault="00520F9E" w:rsidP="00520F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prowadzono pogłębionej analizy, jedynie podstawową analizę ryzyka, w której ujęto wymienione powyżej czynniki klimatyczne, stwierdzając marginalne ryzyko, a tym samym brak istotności dla funkcjonowania infrastruktury.</w:t>
            </w:r>
          </w:p>
        </w:tc>
      </w:tr>
      <w:tr w:rsidR="00520F9E" w14:paraId="0BAA842A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757B0638" w14:textId="7B6BF31D" w:rsidR="00520F9E" w:rsidRPr="00E7407F" w:rsidRDefault="00520F9E" w:rsidP="00520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3C7F1C">
              <w:rPr>
                <w:b/>
                <w:sz w:val="20"/>
                <w:szCs w:val="20"/>
              </w:rPr>
              <w:t>RADNIKA</w:t>
            </w:r>
          </w:p>
        </w:tc>
      </w:tr>
      <w:tr w:rsidR="00520F9E" w14:paraId="5D3801AD" w14:textId="77777777" w:rsidTr="00C63E3F">
        <w:tc>
          <w:tcPr>
            <w:tcW w:w="13994" w:type="dxa"/>
            <w:gridSpan w:val="5"/>
            <w:shd w:val="clear" w:color="auto" w:fill="auto"/>
          </w:tcPr>
          <w:p w14:paraId="632D558E" w14:textId="20CCBFE0" w:rsidR="00520F9E" w:rsidRPr="00FB363E" w:rsidRDefault="00520F9E" w:rsidP="00520F9E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W ramach SW </w:t>
            </w:r>
            <w:r>
              <w:rPr>
                <w:sz w:val="20"/>
              </w:rPr>
              <w:t>przeprowadzono ogólną analizę</w:t>
            </w:r>
            <w:r w:rsidRPr="001D33B0">
              <w:rPr>
                <w:sz w:val="20"/>
              </w:rPr>
              <w:t xml:space="preserve"> ryzyk</w:t>
            </w:r>
            <w:r>
              <w:rPr>
                <w:sz w:val="20"/>
              </w:rPr>
              <w:t>a, w której ujęto kwestie czynników</w:t>
            </w:r>
            <w:r w:rsidRPr="001D33B0">
              <w:rPr>
                <w:sz w:val="20"/>
              </w:rPr>
              <w:t xml:space="preserve"> klimatycznych</w:t>
            </w:r>
            <w:r>
              <w:rPr>
                <w:sz w:val="20"/>
              </w:rPr>
              <w:t>, lecz nie</w:t>
            </w:r>
            <w:r w:rsidRPr="001D33B0">
              <w:rPr>
                <w:sz w:val="20"/>
              </w:rPr>
              <w:t xml:space="preserve"> była </w:t>
            </w:r>
            <w:r>
              <w:rPr>
                <w:sz w:val="20"/>
              </w:rPr>
              <w:t xml:space="preserve">ona </w:t>
            </w:r>
            <w:r w:rsidRPr="001D33B0">
              <w:rPr>
                <w:sz w:val="20"/>
              </w:rPr>
              <w:t xml:space="preserve">poprzedzona analizą wrażliwości, ekspozycji i podatności na czynniki klimatyczne. </w:t>
            </w:r>
            <w:r>
              <w:rPr>
                <w:sz w:val="20"/>
              </w:rPr>
              <w:t>Dla okresu</w:t>
            </w:r>
            <w:r w:rsidRPr="001D33B0">
              <w:rPr>
                <w:sz w:val="20"/>
              </w:rPr>
              <w:t xml:space="preserve"> eksploatacji </w:t>
            </w:r>
            <w:r>
              <w:rPr>
                <w:sz w:val="20"/>
              </w:rPr>
              <w:t xml:space="preserve">nie </w:t>
            </w:r>
            <w:r w:rsidRPr="001D33B0">
              <w:rPr>
                <w:sz w:val="20"/>
              </w:rPr>
              <w:t xml:space="preserve">wskazano ostatecznie </w:t>
            </w:r>
            <w:r>
              <w:rPr>
                <w:sz w:val="20"/>
              </w:rPr>
              <w:t>żadnego czynnika ryzyka klimatycznego, który mógłby mieć realny wpływ na funkcjonowanie infrastruktury tego typu.</w:t>
            </w:r>
          </w:p>
        </w:tc>
      </w:tr>
      <w:tr w:rsidR="00520F9E" w14:paraId="022BCA8E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8A52290" w14:textId="77777777" w:rsidR="00520F9E" w:rsidRPr="006C2FD2" w:rsidRDefault="00520F9E" w:rsidP="00520F9E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t>ADEKWATNOŚĆ I SKUTECZNOŚĆ ZASTOSOWANYCH ROZWIĄZAŃ ZABEZPIECZAJĄCYCH</w:t>
            </w:r>
          </w:p>
        </w:tc>
      </w:tr>
      <w:tr w:rsidR="00520F9E" w14:paraId="4B15B9DA" w14:textId="77777777" w:rsidTr="00C63E3F">
        <w:tc>
          <w:tcPr>
            <w:tcW w:w="13994" w:type="dxa"/>
            <w:gridSpan w:val="5"/>
          </w:tcPr>
          <w:p w14:paraId="3DDFBB00" w14:textId="69E9C957" w:rsidR="00520F9E" w:rsidRPr="00520F9E" w:rsidRDefault="00520F9E" w:rsidP="00520F9E">
            <w:pPr>
              <w:rPr>
                <w:sz w:val="20"/>
              </w:rPr>
            </w:pPr>
            <w:r w:rsidRPr="00520F9E">
              <w:rPr>
                <w:sz w:val="20"/>
              </w:rPr>
              <w:t>Proponowane opcje adaptacyjne mają przede wszystkich charakter organizacyjny, nie wpływają na zmianę kształtu projektu.</w:t>
            </w:r>
          </w:p>
        </w:tc>
      </w:tr>
      <w:tr w:rsidR="00520F9E" w14:paraId="439C3E8D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1B87CBA5" w14:textId="77777777" w:rsidR="00520F9E" w:rsidRDefault="00520F9E" w:rsidP="00520F9E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520F9E" w:rsidRPr="00F928E8" w14:paraId="31A3856D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C18773F" w14:textId="77777777" w:rsidR="00520F9E" w:rsidRPr="00F928E8" w:rsidRDefault="00520F9E" w:rsidP="00520F9E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520F9E" w14:paraId="71F4E76B" w14:textId="77777777" w:rsidTr="00C63E3F">
        <w:tc>
          <w:tcPr>
            <w:tcW w:w="13994" w:type="dxa"/>
            <w:gridSpan w:val="5"/>
          </w:tcPr>
          <w:p w14:paraId="379F365A" w14:textId="2C7CB1CD" w:rsidR="00520F9E" w:rsidRPr="00FB363E" w:rsidRDefault="00520F9E" w:rsidP="00520F9E">
            <w:r w:rsidRPr="00FB363E">
              <w:t>brak rozwiązań</w:t>
            </w:r>
          </w:p>
        </w:tc>
      </w:tr>
      <w:tr w:rsidR="00520F9E" w:rsidRPr="00F928E8" w14:paraId="64C64EA6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B5EF412" w14:textId="77777777" w:rsidR="00520F9E" w:rsidRPr="00F928E8" w:rsidRDefault="00520F9E" w:rsidP="00520F9E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520F9E" w14:paraId="4439876A" w14:textId="77777777" w:rsidTr="00C63E3F">
        <w:tc>
          <w:tcPr>
            <w:tcW w:w="13994" w:type="dxa"/>
            <w:gridSpan w:val="5"/>
          </w:tcPr>
          <w:p w14:paraId="4BA641DD" w14:textId="46BDDEC9" w:rsidR="00520F9E" w:rsidRPr="00FB363E" w:rsidRDefault="00520F9E" w:rsidP="00520F9E">
            <w:proofErr w:type="spellStart"/>
            <w:r w:rsidRPr="00604C64">
              <w:lastRenderedPageBreak/>
              <w:t>n.d</w:t>
            </w:r>
            <w:proofErr w:type="spellEnd"/>
            <w:r w:rsidRPr="00604C64">
              <w:t>.</w:t>
            </w:r>
          </w:p>
        </w:tc>
      </w:tr>
      <w:tr w:rsidR="00520F9E" w14:paraId="78AD9101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6E0CB5F6" w14:textId="77777777" w:rsidR="00520F9E" w:rsidRDefault="00520F9E" w:rsidP="00520F9E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520F9E" w:rsidRPr="00F928E8" w14:paraId="7562B91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35A0D045" w14:textId="77777777" w:rsidR="00520F9E" w:rsidRPr="00F928E8" w:rsidRDefault="00520F9E" w:rsidP="00520F9E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520F9E" w14:paraId="500D6AC9" w14:textId="77777777" w:rsidTr="00C63E3F">
        <w:tc>
          <w:tcPr>
            <w:tcW w:w="13994" w:type="dxa"/>
            <w:gridSpan w:val="5"/>
          </w:tcPr>
          <w:p w14:paraId="1146468E" w14:textId="7D18B2A3" w:rsidR="00520F9E" w:rsidRDefault="00520F9E" w:rsidP="00520F9E">
            <w:pPr>
              <w:rPr>
                <w:b/>
              </w:rPr>
            </w:pPr>
            <w:r w:rsidRPr="00FB363E">
              <w:t>brak rozwiązań</w:t>
            </w:r>
          </w:p>
        </w:tc>
      </w:tr>
      <w:tr w:rsidR="00520F9E" w:rsidRPr="00F928E8" w14:paraId="32305DE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2DC67983" w14:textId="77777777" w:rsidR="00520F9E" w:rsidRPr="00F928E8" w:rsidRDefault="00520F9E" w:rsidP="00520F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520F9E" w:rsidRPr="00F928E8" w14:paraId="4CFDFBAA" w14:textId="77777777" w:rsidTr="00C63E3F">
        <w:tc>
          <w:tcPr>
            <w:tcW w:w="13994" w:type="dxa"/>
            <w:gridSpan w:val="5"/>
          </w:tcPr>
          <w:p w14:paraId="22FFDE40" w14:textId="378A0D74" w:rsidR="00520F9E" w:rsidRPr="00FB363E" w:rsidRDefault="00520F9E" w:rsidP="00520F9E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</w:tc>
      </w:tr>
      <w:tr w:rsidR="00520F9E" w:rsidRPr="00F928E8" w14:paraId="64DE44F3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6AC8E5C" w14:textId="77777777" w:rsidR="00520F9E" w:rsidRPr="00F928E8" w:rsidRDefault="00520F9E" w:rsidP="00520F9E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520F9E" w14:paraId="43FA918A" w14:textId="77777777" w:rsidTr="00C63E3F">
        <w:tc>
          <w:tcPr>
            <w:tcW w:w="13994" w:type="dxa"/>
            <w:gridSpan w:val="5"/>
          </w:tcPr>
          <w:p w14:paraId="537B806C" w14:textId="4632E6E5" w:rsidR="00520F9E" w:rsidRPr="00FB363E" w:rsidRDefault="00520F9E" w:rsidP="00520F9E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14:paraId="7DFEF16F" w14:textId="77777777"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18940BAD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DE9ACB9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5F4CCDB6" w14:textId="77777777" w:rsidTr="00CC643A">
        <w:tc>
          <w:tcPr>
            <w:tcW w:w="6232" w:type="dxa"/>
            <w:shd w:val="clear" w:color="auto" w:fill="92D050"/>
          </w:tcPr>
          <w:p w14:paraId="0290B6DB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4C39C38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4DBF94B6" w14:textId="77777777" w:rsidTr="00CC643A">
        <w:tc>
          <w:tcPr>
            <w:tcW w:w="6232" w:type="dxa"/>
          </w:tcPr>
          <w:p w14:paraId="207CA6E3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91B0C9B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5783835A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9B8F45E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50B63A9A" w14:textId="77777777" w:rsidTr="00CC643A">
        <w:tc>
          <w:tcPr>
            <w:tcW w:w="6232" w:type="dxa"/>
            <w:shd w:val="clear" w:color="auto" w:fill="92D050"/>
          </w:tcPr>
          <w:p w14:paraId="6B52FF4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6A18B3C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65A8B9F0" w14:textId="77777777" w:rsidTr="00CC643A">
        <w:tc>
          <w:tcPr>
            <w:tcW w:w="6232" w:type="dxa"/>
          </w:tcPr>
          <w:p w14:paraId="79F3073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B6826E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28BD9417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14F2268C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36C1C9BD" w14:textId="77777777" w:rsidTr="00CC643A">
        <w:tc>
          <w:tcPr>
            <w:tcW w:w="13887" w:type="dxa"/>
            <w:gridSpan w:val="2"/>
          </w:tcPr>
          <w:p w14:paraId="0BE6F7EC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0C80BD8C" w14:textId="77777777" w:rsidR="00FB363E" w:rsidRDefault="00FB363E" w:rsidP="00DE2465">
      <w:pPr>
        <w:rPr>
          <w:rFonts w:cstheme="minorHAnsi"/>
          <w:lang w:eastAsia="pl-PL"/>
        </w:rPr>
      </w:pPr>
    </w:p>
    <w:p w14:paraId="1AF81AE2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39D54D60" w14:textId="77777777" w:rsidTr="00320904">
        <w:tc>
          <w:tcPr>
            <w:tcW w:w="3498" w:type="dxa"/>
            <w:shd w:val="clear" w:color="auto" w:fill="A8D08D" w:themeFill="accent6" w:themeFillTint="99"/>
          </w:tcPr>
          <w:p w14:paraId="3B2C11F7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14:paraId="24B9FD9C" w14:textId="77777777"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0E430B16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3D0D146C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63F14F38" w14:textId="77777777" w:rsidTr="008615EE">
        <w:tc>
          <w:tcPr>
            <w:tcW w:w="3498" w:type="dxa"/>
          </w:tcPr>
          <w:p w14:paraId="4706230F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517BBF5B" w14:textId="544EC0DB" w:rsidR="007A4A0C" w:rsidRPr="00FB363E" w:rsidRDefault="00FB363E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368D5C9" w14:textId="77777777" w:rsidR="007A4A0C" w:rsidRPr="00FB363E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7DE3DB0" w14:textId="7A9C8427" w:rsidR="007A4A0C" w:rsidRPr="00FB363E" w:rsidRDefault="00520F9E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14:paraId="2BF710A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3B78FFB8" w14:textId="77777777"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77E27570" w14:textId="77777777" w:rsidTr="00E53715">
        <w:tc>
          <w:tcPr>
            <w:tcW w:w="3498" w:type="dxa"/>
          </w:tcPr>
          <w:p w14:paraId="4046DC9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798870DA" w14:textId="77777777" w:rsidR="00670CF5" w:rsidRPr="00FB363E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FB363E">
              <w:rPr>
                <w:rFonts w:cstheme="minorHAnsi"/>
                <w:lang w:eastAsia="pl-PL"/>
              </w:rPr>
              <w:t>ponoszon</w:t>
            </w:r>
            <w:r w:rsidR="00670CF5" w:rsidRPr="00FB363E">
              <w:rPr>
                <w:rFonts w:cstheme="minorHAnsi"/>
                <w:lang w:eastAsia="pl-PL"/>
              </w:rPr>
              <w:t>ych</w:t>
            </w:r>
            <w:r w:rsidR="0015763D" w:rsidRPr="00FB363E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A0683D" w:rsidRPr="00FB363E">
              <w:rPr>
                <w:rFonts w:cstheme="minorHAnsi"/>
                <w:lang w:eastAsia="pl-PL"/>
              </w:rPr>
              <w:t>.</w:t>
            </w:r>
          </w:p>
          <w:p w14:paraId="025E54A8" w14:textId="31831194" w:rsidR="00A0683D" w:rsidRPr="00FB363E" w:rsidRDefault="00670CF5" w:rsidP="00520F9E">
            <w:pPr>
              <w:jc w:val="both"/>
              <w:rPr>
                <w:rFonts w:cstheme="minorHAnsi"/>
                <w:lang w:eastAsia="pl-PL"/>
              </w:rPr>
            </w:pPr>
            <w:r w:rsidRPr="00FB363E">
              <w:t>Zapewnienie odporności związane jest z doborem odpowiedniej technologii wykonania, (nie są to dodatkowe działania inwestycyjne, które można odrębnie wycenić). W związku z tym nie ma możliwości określenia</w:t>
            </w:r>
            <w:r w:rsidR="00D42B11" w:rsidRPr="00FB363E">
              <w:t>,</w:t>
            </w:r>
            <w:r w:rsidRPr="00FB363E">
              <w:t xml:space="preserve"> jaka część kosztów dotyczy </w:t>
            </w:r>
            <w:r w:rsidRPr="00FB363E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14:paraId="503BC868" w14:textId="77777777" w:rsidTr="008615EE">
        <w:tc>
          <w:tcPr>
            <w:tcW w:w="3498" w:type="dxa"/>
          </w:tcPr>
          <w:p w14:paraId="45C043AC" w14:textId="77777777"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7BF1034F" w14:textId="77777777" w:rsidR="00D42B11" w:rsidRPr="00FB363E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6818E821" w14:textId="77777777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E8E32B3" w14:textId="29D0AB2C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6A587795" w14:textId="77777777" w:rsidTr="00E53715">
        <w:tc>
          <w:tcPr>
            <w:tcW w:w="3498" w:type="dxa"/>
          </w:tcPr>
          <w:p w14:paraId="20840D48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04FE5249" w14:textId="77777777" w:rsidR="0015763D" w:rsidRPr="00FB363E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  <w:r w:rsidR="00670CF5" w:rsidRPr="00FB363E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</w:t>
            </w:r>
            <w:r w:rsidR="00A0683D" w:rsidRPr="00FB363E">
              <w:rPr>
                <w:rFonts w:cstheme="minorHAnsi"/>
                <w:lang w:eastAsia="pl-PL"/>
              </w:rPr>
              <w:t>i lub katastrofami naturalnymi.</w:t>
            </w:r>
          </w:p>
          <w:p w14:paraId="2BA766CE" w14:textId="77777777" w:rsidR="00F1705D" w:rsidRPr="00FB363E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 xml:space="preserve">Analiza przeprowadzona w SW </w:t>
            </w:r>
            <w:r w:rsidR="00670CF5" w:rsidRPr="00FB363E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FB363E">
              <w:rPr>
                <w:rFonts w:cstheme="minorHAnsi"/>
                <w:lang w:eastAsia="pl-PL"/>
              </w:rPr>
              <w:t>jednak</w:t>
            </w:r>
            <w:r w:rsidR="00670CF5" w:rsidRPr="00FB363E">
              <w:rPr>
                <w:rFonts w:cstheme="minorHAnsi"/>
                <w:lang w:eastAsia="pl-PL"/>
              </w:rPr>
              <w:t xml:space="preserve"> nie </w:t>
            </w:r>
            <w:r w:rsidR="00F1705D" w:rsidRPr="00FB363E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  <w:p w14:paraId="501FADB9" w14:textId="354C20FD" w:rsidR="00A0683D" w:rsidRPr="006C2FD2" w:rsidRDefault="00E10773" w:rsidP="00520F9E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Projekt będzie generował ko</w:t>
            </w:r>
            <w:r w:rsidR="00520F9E">
              <w:rPr>
                <w:rFonts w:cstheme="minorHAnsi"/>
                <w:lang w:eastAsia="pl-PL"/>
              </w:rPr>
              <w:t>rzyści</w:t>
            </w:r>
            <w:r>
              <w:rPr>
                <w:rFonts w:cstheme="minorHAnsi"/>
                <w:lang w:eastAsia="pl-PL"/>
              </w:rPr>
              <w:t xml:space="preserve"> związane z wpływem na klimat –</w:t>
            </w:r>
            <w:r w:rsidR="00520F9E">
              <w:rPr>
                <w:rFonts w:cstheme="minorHAnsi"/>
                <w:lang w:eastAsia="pl-PL"/>
              </w:rPr>
              <w:t xml:space="preserve"> redukcja emisji CO</w:t>
            </w:r>
            <w:r w:rsidR="00520F9E" w:rsidRPr="00520F9E">
              <w:rPr>
                <w:rFonts w:cstheme="minorHAnsi"/>
                <w:vertAlign w:val="subscript"/>
                <w:lang w:eastAsia="pl-PL"/>
              </w:rPr>
              <w:t>2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AC3866" w14:paraId="4A3D0BB5" w14:textId="77777777" w:rsidTr="008615EE">
        <w:tc>
          <w:tcPr>
            <w:tcW w:w="3498" w:type="dxa"/>
          </w:tcPr>
          <w:p w14:paraId="5EF0861D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4C55F175" w14:textId="77777777" w:rsidR="00AC3866" w:rsidRPr="00FB363E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81CF710" w14:textId="77777777" w:rsidR="00AC3866" w:rsidRPr="00FB363E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A3EE752" w14:textId="77777777" w:rsidR="00AC3866" w:rsidRPr="00FB363E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75F6C48C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22F6ED35" w14:textId="77777777" w:rsidR="007A4A0C" w:rsidRPr="006C2FD2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1B6E69D6" w14:textId="77777777" w:rsidTr="00E53715">
        <w:tc>
          <w:tcPr>
            <w:tcW w:w="3498" w:type="dxa"/>
          </w:tcPr>
          <w:p w14:paraId="16DF14D7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397D6A93" w14:textId="6141DC59" w:rsidR="00A0683D" w:rsidRPr="00FB363E" w:rsidRDefault="00520F9E" w:rsidP="00E10773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R</w:t>
            </w:r>
            <w:r w:rsidR="009E6801" w:rsidRPr="009E6801">
              <w:rPr>
                <w:rFonts w:cstheme="minorHAnsi"/>
                <w:lang w:eastAsia="pl-PL"/>
              </w:rPr>
              <w:t>edukcja emisji CO</w:t>
            </w:r>
            <w:r w:rsidR="009E6801" w:rsidRPr="00520F9E">
              <w:rPr>
                <w:rFonts w:cstheme="minorHAnsi"/>
                <w:vertAlign w:val="subscript"/>
                <w:lang w:eastAsia="pl-PL"/>
              </w:rPr>
              <w:t>2</w:t>
            </w:r>
            <w:r w:rsidR="009E6801" w:rsidRPr="009E6801">
              <w:rPr>
                <w:rFonts w:cstheme="minorHAnsi"/>
                <w:lang w:eastAsia="pl-PL"/>
              </w:rPr>
              <w:t xml:space="preserve"> wyniesie 34,766 tys. Mg/rok</w:t>
            </w:r>
            <w:r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15763D" w14:paraId="5700C70F" w14:textId="77777777" w:rsidTr="008615EE">
        <w:tc>
          <w:tcPr>
            <w:tcW w:w="3498" w:type="dxa"/>
          </w:tcPr>
          <w:p w14:paraId="75DF07D0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83BA4F0" w14:textId="77777777"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3332DBA" w14:textId="77777777"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0D6E2EA9" w14:textId="37063AD1"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6CBEA3F0" w14:textId="77777777" w:rsidTr="00E53715">
        <w:tc>
          <w:tcPr>
            <w:tcW w:w="3498" w:type="dxa"/>
          </w:tcPr>
          <w:p w14:paraId="53E17718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0BA2BC19" w14:textId="7293B054" w:rsidR="00E10773" w:rsidRPr="00E10773" w:rsidRDefault="00DE2465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7D16BF87" w14:textId="5CC2B665"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14:paraId="7B3E9EF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68A41ECD" w14:textId="4980DFE2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3C7F1C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5B52C67F" w14:textId="77777777" w:rsidTr="00E53715">
        <w:tc>
          <w:tcPr>
            <w:tcW w:w="6996" w:type="dxa"/>
            <w:gridSpan w:val="2"/>
          </w:tcPr>
          <w:p w14:paraId="2C65A401" w14:textId="77777777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5251836B" w14:textId="77777777"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61A39332" w14:textId="26E299D7" w:rsidR="001B3B4D" w:rsidRPr="009E6801" w:rsidRDefault="009E6801" w:rsidP="009E6801">
            <w:pPr>
              <w:jc w:val="both"/>
              <w:rPr>
                <w:rFonts w:cstheme="minorHAnsi"/>
                <w:sz w:val="20"/>
                <w:lang w:eastAsia="pl-PL"/>
              </w:rPr>
            </w:pPr>
            <w:r w:rsidRPr="009E6801">
              <w:rPr>
                <w:rFonts w:cstheme="minorHAnsi"/>
                <w:sz w:val="20"/>
                <w:lang w:eastAsia="pl-PL"/>
              </w:rPr>
              <w:t>Projekt nie jest zaliczany do dużych projektów i stąd ocenę przeprowadzono w spo</w:t>
            </w:r>
            <w:r>
              <w:rPr>
                <w:rFonts w:cstheme="minorHAnsi"/>
                <w:sz w:val="20"/>
                <w:lang w:eastAsia="pl-PL"/>
              </w:rPr>
              <w:t xml:space="preserve">sób uproszczony. Nie wyrażono w </w:t>
            </w:r>
            <w:r w:rsidRPr="009E6801">
              <w:rPr>
                <w:rFonts w:cstheme="minorHAnsi"/>
                <w:sz w:val="20"/>
                <w:lang w:eastAsia="pl-PL"/>
              </w:rPr>
              <w:t>pieniądzu kosztów GHG, gdyż analiza ekonomiczna została przeprowadzona w sposób uproszczony.</w:t>
            </w:r>
            <w:r>
              <w:rPr>
                <w:rFonts w:cstheme="minorHAnsi"/>
                <w:sz w:val="20"/>
                <w:lang w:eastAsia="pl-PL"/>
              </w:rPr>
              <w:t xml:space="preserve"> </w:t>
            </w:r>
          </w:p>
        </w:tc>
      </w:tr>
      <w:tr w:rsidR="001B3B4D" w14:paraId="07A612E6" w14:textId="77777777" w:rsidTr="00E53715">
        <w:tc>
          <w:tcPr>
            <w:tcW w:w="6996" w:type="dxa"/>
            <w:gridSpan w:val="2"/>
          </w:tcPr>
          <w:p w14:paraId="1195CE1B" w14:textId="77777777"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14:paraId="3B109EBA" w14:textId="77777777" w:rsidR="000A33F8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E81B94">
              <w:rPr>
                <w:rFonts w:cstheme="minorHAnsi"/>
                <w:lang w:eastAsia="pl-PL"/>
              </w:rPr>
              <w:t>TAK</w:t>
            </w:r>
          </w:p>
        </w:tc>
      </w:tr>
      <w:tr w:rsidR="001B3B4D" w14:paraId="6DB88EC9" w14:textId="77777777" w:rsidTr="00E53715">
        <w:tc>
          <w:tcPr>
            <w:tcW w:w="6996" w:type="dxa"/>
            <w:gridSpan w:val="2"/>
          </w:tcPr>
          <w:p w14:paraId="092FC66B" w14:textId="249BB2F1"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3C7F1C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14:paraId="08DBA794" w14:textId="77777777"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</w:tbl>
    <w:p w14:paraId="5C4AB3CC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1CFFF819" w14:textId="77777777" w:rsidR="003164B5" w:rsidRPr="003164B5" w:rsidRDefault="003164B5" w:rsidP="003164B5">
      <w:pPr>
        <w:suppressAutoHyphens/>
        <w:rPr>
          <w:rFonts w:ascii="Calibri" w:eastAsia="SimSun" w:hAnsi="Calibri" w:cs="Calibri"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IDENTYFIKACJA DOBRYCH PRAKTYK</w:t>
      </w:r>
    </w:p>
    <w:p w14:paraId="22DD9247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Calibri"/>
          <w:lang w:eastAsia="ar-SA"/>
        </w:rPr>
        <w:t xml:space="preserve">NIE ZIDENTYFIKOWANO </w:t>
      </w:r>
    </w:p>
    <w:p w14:paraId="2941744D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CZYNNIKI OGRANICZAJĄCE ZASTOSOWANIE PORODNIKA PRZEZ BENEFICJENTÓW</w:t>
      </w:r>
    </w:p>
    <w:p w14:paraId="4F1784E4" w14:textId="77777777" w:rsidR="003164B5" w:rsidRPr="003164B5" w:rsidRDefault="003164B5" w:rsidP="003164B5">
      <w:pPr>
        <w:suppressAutoHyphens/>
        <w:rPr>
          <w:rFonts w:ascii="Calibri" w:eastAsia="SimSun" w:hAnsi="Calibri" w:cs="font429"/>
          <w:i/>
          <w:color w:val="4472C4"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lastRenderedPageBreak/>
        <w:t>(na podstawie TDI)</w:t>
      </w:r>
    </w:p>
    <w:p w14:paraId="66089D73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font429"/>
          <w:i/>
          <w:color w:val="800000"/>
          <w:lang w:eastAsia="ar-SA"/>
        </w:rPr>
        <w:t xml:space="preserve">Beneficjent ze względu na to, że jest on wskazany we wniosku o dofinansowanie korzystał z „Poradnika...” ale w ograniczonym stopniu. Zdaniem Beneficjenta „Poradnik...”  jest napisany w sposób mało przejrzysty. </w:t>
      </w:r>
    </w:p>
    <w:p w14:paraId="738D2AC0" w14:textId="77777777" w:rsidR="003164B5" w:rsidRPr="003164B5" w:rsidRDefault="003164B5" w:rsidP="003164B5">
      <w:pPr>
        <w:suppressAutoHyphens/>
        <w:rPr>
          <w:rFonts w:ascii="Calibri" w:eastAsia="SimSun" w:hAnsi="Calibri" w:cs="font429"/>
          <w:i/>
          <w:color w:val="4472C4"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INNE MATERIAŁY WYKORZYSTYWANE NA ETAPIE PRZYGOTOWANIA PROJEKTÓW</w:t>
      </w:r>
    </w:p>
    <w:p w14:paraId="75AD3F37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font429"/>
          <w:i/>
          <w:color w:val="800000"/>
          <w:lang w:eastAsia="ar-SA"/>
        </w:rPr>
        <w:t xml:space="preserve">Zdaniem Beneficjenta ze względu na charakter projektu, zmiany klimatu w znikomym stopniu wpływają na </w:t>
      </w:r>
      <w:proofErr w:type="spellStart"/>
      <w:r w:rsidRPr="003164B5">
        <w:rPr>
          <w:rFonts w:ascii="Calibri" w:eastAsia="SimSun" w:hAnsi="Calibri" w:cs="font429"/>
          <w:i/>
          <w:color w:val="800000"/>
          <w:lang w:eastAsia="ar-SA"/>
        </w:rPr>
        <w:t>reliazację</w:t>
      </w:r>
      <w:proofErr w:type="spellEnd"/>
      <w:r w:rsidRPr="003164B5">
        <w:rPr>
          <w:rFonts w:ascii="Calibri" w:eastAsia="SimSun" w:hAnsi="Calibri" w:cs="font429"/>
          <w:i/>
          <w:color w:val="800000"/>
          <w:lang w:eastAsia="ar-SA"/>
        </w:rPr>
        <w:t xml:space="preserve"> projektu. Beneficjent podpierał się SPA 2020.</w:t>
      </w:r>
    </w:p>
    <w:p w14:paraId="125F058A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CZYNNIKI OGRANICZAJĄCE ZASTOSOWANIE ROZWIĄZAŃ ZWIĄZANYCH ZE ZMIANAMI KLIMATU, ICH ŁAGODZENIEM I PRZYSTOSOWANIEM DO TYCH ZMIAN ORAZ ODPORNOŚCI NA KLĘSKI ŻYWIOŁOWE</w:t>
      </w:r>
    </w:p>
    <w:p w14:paraId="6264299E" w14:textId="77777777" w:rsidR="003164B5" w:rsidRPr="003164B5" w:rsidRDefault="003164B5" w:rsidP="003164B5">
      <w:pPr>
        <w:suppressAutoHyphens/>
        <w:rPr>
          <w:rFonts w:ascii="Calibri" w:eastAsia="SimSun" w:hAnsi="Calibri" w:cs="font429"/>
          <w:color w:val="4472C4"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(na podstawie TDI)</w:t>
      </w:r>
    </w:p>
    <w:p w14:paraId="047A8052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Calibri"/>
          <w:color w:val="800000"/>
          <w:lang w:eastAsia="ar-SA"/>
        </w:rPr>
        <w:t>Nie napotkali trudności.</w:t>
      </w:r>
    </w:p>
    <w:p w14:paraId="6A996FC7" w14:textId="77777777" w:rsidR="003164B5" w:rsidRPr="003164B5" w:rsidRDefault="003164B5" w:rsidP="003164B5">
      <w:pPr>
        <w:suppressAutoHyphens/>
        <w:rPr>
          <w:rFonts w:ascii="Calibri" w:eastAsia="SimSun" w:hAnsi="Calibri" w:cs="font429"/>
          <w:b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ZAKRES OPCJI KLIMATYCZNYCH STOSOWANYCH W PROJEKTACH FINANSOWANYCH Z INNYCH ŹRÓDEŁ</w:t>
      </w:r>
    </w:p>
    <w:p w14:paraId="1B6202A8" w14:textId="77777777" w:rsidR="003164B5" w:rsidRPr="003164B5" w:rsidRDefault="003164B5" w:rsidP="003164B5">
      <w:pPr>
        <w:suppressAutoHyphens/>
        <w:rPr>
          <w:rFonts w:ascii="Calibri" w:eastAsia="SimSun" w:hAnsi="Calibri" w:cs="Calibri"/>
          <w:color w:val="0070C0"/>
          <w:lang w:eastAsia="ar-SA"/>
        </w:rPr>
      </w:pPr>
      <w:r w:rsidRPr="003164B5">
        <w:rPr>
          <w:rFonts w:ascii="Calibri" w:eastAsia="SimSun" w:hAnsi="Calibri" w:cs="font429"/>
          <w:b/>
          <w:lang w:eastAsia="ar-SA"/>
        </w:rPr>
        <w:t>(na podstawie TDI)</w:t>
      </w:r>
    </w:p>
    <w:p w14:paraId="726D696D" w14:textId="3D891E66" w:rsidR="003164B5" w:rsidRPr="003164B5" w:rsidRDefault="003164B5" w:rsidP="003164B5">
      <w:pPr>
        <w:suppressAutoHyphens/>
        <w:spacing w:before="120" w:after="120" w:line="276" w:lineRule="auto"/>
        <w:jc w:val="both"/>
        <w:rPr>
          <w:rFonts w:ascii="Calibri" w:eastAsia="SimSun" w:hAnsi="Calibri" w:cs="Calibri"/>
          <w:color w:val="FF0000"/>
          <w:lang w:eastAsia="ar-SA"/>
        </w:rPr>
      </w:pPr>
      <w:r w:rsidRPr="003164B5">
        <w:rPr>
          <w:rFonts w:ascii="Calibri" w:eastAsia="SimSun" w:hAnsi="Calibri" w:cs="Calibri"/>
          <w:color w:val="800000"/>
          <w:lang w:eastAsia="ar-SA"/>
        </w:rPr>
        <w:t xml:space="preserve">Nie. Beneficjent realizuje głównie dwa typy projektów m.in. modernizacje sieci ciepłowniczych. </w:t>
      </w:r>
      <w:r w:rsidR="003C7F1C" w:rsidRPr="003164B5">
        <w:rPr>
          <w:rFonts w:ascii="Calibri" w:eastAsia="SimSun" w:hAnsi="Calibri" w:cs="Calibri"/>
          <w:color w:val="800000"/>
          <w:lang w:eastAsia="ar-SA"/>
        </w:rPr>
        <w:t>Projekty</w:t>
      </w:r>
      <w:r w:rsidRPr="003164B5">
        <w:rPr>
          <w:rFonts w:ascii="Calibri" w:eastAsia="SimSun" w:hAnsi="Calibri" w:cs="Calibri"/>
          <w:color w:val="800000"/>
          <w:lang w:eastAsia="ar-SA"/>
        </w:rPr>
        <w:t xml:space="preserve"> nie różnią się znacząco od tego projektu.</w:t>
      </w:r>
    </w:p>
    <w:p w14:paraId="186B105E" w14:textId="07A6971D" w:rsidR="000A33F8" w:rsidRPr="000A33F8" w:rsidRDefault="000A33F8" w:rsidP="003164B5">
      <w:pPr>
        <w:rPr>
          <w:rFonts w:cstheme="minorHAnsi"/>
          <w:color w:val="FF0000"/>
          <w:lang w:eastAsia="pl-PL"/>
        </w:rPr>
      </w:pPr>
      <w:bookmarkStart w:id="0" w:name="_GoBack"/>
      <w:bookmarkEnd w:id="0"/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143F3" w14:textId="77777777" w:rsidR="001A3237" w:rsidRDefault="001A3237" w:rsidP="00C63E3F">
      <w:pPr>
        <w:spacing w:after="0" w:line="240" w:lineRule="auto"/>
      </w:pPr>
      <w:r>
        <w:separator/>
      </w:r>
    </w:p>
  </w:endnote>
  <w:endnote w:type="continuationSeparator" w:id="0">
    <w:p w14:paraId="61FE2A9F" w14:textId="77777777" w:rsidR="001A3237" w:rsidRDefault="001A3237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9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DFEA4" w14:textId="77777777" w:rsidR="001A3237" w:rsidRDefault="001A3237" w:rsidP="00C63E3F">
      <w:pPr>
        <w:spacing w:after="0" w:line="240" w:lineRule="auto"/>
      </w:pPr>
      <w:r>
        <w:separator/>
      </w:r>
    </w:p>
  </w:footnote>
  <w:footnote w:type="continuationSeparator" w:id="0">
    <w:p w14:paraId="476D41EE" w14:textId="77777777" w:rsidR="001A3237" w:rsidRDefault="001A3237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3B74"/>
    <w:multiLevelType w:val="hybridMultilevel"/>
    <w:tmpl w:val="1C24F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0FB0"/>
    <w:multiLevelType w:val="hybridMultilevel"/>
    <w:tmpl w:val="2D18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059D"/>
    <w:multiLevelType w:val="hybridMultilevel"/>
    <w:tmpl w:val="0A82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7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82C38"/>
    <w:multiLevelType w:val="hybridMultilevel"/>
    <w:tmpl w:val="4336B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4331"/>
    <w:multiLevelType w:val="hybridMultilevel"/>
    <w:tmpl w:val="DC3EB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3"/>
  </w:num>
  <w:num w:numId="5">
    <w:abstractNumId w:val="16"/>
  </w:num>
  <w:num w:numId="6">
    <w:abstractNumId w:val="9"/>
  </w:num>
  <w:num w:numId="7">
    <w:abstractNumId w:val="7"/>
  </w:num>
  <w:num w:numId="8">
    <w:abstractNumId w:val="14"/>
  </w:num>
  <w:num w:numId="9">
    <w:abstractNumId w:val="17"/>
  </w:num>
  <w:num w:numId="10">
    <w:abstractNumId w:val="5"/>
  </w:num>
  <w:num w:numId="11">
    <w:abstractNumId w:val="8"/>
  </w:num>
  <w:num w:numId="12">
    <w:abstractNumId w:val="3"/>
  </w:num>
  <w:num w:numId="13">
    <w:abstractNumId w:val="15"/>
  </w:num>
  <w:num w:numId="14">
    <w:abstractNumId w:val="12"/>
  </w:num>
  <w:num w:numId="15">
    <w:abstractNumId w:val="18"/>
  </w:num>
  <w:num w:numId="16">
    <w:abstractNumId w:val="4"/>
  </w:num>
  <w:num w:numId="17">
    <w:abstractNumId w:val="10"/>
  </w:num>
  <w:num w:numId="18">
    <w:abstractNumId w:val="1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2738B"/>
    <w:rsid w:val="00062CE1"/>
    <w:rsid w:val="00067970"/>
    <w:rsid w:val="00092AE3"/>
    <w:rsid w:val="000A33F8"/>
    <w:rsid w:val="000D411A"/>
    <w:rsid w:val="0015532E"/>
    <w:rsid w:val="0015763D"/>
    <w:rsid w:val="00183CA1"/>
    <w:rsid w:val="001A0D0D"/>
    <w:rsid w:val="001A3237"/>
    <w:rsid w:val="001B0C97"/>
    <w:rsid w:val="001B3B4D"/>
    <w:rsid w:val="001B3E52"/>
    <w:rsid w:val="001D33B0"/>
    <w:rsid w:val="00230E7E"/>
    <w:rsid w:val="0026792C"/>
    <w:rsid w:val="002E49B9"/>
    <w:rsid w:val="002F6113"/>
    <w:rsid w:val="003074CB"/>
    <w:rsid w:val="003164B5"/>
    <w:rsid w:val="00320904"/>
    <w:rsid w:val="003272F3"/>
    <w:rsid w:val="003719E6"/>
    <w:rsid w:val="0038570D"/>
    <w:rsid w:val="003C7F1C"/>
    <w:rsid w:val="003E39F7"/>
    <w:rsid w:val="004002EE"/>
    <w:rsid w:val="0044652E"/>
    <w:rsid w:val="00457898"/>
    <w:rsid w:val="004662BE"/>
    <w:rsid w:val="0048086C"/>
    <w:rsid w:val="00482AFF"/>
    <w:rsid w:val="004D43D1"/>
    <w:rsid w:val="004E4D11"/>
    <w:rsid w:val="00520F9E"/>
    <w:rsid w:val="0056579D"/>
    <w:rsid w:val="0059040C"/>
    <w:rsid w:val="00600253"/>
    <w:rsid w:val="00604C64"/>
    <w:rsid w:val="00670CF5"/>
    <w:rsid w:val="00675B8E"/>
    <w:rsid w:val="0069281D"/>
    <w:rsid w:val="006A0215"/>
    <w:rsid w:val="006C2FD2"/>
    <w:rsid w:val="006C44ED"/>
    <w:rsid w:val="006D16D5"/>
    <w:rsid w:val="006D6EC3"/>
    <w:rsid w:val="006E3C60"/>
    <w:rsid w:val="00720636"/>
    <w:rsid w:val="007228C7"/>
    <w:rsid w:val="007A4A0C"/>
    <w:rsid w:val="007B08A4"/>
    <w:rsid w:val="0080161A"/>
    <w:rsid w:val="008155B8"/>
    <w:rsid w:val="0081711D"/>
    <w:rsid w:val="008615EE"/>
    <w:rsid w:val="00862552"/>
    <w:rsid w:val="0091713A"/>
    <w:rsid w:val="00924DDE"/>
    <w:rsid w:val="009E6801"/>
    <w:rsid w:val="009F7893"/>
    <w:rsid w:val="00A0683D"/>
    <w:rsid w:val="00A34900"/>
    <w:rsid w:val="00AB21A8"/>
    <w:rsid w:val="00AC3866"/>
    <w:rsid w:val="00AD1DC5"/>
    <w:rsid w:val="00B50451"/>
    <w:rsid w:val="00B95F15"/>
    <w:rsid w:val="00BA2D24"/>
    <w:rsid w:val="00C22E4F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E2465"/>
    <w:rsid w:val="00DF55C9"/>
    <w:rsid w:val="00E10773"/>
    <w:rsid w:val="00E20452"/>
    <w:rsid w:val="00E53715"/>
    <w:rsid w:val="00E7407F"/>
    <w:rsid w:val="00E81B94"/>
    <w:rsid w:val="00EE5091"/>
    <w:rsid w:val="00F0160C"/>
    <w:rsid w:val="00F1705D"/>
    <w:rsid w:val="00F928BA"/>
    <w:rsid w:val="00F928E8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10C1"/>
  <w15:chartTrackingRefBased/>
  <w15:docId w15:val="{503DBE42-6AB2-41E0-AB12-A8A14155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  <w:style w:type="character" w:styleId="Odwoaniedokomentarza">
    <w:name w:val="annotation reference"/>
    <w:basedOn w:val="Domylnaczcionkaakapitu"/>
    <w:uiPriority w:val="99"/>
    <w:semiHidden/>
    <w:unhideWhenUsed/>
    <w:rsid w:val="00A06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83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3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3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3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4</cp:revision>
  <dcterms:created xsi:type="dcterms:W3CDTF">2018-10-12T12:34:00Z</dcterms:created>
  <dcterms:modified xsi:type="dcterms:W3CDTF">2018-11-16T00:07:00Z</dcterms:modified>
</cp:coreProperties>
</file>