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79D" w:rsidRPr="00DE2465" w:rsidRDefault="0056579D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:rsidR="0056579D" w:rsidRPr="00042A66" w:rsidRDefault="0056579D" w:rsidP="00230E7E">
      <w:pPr>
        <w:rPr>
          <w:rFonts w:ascii="Calibri" w:eastAsia="Times New Roman" w:hAnsi="Calibri" w:cs="Times New Roman"/>
          <w:b/>
          <w:color w:val="000000"/>
          <w:lang w:eastAsia="pl-PL"/>
        </w:rPr>
      </w:pPr>
      <w:r w:rsidRPr="00042A66">
        <w:rPr>
          <w:b/>
        </w:rPr>
        <w:t>Działanie:</w:t>
      </w:r>
      <w:r w:rsidR="00042A66" w:rsidRPr="00042A66">
        <w:rPr>
          <w:b/>
        </w:rPr>
        <w:t xml:space="preserve"> </w:t>
      </w:r>
      <w:r w:rsidR="00042A66" w:rsidRPr="00042A66">
        <w:rPr>
          <w:rFonts w:ascii="Calibri" w:eastAsia="Times New Roman" w:hAnsi="Calibri" w:cs="Times New Roman"/>
          <w:b/>
          <w:color w:val="000000"/>
          <w:lang w:eastAsia="pl-PL"/>
        </w:rPr>
        <w:t>2.2. Gospodarka odpadami komunalnymi</w:t>
      </w:r>
    </w:p>
    <w:p w:rsidR="0056579D" w:rsidRPr="00042A66" w:rsidRDefault="0056579D" w:rsidP="00230E7E">
      <w:pPr>
        <w:rPr>
          <w:rFonts w:ascii="Calibri" w:eastAsia="Times New Roman" w:hAnsi="Calibri" w:cs="Times New Roman"/>
          <w:b/>
          <w:color w:val="000000"/>
          <w:lang w:eastAsia="pl-PL"/>
        </w:rPr>
      </w:pPr>
      <w:r w:rsidRPr="00042A66">
        <w:rPr>
          <w:b/>
        </w:rPr>
        <w:t>Nazwa projektu:</w:t>
      </w:r>
      <w:r w:rsidR="00021455" w:rsidRPr="00042A66">
        <w:rPr>
          <w:b/>
        </w:rPr>
        <w:t xml:space="preserve"> </w:t>
      </w:r>
      <w:r w:rsidR="00021455" w:rsidRPr="00042A66">
        <w:rPr>
          <w:rFonts w:ascii="Calibri" w:eastAsia="Times New Roman" w:hAnsi="Calibri" w:cs="Times New Roman"/>
          <w:b/>
          <w:color w:val="000000"/>
          <w:lang w:eastAsia="pl-PL"/>
        </w:rPr>
        <w:t>Budowa zakładu termicznego przekształcania odpadów komunalnych w Gdańsku</w:t>
      </w:r>
    </w:p>
    <w:p w:rsidR="00163B69" w:rsidRPr="00042A66" w:rsidRDefault="00163B69" w:rsidP="00230E7E">
      <w:pPr>
        <w:rPr>
          <w:rFonts w:ascii="Calibri" w:eastAsia="Times New Roman" w:hAnsi="Calibri" w:cs="Times New Roman"/>
          <w:b/>
          <w:color w:val="000000"/>
          <w:lang w:eastAsia="pl-PL"/>
        </w:rPr>
      </w:pPr>
      <w:r w:rsidRPr="00042A66">
        <w:rPr>
          <w:b/>
        </w:rPr>
        <w:t>Numer projektu:</w:t>
      </w:r>
      <w:r w:rsidR="00021455" w:rsidRPr="00042A66">
        <w:rPr>
          <w:b/>
        </w:rPr>
        <w:t xml:space="preserve"> </w:t>
      </w:r>
      <w:r w:rsidR="00021455" w:rsidRPr="00042A66">
        <w:rPr>
          <w:rFonts w:ascii="Calibri" w:eastAsia="Times New Roman" w:hAnsi="Calibri" w:cs="Times New Roman"/>
          <w:b/>
          <w:color w:val="000000"/>
          <w:lang w:eastAsia="pl-PL"/>
        </w:rPr>
        <w:t>POIS.02.02.00-00-0029/16</w:t>
      </w:r>
    </w:p>
    <w:p w:rsidR="0056579D" w:rsidRPr="00042A66" w:rsidRDefault="0056579D" w:rsidP="00230E7E">
      <w:pPr>
        <w:rPr>
          <w:rFonts w:ascii="Calibri" w:eastAsia="Times New Roman" w:hAnsi="Calibri" w:cs="Times New Roman"/>
          <w:b/>
          <w:color w:val="000000"/>
          <w:lang w:eastAsia="pl-PL"/>
        </w:rPr>
      </w:pPr>
      <w:r w:rsidRPr="00042A66">
        <w:rPr>
          <w:b/>
        </w:rPr>
        <w:t>Beneficjent:</w:t>
      </w:r>
      <w:r w:rsidR="00042A66" w:rsidRPr="00042A66">
        <w:rPr>
          <w:b/>
        </w:rPr>
        <w:t xml:space="preserve"> </w:t>
      </w:r>
      <w:r w:rsidR="00042A66" w:rsidRPr="00042A66">
        <w:rPr>
          <w:rFonts w:ascii="Calibri" w:eastAsia="Times New Roman" w:hAnsi="Calibri" w:cs="Times New Roman"/>
          <w:b/>
          <w:color w:val="000000"/>
          <w:lang w:eastAsia="pl-PL"/>
        </w:rPr>
        <w:t>PORT CZYSTEJ ENERGII SPÓŁKA Z OGRANICZONĄ ODPOWIEDZIALNOŚCIĄ</w:t>
      </w:r>
    </w:p>
    <w:p w:rsidR="0056579D" w:rsidRPr="00042A66" w:rsidRDefault="0056579D" w:rsidP="00230E7E">
      <w:pPr>
        <w:rPr>
          <w:rFonts w:ascii="Calibri" w:eastAsia="Times New Roman" w:hAnsi="Calibri" w:cs="Times New Roman"/>
          <w:b/>
          <w:color w:val="000000"/>
          <w:lang w:eastAsia="pl-PL"/>
        </w:rPr>
      </w:pPr>
      <w:r w:rsidRPr="00042A66">
        <w:rPr>
          <w:b/>
        </w:rPr>
        <w:t>Wartość projektu:</w:t>
      </w:r>
      <w:r w:rsidR="00042A66" w:rsidRPr="00042A66">
        <w:rPr>
          <w:b/>
        </w:rPr>
        <w:t xml:space="preserve"> </w:t>
      </w:r>
      <w:r w:rsidR="00042A66" w:rsidRPr="00042A66">
        <w:rPr>
          <w:rFonts w:ascii="Calibri" w:eastAsia="Times New Roman" w:hAnsi="Calibri" w:cs="Times New Roman"/>
          <w:b/>
          <w:color w:val="000000"/>
          <w:lang w:eastAsia="pl-PL"/>
        </w:rPr>
        <w:t>643 580 738,47 PLN</w:t>
      </w:r>
    </w:p>
    <w:p w:rsidR="0056579D" w:rsidRPr="00042A66" w:rsidRDefault="0056579D" w:rsidP="00230E7E">
      <w:pPr>
        <w:rPr>
          <w:rFonts w:ascii="Calibri" w:eastAsia="Times New Roman" w:hAnsi="Calibri" w:cs="Times New Roman"/>
          <w:color w:val="000000"/>
          <w:lang w:eastAsia="pl-PL"/>
        </w:rPr>
      </w:pPr>
      <w:r w:rsidRPr="00042A66">
        <w:rPr>
          <w:b/>
        </w:rPr>
        <w:t>Krótki opis:</w:t>
      </w:r>
      <w:r w:rsidR="00021455" w:rsidRPr="00042A66">
        <w:rPr>
          <w:b/>
        </w:rPr>
        <w:t xml:space="preserve"> </w:t>
      </w:r>
      <w:r w:rsidR="00021455" w:rsidRPr="00042A66">
        <w:rPr>
          <w:rFonts w:ascii="Calibri" w:eastAsia="Times New Roman" w:hAnsi="Calibri" w:cs="Times New Roman"/>
          <w:color w:val="000000"/>
          <w:lang w:eastAsia="pl-PL"/>
        </w:rPr>
        <w:t>Przedsięwzięcie obejmuje budowę nowego zakładu termicznego przekształcania odpadów (ZTPO) o przepustowości nominalnej 160 000 Mg/rok przy wartości opałowej 11 MJ/kg.</w:t>
      </w:r>
    </w:p>
    <w:p w:rsidR="0056579D" w:rsidRDefault="00230E7E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38"/>
        <w:gridCol w:w="1588"/>
        <w:gridCol w:w="3345"/>
        <w:gridCol w:w="1849"/>
        <w:gridCol w:w="5274"/>
      </w:tblGrid>
      <w:tr w:rsidR="006D6EC3" w:rsidTr="00866F5D">
        <w:tc>
          <w:tcPr>
            <w:tcW w:w="13994" w:type="dxa"/>
            <w:gridSpan w:val="5"/>
            <w:shd w:val="clear" w:color="auto" w:fill="4472C4" w:themeFill="accent1"/>
          </w:tcPr>
          <w:p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:rsidTr="00866F5D">
        <w:tc>
          <w:tcPr>
            <w:tcW w:w="1938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1588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3345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849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5274" w:type="dxa"/>
            <w:shd w:val="clear" w:color="auto" w:fill="00B0F0"/>
          </w:tcPr>
          <w:p w:rsidR="006D6EC3" w:rsidRPr="004D43D1" w:rsidRDefault="00F928E8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ZAPROPONOWANE</w:t>
            </w:r>
            <w:r w:rsidR="006D6EC3" w:rsidRPr="004D43D1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Stopniowy wzrost temperatury powietrza (np. dłuższe okresy oscylowania temperatury w okolicach O st. C) i związane z nimi niekorzystne zjawiska (np. oblodzenie).</w:t>
            </w:r>
          </w:p>
        </w:tc>
        <w:tc>
          <w:tcPr>
            <w:tcW w:w="1588" w:type="dxa"/>
          </w:tcPr>
          <w:p w:rsidR="006D6EC3" w:rsidRPr="00517853" w:rsidRDefault="00517853" w:rsidP="006D6EC3">
            <w:pPr>
              <w:rPr>
                <w:sz w:val="20"/>
                <w:szCs w:val="20"/>
              </w:rPr>
            </w:pPr>
            <w:r w:rsidRPr="00517853">
              <w:rPr>
                <w:sz w:val="20"/>
                <w:szCs w:val="20"/>
              </w:rPr>
              <w:t>TAK</w:t>
            </w:r>
          </w:p>
        </w:tc>
        <w:tc>
          <w:tcPr>
            <w:tcW w:w="3345" w:type="dxa"/>
          </w:tcPr>
          <w:p w:rsidR="00517853" w:rsidRPr="00517853" w:rsidRDefault="00517853" w:rsidP="00517853">
            <w:pPr>
              <w:rPr>
                <w:sz w:val="20"/>
                <w:szCs w:val="20"/>
              </w:rPr>
            </w:pPr>
            <w:r w:rsidRPr="00517853">
              <w:rPr>
                <w:sz w:val="20"/>
                <w:szCs w:val="20"/>
              </w:rPr>
              <w:t>częste występowanie temperatur zbliżonych do zera stopni i związane z tym cykliczne zamarzanie i</w:t>
            </w:r>
          </w:p>
          <w:p w:rsidR="006D6EC3" w:rsidRPr="00866F5D" w:rsidRDefault="00517853" w:rsidP="00517853">
            <w:pPr>
              <w:rPr>
                <w:i/>
                <w:color w:val="0070C0"/>
                <w:sz w:val="20"/>
                <w:szCs w:val="20"/>
              </w:rPr>
            </w:pPr>
            <w:r w:rsidRPr="00517853">
              <w:rPr>
                <w:sz w:val="20"/>
                <w:szCs w:val="20"/>
              </w:rPr>
              <w:t>odmarzanie elementów</w:t>
            </w:r>
          </w:p>
        </w:tc>
        <w:tc>
          <w:tcPr>
            <w:tcW w:w="1849" w:type="dxa"/>
          </w:tcPr>
          <w:p w:rsidR="006D6EC3" w:rsidRPr="00517853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Default="007535C7" w:rsidP="00C3639E">
            <w:r w:rsidRPr="00517853">
              <w:t xml:space="preserve">zostaną </w:t>
            </w:r>
            <w:r w:rsidR="001660A1" w:rsidRPr="00517853">
              <w:t>zastosowane najwyższej jakości materiały budowlane oraz standardowe rozwiązania projektowe</w:t>
            </w:r>
          </w:p>
          <w:p w:rsidR="007535C7" w:rsidRDefault="007535C7" w:rsidP="006D6EC3"/>
          <w:p w:rsidR="007535C7" w:rsidRPr="00866F5D" w:rsidRDefault="007535C7" w:rsidP="007535C7">
            <w:pPr>
              <w:rPr>
                <w:i/>
                <w:color w:val="0070C0"/>
                <w:sz w:val="20"/>
                <w:szCs w:val="20"/>
              </w:rPr>
            </w:pP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Ekstremalny wzrost temperatury i związane z nimi zjawiska (np. fale </w:t>
            </w:r>
            <w:r w:rsidRPr="00F928E8">
              <w:rPr>
                <w:sz w:val="20"/>
                <w:szCs w:val="20"/>
              </w:rPr>
              <w:lastRenderedPageBreak/>
              <w:t>upałów, pożary, miejskie wyspy ciepła)</w:t>
            </w:r>
          </w:p>
        </w:tc>
        <w:tc>
          <w:tcPr>
            <w:tcW w:w="1588" w:type="dxa"/>
          </w:tcPr>
          <w:p w:rsidR="006D6EC3" w:rsidRPr="00F928E8" w:rsidRDefault="0051785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3345" w:type="dxa"/>
          </w:tcPr>
          <w:p w:rsidR="00517853" w:rsidRDefault="00517853" w:rsidP="00517853">
            <w:pPr>
              <w:rPr>
                <w:sz w:val="20"/>
                <w:szCs w:val="20"/>
              </w:rPr>
            </w:pPr>
            <w:r w:rsidRPr="00517853">
              <w:rPr>
                <w:sz w:val="20"/>
                <w:szCs w:val="20"/>
              </w:rPr>
              <w:t>występowanie wyższych temperatur (latem i zimą)</w:t>
            </w:r>
          </w:p>
          <w:p w:rsidR="007535C7" w:rsidRPr="00C3639E" w:rsidRDefault="00C3639E" w:rsidP="005178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7535C7" w:rsidRPr="00C3639E">
              <w:rPr>
                <w:sz w:val="20"/>
                <w:szCs w:val="20"/>
              </w:rPr>
              <w:t>kstremalny wzrost temperatury</w:t>
            </w:r>
          </w:p>
          <w:p w:rsidR="007535C7" w:rsidRPr="00C3639E" w:rsidRDefault="007535C7" w:rsidP="00517853">
            <w:pPr>
              <w:rPr>
                <w:sz w:val="20"/>
                <w:szCs w:val="20"/>
              </w:rPr>
            </w:pPr>
          </w:p>
          <w:p w:rsidR="007535C7" w:rsidRPr="00517853" w:rsidRDefault="007535C7" w:rsidP="007535C7">
            <w:pPr>
              <w:rPr>
                <w:sz w:val="20"/>
                <w:szCs w:val="20"/>
              </w:rPr>
            </w:pPr>
          </w:p>
          <w:p w:rsidR="006D6EC3" w:rsidRPr="00517853" w:rsidRDefault="006D6EC3" w:rsidP="0051785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F928E8" w:rsidRDefault="0051785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wzrost temperatury</w:t>
            </w:r>
            <w:r w:rsidR="001660A1">
              <w:rPr>
                <w:sz w:val="20"/>
                <w:szCs w:val="20"/>
              </w:rPr>
              <w:t xml:space="preserve"> - pożar</w:t>
            </w:r>
          </w:p>
        </w:tc>
        <w:tc>
          <w:tcPr>
            <w:tcW w:w="5274" w:type="dxa"/>
          </w:tcPr>
          <w:p w:rsidR="006D6EC3" w:rsidRDefault="00C3639E" w:rsidP="00C3639E">
            <w:r w:rsidRPr="00517853">
              <w:t xml:space="preserve">zostaną </w:t>
            </w:r>
            <w:r w:rsidR="001660A1" w:rsidRPr="00517853">
              <w:t>zastosowane najwyższej jakości materiały budowlane oraz standardowe rozwiązania projektowe</w:t>
            </w:r>
            <w:r>
              <w:t xml:space="preserve"> a ponadto: </w:t>
            </w:r>
          </w:p>
          <w:p w:rsidR="00C3639E" w:rsidRDefault="007535C7" w:rsidP="00C3639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3639E">
              <w:rPr>
                <w:sz w:val="20"/>
                <w:szCs w:val="20"/>
              </w:rPr>
              <w:lastRenderedPageBreak/>
              <w:t>zapewnienie skompensowanego s</w:t>
            </w:r>
            <w:r w:rsidR="00C3639E">
              <w:rPr>
                <w:sz w:val="20"/>
                <w:szCs w:val="20"/>
              </w:rPr>
              <w:t>ystemu naciągów w linii nośnej i</w:t>
            </w:r>
            <w:r w:rsidRPr="00C3639E">
              <w:rPr>
                <w:sz w:val="20"/>
                <w:szCs w:val="20"/>
              </w:rPr>
              <w:t xml:space="preserve"> przewodach elektrycz</w:t>
            </w:r>
            <w:r w:rsidR="00C3639E">
              <w:rPr>
                <w:sz w:val="20"/>
                <w:szCs w:val="20"/>
              </w:rPr>
              <w:t>nych</w:t>
            </w:r>
          </w:p>
          <w:p w:rsidR="00C3639E" w:rsidRDefault="007535C7" w:rsidP="00C3639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3639E">
              <w:rPr>
                <w:sz w:val="20"/>
                <w:szCs w:val="20"/>
              </w:rPr>
              <w:t>zastosowanie wysokosprawnych urządzeń i instalacji energetycznych o obniżonej</w:t>
            </w:r>
            <w:r w:rsidR="00C3639E">
              <w:rPr>
                <w:sz w:val="20"/>
                <w:szCs w:val="20"/>
              </w:rPr>
              <w:t xml:space="preserve"> </w:t>
            </w:r>
            <w:r w:rsidRPr="00C3639E">
              <w:rPr>
                <w:sz w:val="20"/>
                <w:szCs w:val="20"/>
              </w:rPr>
              <w:t>wrażliwo</w:t>
            </w:r>
            <w:r w:rsidR="00C3639E">
              <w:rPr>
                <w:sz w:val="20"/>
                <w:szCs w:val="20"/>
              </w:rPr>
              <w:t>ści na podwyższoną temperaturę</w:t>
            </w:r>
          </w:p>
          <w:p w:rsidR="007535C7" w:rsidRPr="00C3639E" w:rsidRDefault="007535C7" w:rsidP="007535C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3639E">
              <w:rPr>
                <w:sz w:val="20"/>
                <w:szCs w:val="20"/>
              </w:rPr>
              <w:t>przewidziano możliwość minimalizowania wytwarzania energii cieplnej na rzecz wytwarzania energii elektrycznej, na którą będzie podwy</w:t>
            </w:r>
            <w:r w:rsidR="00C3639E" w:rsidRPr="00C3639E">
              <w:rPr>
                <w:sz w:val="20"/>
                <w:szCs w:val="20"/>
              </w:rPr>
              <w:t>ższone zapotrzebowanie</w:t>
            </w:r>
          </w:p>
          <w:p w:rsidR="007535C7" w:rsidRPr="00C3639E" w:rsidRDefault="00C3639E" w:rsidP="00C3639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wyposażenie w </w:t>
            </w:r>
            <w:r w:rsidR="007535C7" w:rsidRPr="00C3639E">
              <w:rPr>
                <w:sz w:val="20"/>
                <w:szCs w:val="20"/>
              </w:rPr>
              <w:t>czujniki dymu, sys</w:t>
            </w:r>
            <w:r>
              <w:rPr>
                <w:sz w:val="20"/>
                <w:szCs w:val="20"/>
              </w:rPr>
              <w:t>tem zraszania, działka gaśnicze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lastRenderedPageBreak/>
              <w:t>Stopniowe zmiany ilości opadów i związana z nimi dostępność wody (np. susze, deficyty wody, zmniejszenie przepływów w ciekach)</w:t>
            </w:r>
          </w:p>
        </w:tc>
        <w:tc>
          <w:tcPr>
            <w:tcW w:w="1588" w:type="dxa"/>
          </w:tcPr>
          <w:p w:rsidR="006D6EC3" w:rsidRPr="00F928E8" w:rsidRDefault="0051785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345" w:type="dxa"/>
          </w:tcPr>
          <w:p w:rsidR="006D6EC3" w:rsidRPr="00517853" w:rsidRDefault="00517853" w:rsidP="006D6EC3">
            <w:pPr>
              <w:rPr>
                <w:sz w:val="20"/>
                <w:szCs w:val="20"/>
              </w:rPr>
            </w:pPr>
            <w:r w:rsidRPr="00517853">
              <w:rPr>
                <w:sz w:val="20"/>
                <w:szCs w:val="20"/>
              </w:rPr>
              <w:t>sezonowe zmiany struktury opadów</w:t>
            </w:r>
          </w:p>
        </w:tc>
        <w:tc>
          <w:tcPr>
            <w:tcW w:w="1849" w:type="dxa"/>
          </w:tcPr>
          <w:p w:rsidR="006D6EC3" w:rsidRPr="00F928E8" w:rsidRDefault="001660A1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zmiany opadów - powódź</w:t>
            </w:r>
          </w:p>
        </w:tc>
        <w:tc>
          <w:tcPr>
            <w:tcW w:w="5274" w:type="dxa"/>
          </w:tcPr>
          <w:p w:rsidR="006D6EC3" w:rsidRPr="00F928E8" w:rsidRDefault="001660A1" w:rsidP="006D6EC3">
            <w:pPr>
              <w:rPr>
                <w:sz w:val="20"/>
                <w:szCs w:val="20"/>
              </w:rPr>
            </w:pPr>
            <w:r w:rsidRPr="00517853">
              <w:t>zastosowane zostaną najwyższej jakości materiały budowlane oraz standardowe rozwiązania projektowe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Ekstremalne opady i związane z nimi zjawiska (np. burze, podtopienia, powodzie, szkody związane z obciążeniem śniegiem)</w:t>
            </w:r>
          </w:p>
        </w:tc>
        <w:tc>
          <w:tcPr>
            <w:tcW w:w="1588" w:type="dxa"/>
          </w:tcPr>
          <w:p w:rsidR="006D6EC3" w:rsidRPr="00F928E8" w:rsidRDefault="0051785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345" w:type="dxa"/>
          </w:tcPr>
          <w:p w:rsidR="006D6EC3" w:rsidRDefault="00517853" w:rsidP="006D6EC3">
            <w:pPr>
              <w:rPr>
                <w:sz w:val="20"/>
                <w:szCs w:val="20"/>
              </w:rPr>
            </w:pPr>
            <w:r w:rsidRPr="00517853">
              <w:rPr>
                <w:sz w:val="20"/>
                <w:szCs w:val="20"/>
              </w:rPr>
              <w:t>zwiększenie częstotliwości i siły deszczy nawalnych</w:t>
            </w:r>
            <w:r w:rsidR="00C3639E">
              <w:rPr>
                <w:sz w:val="20"/>
                <w:szCs w:val="20"/>
              </w:rPr>
              <w:t xml:space="preserve"> (zmiany </w:t>
            </w:r>
            <w:proofErr w:type="spellStart"/>
            <w:r w:rsidR="00C3639E">
              <w:rPr>
                <w:sz w:val="20"/>
                <w:szCs w:val="20"/>
              </w:rPr>
              <w:t>estremalne</w:t>
            </w:r>
            <w:proofErr w:type="spellEnd"/>
            <w:r w:rsidR="00C3639E">
              <w:rPr>
                <w:sz w:val="20"/>
                <w:szCs w:val="20"/>
              </w:rPr>
              <w:t>)</w:t>
            </w:r>
          </w:p>
          <w:p w:rsidR="007535C7" w:rsidRPr="00517853" w:rsidRDefault="007535C7" w:rsidP="00C3639E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C3639E" w:rsidRDefault="00C3639E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C3639E">
              <w:rPr>
                <w:sz w:val="20"/>
                <w:szCs w:val="20"/>
              </w:rPr>
              <w:t>owodzie nadbrzeżne i rzeczne oraz podtopienia</w:t>
            </w:r>
          </w:p>
        </w:tc>
        <w:tc>
          <w:tcPr>
            <w:tcW w:w="5274" w:type="dxa"/>
          </w:tcPr>
          <w:p w:rsidR="007535C7" w:rsidRDefault="001660A1" w:rsidP="006D6EC3">
            <w:r w:rsidRPr="00517853">
              <w:t>zastosowane zostaną najwyższej jakości materiały budowlane oraz standardowe rozwiązania projektowe</w:t>
            </w:r>
            <w:r w:rsidR="00C3639E">
              <w:t xml:space="preserve"> a ponadto: </w:t>
            </w:r>
          </w:p>
          <w:p w:rsidR="00C3639E" w:rsidRDefault="007535C7" w:rsidP="00C3639E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3639E">
              <w:rPr>
                <w:sz w:val="20"/>
                <w:szCs w:val="20"/>
              </w:rPr>
              <w:t>system odwodnienia terenu, z możliwo</w:t>
            </w:r>
            <w:r w:rsidR="00C3639E">
              <w:rPr>
                <w:sz w:val="20"/>
                <w:szCs w:val="20"/>
              </w:rPr>
              <w:t>ścią czasowego retencjonowania</w:t>
            </w:r>
          </w:p>
          <w:p w:rsidR="007535C7" w:rsidRPr="00C3639E" w:rsidRDefault="007535C7" w:rsidP="00C3639E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3639E">
              <w:rPr>
                <w:sz w:val="20"/>
                <w:szCs w:val="20"/>
              </w:rPr>
              <w:t>zastosowanie materiałów o odpo</w:t>
            </w:r>
            <w:r w:rsidR="00C3639E">
              <w:rPr>
                <w:sz w:val="20"/>
                <w:szCs w:val="20"/>
              </w:rPr>
              <w:t>wiednim stopniu mrozoodporności</w:t>
            </w:r>
          </w:p>
          <w:p w:rsidR="006D6EC3" w:rsidRPr="00C3639E" w:rsidRDefault="007535C7" w:rsidP="00C3639E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3639E">
              <w:rPr>
                <w:sz w:val="20"/>
                <w:szCs w:val="20"/>
              </w:rPr>
              <w:t>monitorowanie zjawisk pogodowych w celu wcześniejszej reakcji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Wzrost maksymalnej prędkość wiatru i związane z nimi zjawiska (np. wichury)</w:t>
            </w:r>
          </w:p>
        </w:tc>
        <w:tc>
          <w:tcPr>
            <w:tcW w:w="1588" w:type="dxa"/>
          </w:tcPr>
          <w:p w:rsidR="006D6EC3" w:rsidRPr="00F928E8" w:rsidRDefault="0051785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345" w:type="dxa"/>
          </w:tcPr>
          <w:p w:rsidR="006D6EC3" w:rsidRDefault="00517853" w:rsidP="006D6EC3">
            <w:pPr>
              <w:rPr>
                <w:sz w:val="20"/>
                <w:szCs w:val="20"/>
              </w:rPr>
            </w:pPr>
            <w:r w:rsidRPr="00517853">
              <w:rPr>
                <w:sz w:val="20"/>
                <w:szCs w:val="20"/>
              </w:rPr>
              <w:t>występowanie silniejszych wiatrów w okresach burz</w:t>
            </w:r>
          </w:p>
          <w:p w:rsidR="007535C7" w:rsidRPr="00517853" w:rsidRDefault="007535C7" w:rsidP="007535C7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F928E8" w:rsidRDefault="00C3639E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maksymalna prędkość wiatru w bliskim sąsiedztwie drzew i linii energetycznych</w:t>
            </w:r>
          </w:p>
        </w:tc>
        <w:tc>
          <w:tcPr>
            <w:tcW w:w="5274" w:type="dxa"/>
          </w:tcPr>
          <w:p w:rsidR="006D6EC3" w:rsidRPr="00F928E8" w:rsidRDefault="001660A1" w:rsidP="00C3639E">
            <w:pPr>
              <w:rPr>
                <w:sz w:val="20"/>
                <w:szCs w:val="20"/>
              </w:rPr>
            </w:pPr>
            <w:r w:rsidRPr="00517853">
              <w:t>zastosowane zostaną najwyższej jakości materiały budowlane oraz st</w:t>
            </w:r>
            <w:r w:rsidR="00C3639E">
              <w:t xml:space="preserve">andardowe rozwiązania projektowe </w:t>
            </w: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Erozja gleby i związane z nimi </w:t>
            </w:r>
            <w:r w:rsidRPr="00F928E8">
              <w:rPr>
                <w:sz w:val="20"/>
                <w:szCs w:val="20"/>
              </w:rPr>
              <w:lastRenderedPageBreak/>
              <w:t xml:space="preserve">zjawiska (np. osuwiska, drenaż) </w:t>
            </w:r>
          </w:p>
        </w:tc>
        <w:tc>
          <w:tcPr>
            <w:tcW w:w="1588" w:type="dxa"/>
          </w:tcPr>
          <w:p w:rsidR="006D6EC3" w:rsidRPr="00F928E8" w:rsidRDefault="0051785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NIE</w:t>
            </w:r>
          </w:p>
        </w:tc>
        <w:tc>
          <w:tcPr>
            <w:tcW w:w="3345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:rsidTr="00866F5D">
        <w:tc>
          <w:tcPr>
            <w:tcW w:w="1938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Inne (jakie?)</w:t>
            </w:r>
          </w:p>
        </w:tc>
        <w:tc>
          <w:tcPr>
            <w:tcW w:w="1588" w:type="dxa"/>
          </w:tcPr>
          <w:p w:rsidR="006D6EC3" w:rsidRPr="00F928E8" w:rsidRDefault="00517853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3345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F928E8" w:rsidTr="00866F5D">
        <w:tc>
          <w:tcPr>
            <w:tcW w:w="6871" w:type="dxa"/>
            <w:gridSpan w:val="3"/>
            <w:shd w:val="clear" w:color="auto" w:fill="00B0F0"/>
          </w:tcPr>
          <w:p w:rsidR="00F928E8" w:rsidRPr="004D43D1" w:rsidRDefault="002D3E1E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ZAKRES ANALIZ </w:t>
            </w:r>
            <w:r>
              <w:rPr>
                <w:b/>
                <w:sz w:val="20"/>
                <w:szCs w:val="20"/>
              </w:rPr>
              <w:t>DOTYCZĄCYCH ODPORNOŚCI INWESTYCJI NA ZMIANY KLIMATYCZNE</w:t>
            </w:r>
          </w:p>
        </w:tc>
        <w:tc>
          <w:tcPr>
            <w:tcW w:w="1849" w:type="dxa"/>
            <w:shd w:val="clear" w:color="auto" w:fill="00B0F0"/>
          </w:tcPr>
          <w:p w:rsidR="00F928E8" w:rsidRPr="004D43D1" w:rsidRDefault="001A0D0D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5274" w:type="dxa"/>
            <w:shd w:val="clear" w:color="auto" w:fill="00B0F0"/>
          </w:tcPr>
          <w:p w:rsidR="00F928E8" w:rsidRPr="004D43D1" w:rsidRDefault="00F928E8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PODEJŚCIE METODOLOGICZNE?</w:t>
            </w:r>
          </w:p>
        </w:tc>
      </w:tr>
      <w:tr w:rsidR="00F928E8" w:rsidTr="00866F5D">
        <w:tc>
          <w:tcPr>
            <w:tcW w:w="6871" w:type="dxa"/>
            <w:gridSpan w:val="3"/>
          </w:tcPr>
          <w:p w:rsidR="00F928E8" w:rsidRDefault="00F928E8" w:rsidP="006D6EC3">
            <w:r>
              <w:t>Aktualne zagrożenia klimatyczne</w:t>
            </w:r>
          </w:p>
        </w:tc>
        <w:tc>
          <w:tcPr>
            <w:tcW w:w="1849" w:type="dxa"/>
          </w:tcPr>
          <w:p w:rsidR="00F928E8" w:rsidRDefault="00F928E8" w:rsidP="00EE1AB0">
            <w:r>
              <w:t>TAK</w:t>
            </w:r>
          </w:p>
        </w:tc>
        <w:tc>
          <w:tcPr>
            <w:tcW w:w="5274" w:type="dxa"/>
          </w:tcPr>
          <w:p w:rsidR="00517853" w:rsidRPr="00517853" w:rsidRDefault="00517853" w:rsidP="00517853">
            <w:r w:rsidRPr="00517853">
              <w:t xml:space="preserve">Ocenę odporności projektu na bieżącą zmienność i przyszłe zmiany klimatu </w:t>
            </w:r>
            <w:r>
              <w:t>na podstawie:</w:t>
            </w:r>
          </w:p>
          <w:p w:rsidR="00517853" w:rsidRPr="00517853" w:rsidRDefault="00517853" w:rsidP="00517853">
            <w:r w:rsidRPr="00517853">
              <w:t>1. Etap 1 Analiza wrażliwości (określenie wagi wpływu);</w:t>
            </w:r>
          </w:p>
          <w:p w:rsidR="00517853" w:rsidRPr="00517853" w:rsidRDefault="00517853" w:rsidP="00517853">
            <w:r w:rsidRPr="00517853">
              <w:t>2. Etap 2 Ocena narażenia na zagrożenia związane z klimatem;</w:t>
            </w:r>
          </w:p>
          <w:p w:rsidR="00517853" w:rsidRPr="00517853" w:rsidRDefault="00517853" w:rsidP="00517853">
            <w:r w:rsidRPr="00517853">
              <w:t>3. Etap 3 Ocena podatności;</w:t>
            </w:r>
          </w:p>
          <w:p w:rsidR="00517853" w:rsidRPr="00517853" w:rsidRDefault="00517853" w:rsidP="00517853">
            <w:r w:rsidRPr="00517853">
              <w:t>4. Etap 4 Ocena ryzyka;</w:t>
            </w:r>
          </w:p>
          <w:p w:rsidR="00F928E8" w:rsidRDefault="00517853" w:rsidP="00517853">
            <w:r w:rsidRPr="00517853">
              <w:t>5. Etap 5 Ocena wpływu czynników klimatycznych na przedsięwzięcie.</w:t>
            </w:r>
          </w:p>
          <w:p w:rsidR="005B0647" w:rsidRPr="005B0647" w:rsidRDefault="005B0647" w:rsidP="00517853">
            <w:pPr>
              <w:rPr>
                <w:b/>
              </w:rPr>
            </w:pPr>
            <w:r w:rsidRPr="005B0647">
              <w:rPr>
                <w:b/>
              </w:rPr>
              <w:t xml:space="preserve">Analizę oparto na danych za 2015r. </w:t>
            </w:r>
          </w:p>
        </w:tc>
      </w:tr>
      <w:tr w:rsidR="00866F5D" w:rsidTr="00866F5D">
        <w:tc>
          <w:tcPr>
            <w:tcW w:w="6871" w:type="dxa"/>
            <w:gridSpan w:val="3"/>
          </w:tcPr>
          <w:p w:rsidR="00866F5D" w:rsidRDefault="00866F5D" w:rsidP="00866F5D">
            <w:r>
              <w:t>Przyszłe zagrożenia klimatyczne</w:t>
            </w:r>
          </w:p>
        </w:tc>
        <w:tc>
          <w:tcPr>
            <w:tcW w:w="1849" w:type="dxa"/>
          </w:tcPr>
          <w:p w:rsidR="00866F5D" w:rsidRPr="00517853" w:rsidRDefault="00866F5D" w:rsidP="00EE1AB0">
            <w:r w:rsidRPr="00517853">
              <w:t>TAK</w:t>
            </w:r>
          </w:p>
        </w:tc>
        <w:tc>
          <w:tcPr>
            <w:tcW w:w="5274" w:type="dxa"/>
          </w:tcPr>
          <w:p w:rsidR="00866F5D" w:rsidRPr="00517853" w:rsidRDefault="00EE1AB0" w:rsidP="005B0647">
            <w:r>
              <w:t>Metodologia zastosowana do analizy przyszłych zagrożeń klimatycznych odpowiada metodom wykorzystanym do oceny aktualnych zagrożeń klimatycznych</w:t>
            </w:r>
            <w:r w:rsidR="005B0647">
              <w:t xml:space="preserve">. </w:t>
            </w:r>
            <w:r w:rsidR="005B0647" w:rsidRPr="005B0647">
              <w:rPr>
                <w:b/>
              </w:rPr>
              <w:t>W prognozowaniu zdarzeń przyszłych wykorzystano analizę retrospektywną</w:t>
            </w:r>
            <w:r w:rsidR="005B0647">
              <w:t xml:space="preserve"> obejmującą okres wieloletni, różny w zależności od rodzaju analizowanego czynnika klimatycznego. 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00B0F0"/>
          </w:tcPr>
          <w:p w:rsidR="00866F5D" w:rsidRPr="00E7407F" w:rsidRDefault="00866F5D" w:rsidP="00866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OCENA PODEJŚCIA DO SZACOWANIA RYZYK KLIMATYCZNYCH W KONTEKŚCIE ZAŁOŻEŃ PO</w:t>
            </w:r>
            <w:r w:rsidR="00143504">
              <w:rPr>
                <w:b/>
                <w:sz w:val="20"/>
                <w:szCs w:val="20"/>
              </w:rPr>
              <w:t>RADNIKA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auto"/>
          </w:tcPr>
          <w:p w:rsidR="005B0647" w:rsidRDefault="005B0647" w:rsidP="008737DA">
            <w:r>
              <w:t xml:space="preserve">Szacowanie ryzyk </w:t>
            </w:r>
            <w:r w:rsidRPr="005B0647">
              <w:t>klimatycznych w tym ocenę odporności przedsięwzięcia na klimat przeprowadzono na podstawie ”Wytycznych dla kierowników projektu: uodpornienie wrażliwych inwestycji na zmianę klimatu</w:t>
            </w:r>
            <w:r w:rsidRPr="005B0647">
              <w:rPr>
                <w:i/>
              </w:rPr>
              <w:t>".</w:t>
            </w:r>
            <w:r w:rsidRPr="005B0647">
              <w:rPr>
                <w:i/>
                <w:color w:val="4472C4" w:themeColor="accent1"/>
              </w:rPr>
              <w:t xml:space="preserve"> </w:t>
            </w:r>
            <w:r>
              <w:t xml:space="preserve">Przeprowadzona analiza i wynikające z niej </w:t>
            </w:r>
            <w:r w:rsidRPr="005B0647">
              <w:rPr>
                <w:b/>
              </w:rPr>
              <w:t>wnioskowanie ma charakter szczegółowy</w:t>
            </w:r>
            <w:r>
              <w:t xml:space="preserve">. </w:t>
            </w:r>
          </w:p>
          <w:p w:rsidR="005B0647" w:rsidRDefault="001660A1" w:rsidP="008737DA">
            <w:r w:rsidRPr="00517853">
              <w:t xml:space="preserve">Ocenę odporności projektu na bieżącą zmienność i przyszłe zmiany klimatu </w:t>
            </w:r>
            <w:r>
              <w:t>na podstawie</w:t>
            </w:r>
            <w:r w:rsidR="008737DA">
              <w:t xml:space="preserve"> 5 etapowej analizy i oceny, w której skład wchodziły: </w:t>
            </w:r>
            <w:r w:rsidRPr="00517853">
              <w:t>Etap 1 Analiza wrażliwości (określenie wagi wpływu);</w:t>
            </w:r>
            <w:r w:rsidR="008737DA">
              <w:t xml:space="preserve"> </w:t>
            </w:r>
            <w:r w:rsidRPr="00517853">
              <w:t>Etap 2 Ocena narażenia na zagrożenia związane z klimatem;</w:t>
            </w:r>
            <w:r w:rsidR="008737DA">
              <w:t xml:space="preserve"> </w:t>
            </w:r>
            <w:r w:rsidRPr="00517853">
              <w:t>Etap 3 Ocena podatności;</w:t>
            </w:r>
            <w:r w:rsidR="008737DA">
              <w:t xml:space="preserve"> </w:t>
            </w:r>
            <w:r w:rsidRPr="00517853">
              <w:t>Etap 4 Ocena ryzyka;</w:t>
            </w:r>
            <w:r w:rsidR="005B0647" w:rsidRPr="00517853">
              <w:t xml:space="preserve"> </w:t>
            </w:r>
          </w:p>
          <w:p w:rsidR="001660A1" w:rsidRPr="008737DA" w:rsidRDefault="005B0647" w:rsidP="008737DA">
            <w:pPr>
              <w:jc w:val="both"/>
              <w:rPr>
                <w:b/>
              </w:rPr>
            </w:pPr>
            <w:r w:rsidRPr="00517853">
              <w:t>Etap 5 Ocena wpływu czynników klimatycznych na przedsięwzięcie.</w:t>
            </w:r>
            <w:r w:rsidR="008737DA">
              <w:t xml:space="preserve"> Przeprowadzone analizy i oceny zostały </w:t>
            </w:r>
            <w:r w:rsidR="008737DA" w:rsidRPr="008737DA">
              <w:rPr>
                <w:b/>
              </w:rPr>
              <w:t xml:space="preserve">dostosowane do specyfiki przedsięwzięcia i jego uwarunkowań lokalizacyjnych. 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00B0F0"/>
          </w:tcPr>
          <w:p w:rsidR="00866F5D" w:rsidRPr="004D43D1" w:rsidRDefault="00866F5D" w:rsidP="00866F5D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4D43D1">
              <w:rPr>
                <w:b/>
                <w:sz w:val="20"/>
                <w:szCs w:val="20"/>
              </w:rPr>
              <w:t>ZASTOSOWANYCH ROZWIĄZAŃ</w:t>
            </w:r>
            <w:r>
              <w:rPr>
                <w:b/>
                <w:sz w:val="20"/>
                <w:szCs w:val="20"/>
              </w:rPr>
              <w:t xml:space="preserve"> ZABEZPIECZAJĄCYCH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8737DA" w:rsidRDefault="008737DA" w:rsidP="00274DF3">
            <w:r>
              <w:t xml:space="preserve">Choć zaproponowane rozwiązania zabezpieczające mogą się wydawać mało wyspecjalizowane i zaawansowane to w kontekście niskiej wrażliwości i podatności przedsięwzięcia na zmiany klimatyczne należy je uznać za </w:t>
            </w:r>
            <w:r w:rsidRPr="008737DA">
              <w:rPr>
                <w:b/>
              </w:rPr>
              <w:t>adekwatne i skuteczne</w:t>
            </w:r>
            <w:r>
              <w:t>. To na</w:t>
            </w:r>
            <w:r w:rsidR="001660A1" w:rsidRPr="00517853">
              <w:t xml:space="preserve"> podstawie </w:t>
            </w:r>
            <w:r>
              <w:t xml:space="preserve">przeprowadzonych </w:t>
            </w:r>
            <w:r w:rsidR="001660A1" w:rsidRPr="00517853">
              <w:t xml:space="preserve">analiz podatności i ryzyka wystąpienia poszczególnych zjawisk klimatycznych </w:t>
            </w:r>
            <w:r w:rsidR="001660A1" w:rsidRPr="008737DA">
              <w:rPr>
                <w:b/>
              </w:rPr>
              <w:t>nie stwierdzono konieczności zastosowania dodatkowych działań adaptacyjnych</w:t>
            </w:r>
            <w:r w:rsidR="001660A1" w:rsidRPr="00517853">
              <w:t xml:space="preserve"> poza tymi,</w:t>
            </w:r>
            <w:r w:rsidR="001660A1">
              <w:t xml:space="preserve"> </w:t>
            </w:r>
            <w:r w:rsidR="001660A1" w:rsidRPr="00517853">
              <w:lastRenderedPageBreak/>
              <w:t>które zostały zastosowane w Projekcie.</w:t>
            </w:r>
            <w:r w:rsidR="001660A1">
              <w:t xml:space="preserve"> </w:t>
            </w:r>
            <w:r>
              <w:t>Zaproponowano za</w:t>
            </w:r>
            <w:r w:rsidR="001660A1" w:rsidRPr="00517853">
              <w:t xml:space="preserve">stosowane </w:t>
            </w:r>
            <w:r>
              <w:t>najwyższej jakości materiałów budowlanych</w:t>
            </w:r>
            <w:r w:rsidR="001660A1" w:rsidRPr="00517853">
              <w:t xml:space="preserve"> oraz standardowe rozwiązania projektowe</w:t>
            </w:r>
            <w:r>
              <w:t xml:space="preserve">. Dla niektórych, najistotniejszych ryzyk zaproponowano rozwiązania dodatkowe. </w:t>
            </w:r>
            <w:r w:rsidRPr="00517853">
              <w:t>Planowane przedsięwzięcie jest zlokalizowane na obszarze, gdzie ekstremalne zdarzenia klimatyczne nie występują często, dlatego przedsięwzięcie nie wymaga zastosowania specjalnych działań adaptacyjnych do zmian klimatu.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4472C4" w:themeFill="accent1"/>
          </w:tcPr>
          <w:p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lastRenderedPageBreak/>
              <w:t>ROZWIĄZANIA ZWIĄZANE Z ŁAGODZENIEM ZMIAN KLIMATU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737DA" w:rsidRDefault="007535C7" w:rsidP="007535C7">
            <w:pPr>
              <w:rPr>
                <w:lang w:val="en-GB"/>
              </w:rPr>
            </w:pPr>
            <w:r w:rsidRPr="007535C7">
              <w:t xml:space="preserve">Wpływ przedsięwzięcia na zmiany klimatu oceniono w oparciu o metody obliczeń emisji gazów cieplarnianych pochodzących z zakładów unieszkodliwiania odpadów przedstawione w opracowaniu pn. </w:t>
            </w:r>
            <w:r w:rsidRPr="007535C7">
              <w:rPr>
                <w:lang w:val="en-GB"/>
              </w:rPr>
              <w:t>„Investment Bank Induced</w:t>
            </w:r>
            <w:r w:rsidR="008737DA">
              <w:rPr>
                <w:lang w:val="en-GB"/>
              </w:rPr>
              <w:t xml:space="preserve"> </w:t>
            </w:r>
            <w:r w:rsidRPr="007535C7">
              <w:rPr>
                <w:lang w:val="en-GB"/>
              </w:rPr>
              <w:t xml:space="preserve">GHG </w:t>
            </w:r>
            <w:proofErr w:type="spellStart"/>
            <w:r w:rsidRPr="007535C7">
              <w:rPr>
                <w:lang w:val="en-GB"/>
              </w:rPr>
              <w:t>Footprint.The</w:t>
            </w:r>
            <w:proofErr w:type="spellEnd"/>
            <w:r w:rsidRPr="007535C7">
              <w:rPr>
                <w:lang w:val="en-GB"/>
              </w:rPr>
              <w:t xml:space="preserve"> carbon footprint of projects financed by the Bank, Methodologies for the Assessment of Project GHG Emissions and Emission Variat</w:t>
            </w:r>
            <w:r w:rsidR="008737DA">
              <w:rPr>
                <w:lang w:val="en-GB"/>
              </w:rPr>
              <w:t>ions” (European Investment Bank</w:t>
            </w:r>
            <w:r w:rsidRPr="007535C7">
              <w:rPr>
                <w:lang w:val="en-GB"/>
              </w:rPr>
              <w:t xml:space="preserve">). </w:t>
            </w:r>
            <w:r w:rsidR="008737DA">
              <w:rPr>
                <w:lang w:val="en-GB"/>
              </w:rPr>
              <w:t xml:space="preserve"> </w:t>
            </w:r>
          </w:p>
          <w:p w:rsidR="00866F5D" w:rsidRPr="00120A9F" w:rsidRDefault="008737DA" w:rsidP="00866F5D">
            <w:r w:rsidRPr="008737DA">
              <w:t xml:space="preserve">Wynikające z przedsięwzięcia łagodzenie zmian klimatu </w:t>
            </w:r>
            <w:r w:rsidRPr="00120A9F">
              <w:rPr>
                <w:b/>
              </w:rPr>
              <w:t>nie wiąże się z zastosowaniem konkretnego rozwiązania</w:t>
            </w:r>
            <w:r>
              <w:t xml:space="preserve"> lecz wykorzystuje istotę projektu w zakresie termicznego </w:t>
            </w:r>
            <w:r w:rsidR="00120A9F">
              <w:t xml:space="preserve">przetwarzania odpadów, skutkujące częściowo unikniętą emisją gazów cieplarnianych w związku z </w:t>
            </w:r>
            <w:r w:rsidR="00120A9F" w:rsidRPr="00120A9F">
              <w:rPr>
                <w:b/>
              </w:rPr>
              <w:t xml:space="preserve">zastąpieniem paliw kopalnych </w:t>
            </w:r>
            <w:r w:rsidR="00120A9F">
              <w:rPr>
                <w:b/>
              </w:rPr>
              <w:t xml:space="preserve">jako źródła energii </w:t>
            </w:r>
            <w:r w:rsidR="00120A9F" w:rsidRPr="00120A9F">
              <w:rPr>
                <w:b/>
              </w:rPr>
              <w:t>odpadami</w:t>
            </w:r>
            <w:r w:rsidR="00120A9F">
              <w:t xml:space="preserve">. </w:t>
            </w:r>
            <w:r w:rsidR="007535C7" w:rsidRPr="007535C7">
              <w:t>Emisja dwutlenku węgla pochodzącego ze spalania odpadów jest niższa niż dla porównywanych jednostek mas paliw. W związku z tym możliwe jest ograniczenie jego emisji, w stosunku do obecnego systemu gospodarki energetycznej.</w:t>
            </w:r>
            <w:r w:rsidR="00120A9F">
              <w:t xml:space="preserve"> </w:t>
            </w:r>
            <w:r w:rsidR="007535C7" w:rsidRPr="007535C7">
              <w:t>Na podstawie współczynnika emisji CO2 z ww. opracowania oraz  przepustowości planowanej inwestycji określono średnioroczną emisję CO2 na poziomie 146 720 Mg.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Default="00120A9F" w:rsidP="00120A9F">
            <w:pPr>
              <w:rPr>
                <w:b/>
              </w:rPr>
            </w:pPr>
            <w:r>
              <w:t xml:space="preserve">Nawet częściowe uniknięcie emisji gazów cieplarnianych w efekcie zastąpienia paliw kopalnych odpadami można uznać za </w:t>
            </w:r>
            <w:r w:rsidRPr="00120A9F">
              <w:rPr>
                <w:b/>
              </w:rPr>
              <w:t>skuteczne</w:t>
            </w:r>
            <w:r>
              <w:t xml:space="preserve">. Skala redukcji jest </w:t>
            </w:r>
            <w:r w:rsidRPr="00120A9F">
              <w:rPr>
                <w:b/>
              </w:rPr>
              <w:t>adekwatna do możliwości technicznych instalacji</w:t>
            </w:r>
            <w:r>
              <w:t xml:space="preserve"> w zakresie ilości przetwarzanych odpadów.  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4472C4" w:themeFill="accent1"/>
          </w:tcPr>
          <w:p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t xml:space="preserve">ROZWIĄZANIA ZWIĄZANE Z </w:t>
            </w:r>
            <w:r>
              <w:rPr>
                <w:b/>
              </w:rPr>
              <w:t>ADAPTACJĄ DO ZMIAN KLIMATU (POZA ZWIĘKSZENIEM ODPORNOŚCI INWESTYCJI)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Default="007535C7" w:rsidP="00120A9F">
            <w:pPr>
              <w:rPr>
                <w:b/>
              </w:rPr>
            </w:pPr>
            <w:r w:rsidRPr="007535C7">
              <w:t xml:space="preserve">Jako działanie adaptacyjne należy traktować </w:t>
            </w:r>
            <w:r w:rsidRPr="00120A9F">
              <w:rPr>
                <w:b/>
              </w:rPr>
              <w:t>funkcję kogeneracyjną instalacji</w:t>
            </w:r>
            <w:r w:rsidRPr="007535C7">
              <w:t>, w której w przypadku mniejszego zapotrzebowania na energię cieplną istnieje możliwość wytworzenia większej ilości energii elektrycznej.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CHARAKTER ODDZIAŁYWANIA</w:t>
            </w:r>
          </w:p>
        </w:tc>
      </w:tr>
      <w:tr w:rsidR="00866F5D" w:rsidRPr="00F928E8" w:rsidTr="00866F5D">
        <w:tc>
          <w:tcPr>
            <w:tcW w:w="13994" w:type="dxa"/>
            <w:gridSpan w:val="5"/>
          </w:tcPr>
          <w:p w:rsidR="00866F5D" w:rsidRPr="00CC643A" w:rsidRDefault="00274DF3" w:rsidP="00F60338">
            <w:pPr>
              <w:rPr>
                <w:b/>
                <w:color w:val="4472C4" w:themeColor="accent1"/>
                <w:sz w:val="20"/>
                <w:szCs w:val="20"/>
              </w:rPr>
            </w:pPr>
            <w:r w:rsidRPr="00274DF3">
              <w:rPr>
                <w:sz w:val="20"/>
                <w:szCs w:val="20"/>
              </w:rPr>
              <w:t>Użytkownicy energii cieplnej i elektrycznej</w:t>
            </w:r>
            <w:r>
              <w:rPr>
                <w:sz w:val="20"/>
                <w:szCs w:val="20"/>
              </w:rPr>
              <w:t xml:space="preserve"> w zasięgi sieci. </w:t>
            </w:r>
            <w:r w:rsidR="00F60338">
              <w:rPr>
                <w:sz w:val="20"/>
                <w:szCs w:val="20"/>
              </w:rPr>
              <w:t xml:space="preserve">Administratorzy lokalnej sieci cieplnej i krajowej sieci energetycznej. 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CC643A" w:rsidRDefault="00120A9F" w:rsidP="00120A9F">
            <w:pPr>
              <w:rPr>
                <w:i/>
              </w:rPr>
            </w:pPr>
            <w:r>
              <w:t xml:space="preserve">Cele adaptacyjne są </w:t>
            </w:r>
            <w:r w:rsidRPr="00120A9F">
              <w:rPr>
                <w:b/>
              </w:rPr>
              <w:t>w pełni zgodne z podstawowymi celami projektu</w:t>
            </w:r>
            <w:r>
              <w:t xml:space="preserve">. Elastyczna zamiana form energii elektrycznej i cieplnej dostosowana do zmieniających się potrzeb konsumentów wynikających ze zmiennych warunków pogodowych jest </w:t>
            </w:r>
            <w:r w:rsidRPr="00120A9F">
              <w:rPr>
                <w:b/>
              </w:rPr>
              <w:t>adekwatnym i skutecznym rozwiązaniem adaptacyjnym</w:t>
            </w:r>
            <w:r>
              <w:t xml:space="preserve">. </w:t>
            </w:r>
          </w:p>
        </w:tc>
      </w:tr>
    </w:tbl>
    <w:p w:rsidR="003272F3" w:rsidRDefault="003272F3" w:rsidP="006A0215">
      <w:pPr>
        <w:rPr>
          <w:b/>
          <w:sz w:val="32"/>
          <w:szCs w:val="32"/>
        </w:rPr>
      </w:pPr>
    </w:p>
    <w:p w:rsidR="00C76E2A" w:rsidRPr="00DE2465" w:rsidRDefault="00C76E2A" w:rsidP="006A0215">
      <w:pPr>
        <w:rPr>
          <w:b/>
          <w:sz w:val="32"/>
          <w:szCs w:val="32"/>
        </w:rPr>
      </w:pPr>
      <w:r w:rsidRPr="00DE2465">
        <w:rPr>
          <w:b/>
          <w:sz w:val="32"/>
          <w:szCs w:val="32"/>
        </w:rPr>
        <w:t>SKALA ODDZIAŁYWANIA STOSOWANYCH ROZWIĄZAŃ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4662BE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4662BE" w:rsidRPr="004662BE" w:rsidRDefault="00AB21A8" w:rsidP="004662BE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AB21A8" w:rsidTr="00CC643A">
        <w:tc>
          <w:tcPr>
            <w:tcW w:w="6232" w:type="dxa"/>
            <w:shd w:val="clear" w:color="auto" w:fill="92D050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6E3C60" w:rsidTr="00CC643A">
        <w:tc>
          <w:tcPr>
            <w:tcW w:w="6232" w:type="dxa"/>
          </w:tcPr>
          <w:p w:rsidR="006E3C60" w:rsidRPr="00DB1C93" w:rsidRDefault="006E3C60" w:rsidP="00F60338">
            <w:pPr>
              <w:autoSpaceDE w:val="0"/>
              <w:autoSpaceDN w:val="0"/>
              <w:adjustRightInd w:val="0"/>
              <w:rPr>
                <w:rFonts w:cstheme="minorHAnsi"/>
                <w:lang w:eastAsia="pl-PL"/>
              </w:rPr>
            </w:pPr>
            <w:r w:rsidRPr="00DB1C93">
              <w:rPr>
                <w:rFonts w:cstheme="minorHAnsi"/>
                <w:lang w:eastAsia="pl-PL"/>
              </w:rPr>
              <w:lastRenderedPageBreak/>
              <w:t>TAK</w:t>
            </w:r>
            <w:r w:rsidR="00274DF3" w:rsidRPr="00DB1C93">
              <w:rPr>
                <w:rFonts w:cstheme="minorHAnsi"/>
                <w:lang w:eastAsia="pl-PL"/>
              </w:rPr>
              <w:t xml:space="preserve"> - możliwość dostosowania formy wytwarzanej energii do zmiennego popytu wynikającego z warunków pogodowych</w:t>
            </w:r>
            <w:r w:rsidR="00F60338">
              <w:rPr>
                <w:rFonts w:cstheme="minorHAnsi"/>
                <w:lang w:eastAsia="pl-PL"/>
              </w:rPr>
              <w:t xml:space="preserve">. </w:t>
            </w:r>
            <w:r w:rsidR="00F60338" w:rsidRPr="00F60338">
              <w:rPr>
                <w:rFonts w:eastAsia="ArialMT" w:cs="ArialMT"/>
              </w:rPr>
              <w:t>Termiczna utylizacja frakcji resztkowej (energetycznej) odpadów komunalnych pozwoli na</w:t>
            </w:r>
            <w:r w:rsidR="00F60338">
              <w:rPr>
                <w:rFonts w:eastAsia="ArialMT" w:cs="ArialMT"/>
              </w:rPr>
              <w:t xml:space="preserve"> </w:t>
            </w:r>
            <w:r w:rsidR="00F60338" w:rsidRPr="00F60338">
              <w:rPr>
                <w:rFonts w:eastAsia="ArialMT" w:cs="ArialMT"/>
              </w:rPr>
              <w:t>wytwarzanie w kogeneracji energii cieplej i energii elektrycznej, których energia cieplna będzie</w:t>
            </w:r>
            <w:r w:rsidR="00F60338">
              <w:rPr>
                <w:rFonts w:eastAsia="ArialMT" w:cs="ArialMT"/>
              </w:rPr>
              <w:t xml:space="preserve"> </w:t>
            </w:r>
            <w:r w:rsidR="00F60338" w:rsidRPr="00F60338">
              <w:rPr>
                <w:rFonts w:eastAsia="ArialMT" w:cs="ArialMT"/>
              </w:rPr>
              <w:t xml:space="preserve">dostarczana do </w:t>
            </w:r>
            <w:proofErr w:type="spellStart"/>
            <w:r w:rsidR="00F60338" w:rsidRPr="00F60338">
              <w:rPr>
                <w:rFonts w:eastAsia="ArialMT" w:cs="ArialMT"/>
              </w:rPr>
              <w:t>m.s.c</w:t>
            </w:r>
            <w:proofErr w:type="spellEnd"/>
            <w:r w:rsidR="00F60338" w:rsidRPr="00F60338">
              <w:rPr>
                <w:rFonts w:eastAsia="ArialMT" w:cs="ArialMT"/>
              </w:rPr>
              <w:t>. GPEC, zaś energia elektryczna będzie dostarczana do krajowej sieci</w:t>
            </w:r>
            <w:r w:rsidR="00F60338">
              <w:rPr>
                <w:rFonts w:eastAsia="ArialMT" w:cs="ArialMT"/>
              </w:rPr>
              <w:t xml:space="preserve"> </w:t>
            </w:r>
            <w:r w:rsidR="00F60338" w:rsidRPr="00F60338">
              <w:rPr>
                <w:rFonts w:eastAsia="ArialMT" w:cs="ArialMT"/>
              </w:rPr>
              <w:t>energetycznej.</w:t>
            </w:r>
            <w:r w:rsidR="00F60338">
              <w:rPr>
                <w:rFonts w:eastAsia="ArialMT" w:cs="ArialMT"/>
              </w:rPr>
              <w:t xml:space="preserve"> </w:t>
            </w:r>
            <w:r w:rsidR="00F60338" w:rsidRPr="00F60338">
              <w:rPr>
                <w:rFonts w:eastAsia="ArialMT" w:cs="ArialMT"/>
              </w:rPr>
              <w:t>Pozwoli to administratorom tych sieci na równoważne zmniejszenie produkcji</w:t>
            </w:r>
            <w:r w:rsidR="00F60338">
              <w:rPr>
                <w:rFonts w:eastAsia="ArialMT" w:cs="ArialMT"/>
              </w:rPr>
              <w:t xml:space="preserve"> </w:t>
            </w:r>
            <w:r w:rsidR="00F60338" w:rsidRPr="00F60338">
              <w:rPr>
                <w:rFonts w:eastAsia="ArialMT" w:cs="ArialMT"/>
              </w:rPr>
              <w:t>energii w innych instalacjach, które są opalane głównie kopalinami naturalnymi.</w:t>
            </w:r>
          </w:p>
        </w:tc>
        <w:tc>
          <w:tcPr>
            <w:tcW w:w="7655" w:type="dxa"/>
          </w:tcPr>
          <w:p w:rsidR="006E3C60" w:rsidRPr="00274DF3" w:rsidRDefault="00274DF3" w:rsidP="006E3C60">
            <w:pPr>
              <w:rPr>
                <w:rFonts w:cstheme="minorHAnsi"/>
                <w:lang w:eastAsia="pl-PL"/>
              </w:rPr>
            </w:pPr>
            <w:r w:rsidRPr="00274DF3">
              <w:rPr>
                <w:rFonts w:cstheme="minorHAnsi"/>
                <w:lang w:eastAsia="pl-PL"/>
              </w:rPr>
              <w:t>NIE</w:t>
            </w:r>
          </w:p>
        </w:tc>
      </w:tr>
      <w:tr w:rsidR="006E3C60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REGIONALNE LUB PONADREGIONALNE</w:t>
            </w:r>
            <w:r w:rsidRPr="00AB21A8">
              <w:rPr>
                <w:rFonts w:cstheme="minorHAnsi"/>
                <w:b/>
                <w:lang w:eastAsia="pl-PL"/>
              </w:rPr>
              <w:t xml:space="preserve"> </w:t>
            </w:r>
            <w:r>
              <w:rPr>
                <w:rFonts w:cstheme="minorHAnsi"/>
                <w:b/>
                <w:lang w:eastAsia="pl-PL"/>
              </w:rPr>
              <w:t xml:space="preserve">ODDZIAŁYWANIE PODJĘTYCH </w:t>
            </w:r>
            <w:r w:rsidRPr="00AB21A8">
              <w:rPr>
                <w:rFonts w:cstheme="minorHAnsi"/>
                <w:b/>
                <w:lang w:eastAsia="pl-PL"/>
              </w:rPr>
              <w:t>DZIAŁAŃ ADAPTACYJNYCH</w:t>
            </w:r>
          </w:p>
        </w:tc>
      </w:tr>
      <w:tr w:rsidR="006E3C60" w:rsidTr="00CC643A">
        <w:tc>
          <w:tcPr>
            <w:tcW w:w="6232" w:type="dxa"/>
            <w:shd w:val="clear" w:color="auto" w:fill="92D050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CC643A" w:rsidTr="00CC643A">
        <w:tc>
          <w:tcPr>
            <w:tcW w:w="6232" w:type="dxa"/>
          </w:tcPr>
          <w:p w:rsidR="00CC643A" w:rsidRDefault="00CC643A" w:rsidP="00274DF3">
            <w:pPr>
              <w:rPr>
                <w:rFonts w:cstheme="minorHAnsi"/>
                <w:lang w:eastAsia="pl-PL"/>
              </w:rPr>
            </w:pPr>
            <w:r w:rsidRPr="00DB1C93">
              <w:rPr>
                <w:rFonts w:cstheme="minorHAnsi"/>
                <w:lang w:eastAsia="pl-PL"/>
              </w:rPr>
              <w:t>TAK</w:t>
            </w:r>
            <w:r w:rsidR="00274DF3" w:rsidRPr="00DB1C93">
              <w:rPr>
                <w:rFonts w:cstheme="minorHAnsi"/>
                <w:lang w:eastAsia="pl-PL"/>
              </w:rPr>
              <w:t xml:space="preserve"> - </w:t>
            </w:r>
            <w:r w:rsidR="00DB1C93" w:rsidRPr="00DB1C93">
              <w:rPr>
                <w:rFonts w:cstheme="minorHAnsi"/>
                <w:lang w:eastAsia="pl-PL"/>
              </w:rPr>
              <w:t>możliwość dostosowania formy wytwarzanej energii do zmiennego popytu wynikającego z warunków pogodowych</w:t>
            </w:r>
            <w:r w:rsidR="00F60338">
              <w:rPr>
                <w:rFonts w:cstheme="minorHAnsi"/>
                <w:lang w:eastAsia="pl-PL"/>
              </w:rPr>
              <w:t xml:space="preserve">. </w:t>
            </w:r>
          </w:p>
          <w:p w:rsidR="00F60338" w:rsidRPr="00DB1C93" w:rsidRDefault="00F60338" w:rsidP="00F60338">
            <w:pPr>
              <w:autoSpaceDE w:val="0"/>
              <w:autoSpaceDN w:val="0"/>
              <w:adjustRightInd w:val="0"/>
              <w:rPr>
                <w:rFonts w:cstheme="minorHAnsi"/>
                <w:lang w:eastAsia="pl-PL"/>
              </w:rPr>
            </w:pPr>
            <w:r w:rsidRPr="00F60338">
              <w:rPr>
                <w:rFonts w:eastAsia="ArialMT" w:cs="ArialMT"/>
              </w:rPr>
              <w:t>Termiczna utylizacja frakcji resztkowej (energetycznej) odpadów komunalnych pozwoli na</w:t>
            </w:r>
            <w:r>
              <w:rPr>
                <w:rFonts w:eastAsia="ArialMT" w:cs="ArialMT"/>
              </w:rPr>
              <w:t xml:space="preserve"> </w:t>
            </w:r>
            <w:r w:rsidRPr="00F60338">
              <w:rPr>
                <w:rFonts w:eastAsia="ArialMT" w:cs="ArialMT"/>
              </w:rPr>
              <w:t>wytwarzanie w kogeneracji energii cieplej i energii elektrycznej, których energia cieplna będzie</w:t>
            </w:r>
            <w:r>
              <w:rPr>
                <w:rFonts w:eastAsia="ArialMT" w:cs="ArialMT"/>
              </w:rPr>
              <w:t xml:space="preserve"> </w:t>
            </w:r>
            <w:r w:rsidRPr="00F60338">
              <w:rPr>
                <w:rFonts w:eastAsia="ArialMT" w:cs="ArialMT"/>
              </w:rPr>
              <w:t xml:space="preserve">dostarczana do </w:t>
            </w:r>
            <w:proofErr w:type="spellStart"/>
            <w:r w:rsidRPr="00F60338">
              <w:rPr>
                <w:rFonts w:eastAsia="ArialMT" w:cs="ArialMT"/>
              </w:rPr>
              <w:t>m.s.c</w:t>
            </w:r>
            <w:proofErr w:type="spellEnd"/>
            <w:r w:rsidRPr="00F60338">
              <w:rPr>
                <w:rFonts w:eastAsia="ArialMT" w:cs="ArialMT"/>
              </w:rPr>
              <w:t>. GPEC, zaś energia elektryczna będzie dostarczana do krajowej sieci</w:t>
            </w:r>
            <w:r>
              <w:rPr>
                <w:rFonts w:eastAsia="ArialMT" w:cs="ArialMT"/>
              </w:rPr>
              <w:t xml:space="preserve"> </w:t>
            </w:r>
            <w:r w:rsidRPr="00F60338">
              <w:rPr>
                <w:rFonts w:eastAsia="ArialMT" w:cs="ArialMT"/>
              </w:rPr>
              <w:t>energetycznej.</w:t>
            </w:r>
            <w:r>
              <w:rPr>
                <w:rFonts w:eastAsia="ArialMT" w:cs="ArialMT"/>
              </w:rPr>
              <w:t xml:space="preserve"> </w:t>
            </w:r>
            <w:r w:rsidRPr="00F60338">
              <w:rPr>
                <w:rFonts w:eastAsia="ArialMT" w:cs="ArialMT"/>
              </w:rPr>
              <w:t>Pozwoli to administratorom tych sieci na równoważne zmniejszenie produkcji</w:t>
            </w:r>
            <w:r>
              <w:rPr>
                <w:rFonts w:eastAsia="ArialMT" w:cs="ArialMT"/>
              </w:rPr>
              <w:t xml:space="preserve"> </w:t>
            </w:r>
            <w:r w:rsidRPr="00F60338">
              <w:rPr>
                <w:rFonts w:eastAsia="ArialMT" w:cs="ArialMT"/>
              </w:rPr>
              <w:t>energii w innych instalacjach, które są opalane głównie kopalinami naturalnymi.</w:t>
            </w:r>
          </w:p>
        </w:tc>
        <w:tc>
          <w:tcPr>
            <w:tcW w:w="7655" w:type="dxa"/>
          </w:tcPr>
          <w:p w:rsidR="00CC643A" w:rsidRPr="00274DF3" w:rsidRDefault="00274DF3" w:rsidP="00CC643A">
            <w:pPr>
              <w:rPr>
                <w:rFonts w:cstheme="minorHAnsi"/>
                <w:lang w:eastAsia="pl-PL"/>
              </w:rPr>
            </w:pPr>
            <w:r w:rsidRPr="00274DF3">
              <w:rPr>
                <w:rFonts w:cstheme="minorHAnsi"/>
                <w:lang w:eastAsia="pl-PL"/>
              </w:rPr>
              <w:t>NIE</w:t>
            </w:r>
          </w:p>
        </w:tc>
      </w:tr>
      <w:tr w:rsidR="00CC643A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CC643A" w:rsidRPr="00B95F15" w:rsidRDefault="00CC643A" w:rsidP="00CC643A">
            <w:pPr>
              <w:jc w:val="center"/>
              <w:rPr>
                <w:rFonts w:cstheme="minorHAnsi"/>
                <w:b/>
                <w:lang w:eastAsia="pl-PL"/>
              </w:rPr>
            </w:pPr>
            <w:r w:rsidRPr="00B95F15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CC643A" w:rsidTr="00CC643A">
        <w:tc>
          <w:tcPr>
            <w:tcW w:w="13887" w:type="dxa"/>
            <w:gridSpan w:val="2"/>
          </w:tcPr>
          <w:p w:rsidR="00CC643A" w:rsidRPr="00DB1C93" w:rsidRDefault="00274DF3" w:rsidP="00CC643A">
            <w:pPr>
              <w:rPr>
                <w:rFonts w:cstheme="minorHAnsi"/>
                <w:lang w:eastAsia="pl-PL"/>
              </w:rPr>
            </w:pPr>
            <w:proofErr w:type="spellStart"/>
            <w:r w:rsidRPr="00DB1C93">
              <w:rPr>
                <w:rFonts w:cstheme="minorHAnsi"/>
                <w:lang w:eastAsia="pl-PL"/>
              </w:rPr>
              <w:t>n.d</w:t>
            </w:r>
            <w:proofErr w:type="spellEnd"/>
            <w:r w:rsidRPr="00DB1C93">
              <w:rPr>
                <w:rFonts w:cstheme="minorHAnsi"/>
                <w:lang w:eastAsia="pl-PL"/>
              </w:rPr>
              <w:t xml:space="preserve">. </w:t>
            </w:r>
          </w:p>
        </w:tc>
      </w:tr>
    </w:tbl>
    <w:p w:rsidR="004662BE" w:rsidRDefault="004662BE" w:rsidP="006A0215">
      <w:pPr>
        <w:rPr>
          <w:rFonts w:cstheme="minorHAnsi"/>
          <w:lang w:eastAsia="pl-PL"/>
        </w:rPr>
      </w:pPr>
    </w:p>
    <w:p w:rsidR="00D86DD6" w:rsidRDefault="00C76E2A" w:rsidP="00DE2465">
      <w:pPr>
        <w:rPr>
          <w:rFonts w:cstheme="minorHAnsi"/>
          <w:b/>
          <w:sz w:val="28"/>
          <w:szCs w:val="28"/>
          <w:lang w:eastAsia="pl-PL"/>
        </w:rPr>
      </w:pPr>
      <w:r w:rsidRPr="00163B69">
        <w:rPr>
          <w:rFonts w:cstheme="minorHAnsi"/>
          <w:b/>
          <w:sz w:val="28"/>
          <w:szCs w:val="28"/>
          <w:lang w:eastAsia="pl-PL"/>
        </w:rPr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615EE" w:rsidTr="007A4A0C"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ETAP</w:t>
            </w:r>
          </w:p>
        </w:tc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 xml:space="preserve">ROZWIĄZANIA ZWIĄZANE ZE ZWIĘKSZANIEM ODPORNOŚCI INWESTYCJI 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ADAPTACJĄ (INNE)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ŁAGODZENIEM ZMIAN KLIMATU (INNE)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UJĘCIE OPCJI W PROJEKCIE</w:t>
            </w:r>
          </w:p>
        </w:tc>
        <w:tc>
          <w:tcPr>
            <w:tcW w:w="3498" w:type="dxa"/>
          </w:tcPr>
          <w:p w:rsidR="007A4A0C" w:rsidRPr="001660A1" w:rsidRDefault="00DB1C93" w:rsidP="007A4A0C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TAK</w:t>
            </w:r>
          </w:p>
        </w:tc>
        <w:tc>
          <w:tcPr>
            <w:tcW w:w="3499" w:type="dxa"/>
          </w:tcPr>
          <w:p w:rsidR="007A4A0C" w:rsidRPr="001660A1" w:rsidRDefault="00DB1C93" w:rsidP="007A4A0C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TAK</w:t>
            </w:r>
          </w:p>
        </w:tc>
        <w:tc>
          <w:tcPr>
            <w:tcW w:w="3499" w:type="dxa"/>
          </w:tcPr>
          <w:p w:rsidR="007A4A0C" w:rsidRPr="001660A1" w:rsidRDefault="001660A1" w:rsidP="007A4A0C">
            <w:pPr>
              <w:jc w:val="center"/>
              <w:rPr>
                <w:rFonts w:cstheme="minorHAnsi"/>
                <w:lang w:eastAsia="pl-PL"/>
              </w:rPr>
            </w:pPr>
            <w:r w:rsidRPr="001660A1">
              <w:rPr>
                <w:rFonts w:cstheme="minorHAnsi"/>
                <w:lang w:eastAsia="pl-PL"/>
              </w:rPr>
              <w:t>NIE</w:t>
            </w:r>
          </w:p>
        </w:tc>
      </w:tr>
      <w:tr w:rsidR="007A4A0C" w:rsidTr="007A4A0C">
        <w:tc>
          <w:tcPr>
            <w:tcW w:w="13994" w:type="dxa"/>
            <w:gridSpan w:val="4"/>
            <w:shd w:val="clear" w:color="auto" w:fill="00B0F0"/>
          </w:tcPr>
          <w:p w:rsidR="007A4A0C" w:rsidRPr="007A4A0C" w:rsidRDefault="0015763D" w:rsidP="007A4A0C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 xml:space="preserve">WPŁYW </w:t>
            </w:r>
            <w:r w:rsidR="007A4A0C" w:rsidRPr="00CB2DA1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:rsidTr="00C12615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REALIZACJI INWESTYCJI</w:t>
            </w:r>
          </w:p>
        </w:tc>
        <w:tc>
          <w:tcPr>
            <w:tcW w:w="10496" w:type="dxa"/>
            <w:gridSpan w:val="3"/>
          </w:tcPr>
          <w:p w:rsidR="0015763D" w:rsidRPr="0015763D" w:rsidRDefault="00DB1C93" w:rsidP="00F60338">
            <w:pPr>
              <w:autoSpaceDE w:val="0"/>
              <w:autoSpaceDN w:val="0"/>
              <w:adjustRightInd w:val="0"/>
            </w:pPr>
            <w:r w:rsidRPr="00DB1C93">
              <w:t xml:space="preserve">W projekcie nie wskazano by zastosowane rozwiązania powodowały </w:t>
            </w:r>
            <w:r w:rsidR="001660A1" w:rsidRPr="00DB1C93">
              <w:t>powstanie dodatkowych kosztów.</w:t>
            </w:r>
            <w:r w:rsidRPr="00DB1C93">
              <w:t xml:space="preserve"> Brak wyodrębnienia dodatkowych kosztów kogeneracji może wynikać z </w:t>
            </w:r>
            <w:r w:rsidRPr="00F60338">
              <w:rPr>
                <w:b/>
              </w:rPr>
              <w:t xml:space="preserve">ujęcia tego rozwiązania jako przyczyniającego </w:t>
            </w:r>
            <w:r w:rsidRPr="00F60338">
              <w:rPr>
                <w:b/>
              </w:rPr>
              <w:lastRenderedPageBreak/>
              <w:t>się do rezultatu finansowego przedsięwzięcia a nie korzyści środowiskowej</w:t>
            </w:r>
            <w:r>
              <w:t>, przy czym p</w:t>
            </w:r>
            <w:r w:rsidRPr="00DB1C93">
              <w:rPr>
                <w:rFonts w:eastAsia="ArialMT" w:cs="ArialMT"/>
              </w:rPr>
              <w:t>rzychody z tytułu kogeneracji stanowią niewielki udział w całości przychodów ze sprzedaży i nie przekraczają poziomu 2 proc.</w:t>
            </w:r>
            <w:r w:rsidR="00F60338">
              <w:rPr>
                <w:rFonts w:eastAsia="ArialMT" w:cs="ArialMT"/>
              </w:rPr>
              <w:t xml:space="preserve"> 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8155B8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lastRenderedPageBreak/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7A4A0C" w:rsidRPr="00B6487B" w:rsidRDefault="00F60338" w:rsidP="007A4A0C">
            <w:pPr>
              <w:jc w:val="center"/>
              <w:rPr>
                <w:rFonts w:cstheme="minorHAnsi"/>
                <w:lang w:eastAsia="pl-PL"/>
              </w:rPr>
            </w:pPr>
            <w:r w:rsidRPr="00B6487B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B6487B" w:rsidRDefault="00F60338" w:rsidP="007A4A0C">
            <w:pPr>
              <w:jc w:val="center"/>
              <w:rPr>
                <w:rFonts w:cstheme="minorHAnsi"/>
                <w:lang w:eastAsia="pl-PL"/>
              </w:rPr>
            </w:pPr>
            <w:r w:rsidRPr="00B6487B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B6487B" w:rsidRDefault="00F60338" w:rsidP="007A4A0C">
            <w:pPr>
              <w:jc w:val="center"/>
              <w:rPr>
                <w:rFonts w:cstheme="minorHAnsi"/>
                <w:lang w:eastAsia="pl-PL"/>
              </w:rPr>
            </w:pPr>
            <w:r w:rsidRPr="00B6487B">
              <w:rPr>
                <w:rFonts w:cstheme="minorHAnsi"/>
                <w:lang w:eastAsia="pl-PL"/>
              </w:rPr>
              <w:t>NIE</w:t>
            </w:r>
          </w:p>
        </w:tc>
      </w:tr>
      <w:tr w:rsidR="007A4A0C" w:rsidTr="00C12615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</w:tcPr>
          <w:p w:rsidR="007535C7" w:rsidRPr="00B6487B" w:rsidRDefault="00B6487B" w:rsidP="00B6487B">
            <w:pPr>
              <w:rPr>
                <w:rFonts w:cstheme="minorHAnsi"/>
                <w:lang w:eastAsia="pl-PL"/>
              </w:rPr>
            </w:pPr>
            <w:r w:rsidRPr="00B6487B">
              <w:rPr>
                <w:rFonts w:cstheme="minorHAnsi"/>
                <w:lang w:eastAsia="pl-PL"/>
              </w:rPr>
              <w:t>W</w:t>
            </w:r>
            <w:r w:rsidR="0015763D" w:rsidRPr="00B6487B">
              <w:rPr>
                <w:rFonts w:cstheme="minorHAnsi"/>
                <w:lang w:eastAsia="pl-PL"/>
              </w:rPr>
              <w:t xml:space="preserve"> dokumentacji </w:t>
            </w:r>
            <w:r w:rsidRPr="00B6487B">
              <w:rPr>
                <w:rFonts w:cstheme="minorHAnsi"/>
                <w:b/>
                <w:lang w:eastAsia="pl-PL"/>
              </w:rPr>
              <w:t xml:space="preserve">nie </w:t>
            </w:r>
            <w:r w:rsidR="0015763D" w:rsidRPr="00B6487B">
              <w:rPr>
                <w:rFonts w:cstheme="minorHAnsi"/>
                <w:b/>
                <w:lang w:eastAsia="pl-PL"/>
              </w:rPr>
              <w:t>określono</w:t>
            </w:r>
            <w:r w:rsidR="0015763D" w:rsidRPr="00B6487B">
              <w:rPr>
                <w:rFonts w:cstheme="minorHAnsi"/>
                <w:lang w:eastAsia="pl-PL"/>
              </w:rPr>
              <w:t xml:space="preserve"> jaki będzie wpływ uwzględnienia zagadnień związanych ze zmianami klimatu, ich łagodzeniem i przystosowaniem do tych zmian oraz odporności na klęski żywiołowe, na zmianę rzeczywistych lub planowanych kosztów użytkowania lub utrzymania infrastruktury</w:t>
            </w:r>
            <w:r w:rsidRPr="00B6487B">
              <w:rPr>
                <w:rFonts w:cstheme="minorHAnsi"/>
                <w:lang w:eastAsia="pl-PL"/>
              </w:rPr>
              <w:t xml:space="preserve">. 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15763D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 w:rsidR="008155B8"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 w:rsidR="008155B8"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7A4A0C" w:rsidRPr="00B6487B" w:rsidRDefault="00B6487B" w:rsidP="007A4A0C">
            <w:pPr>
              <w:jc w:val="center"/>
              <w:rPr>
                <w:rFonts w:cstheme="minorHAnsi"/>
                <w:lang w:eastAsia="pl-PL"/>
              </w:rPr>
            </w:pPr>
            <w:r w:rsidRPr="00B6487B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B6487B" w:rsidRDefault="00B6487B" w:rsidP="007A4A0C">
            <w:pPr>
              <w:jc w:val="center"/>
              <w:rPr>
                <w:rFonts w:cstheme="minorHAnsi"/>
                <w:lang w:eastAsia="pl-PL"/>
              </w:rPr>
            </w:pPr>
            <w:r w:rsidRPr="00B6487B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B6487B" w:rsidRDefault="00B6487B" w:rsidP="007A4A0C">
            <w:pPr>
              <w:jc w:val="center"/>
              <w:rPr>
                <w:rFonts w:cstheme="minorHAnsi"/>
                <w:lang w:eastAsia="pl-PL"/>
              </w:rPr>
            </w:pPr>
            <w:r w:rsidRPr="00B6487B">
              <w:rPr>
                <w:rFonts w:cstheme="minorHAnsi"/>
                <w:lang w:eastAsia="pl-PL"/>
              </w:rPr>
              <w:t>NIE</w:t>
            </w:r>
          </w:p>
        </w:tc>
      </w:tr>
      <w:tr w:rsidR="007A4A0C" w:rsidTr="00C12615">
        <w:tc>
          <w:tcPr>
            <w:tcW w:w="13994" w:type="dxa"/>
            <w:gridSpan w:val="4"/>
            <w:shd w:val="clear" w:color="auto" w:fill="00B0F0"/>
          </w:tcPr>
          <w:p w:rsidR="007A4A0C" w:rsidRPr="007A4A0C" w:rsidRDefault="007A4A0C" w:rsidP="007A4A0C">
            <w:pPr>
              <w:rPr>
                <w:rFonts w:cstheme="minorHAnsi"/>
                <w:b/>
                <w:i/>
                <w:color w:val="4472C4" w:themeColor="accent1"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:rsidTr="00C12615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POTECNJALNE KORZY</w:t>
            </w:r>
            <w:r w:rsidR="008155B8">
              <w:rPr>
                <w:rFonts w:cstheme="minorHAnsi"/>
                <w:lang w:eastAsia="pl-PL"/>
              </w:rPr>
              <w:t>ŚCI LUB KOSZTY UNIKNIETYCH STRAT</w:t>
            </w:r>
          </w:p>
        </w:tc>
        <w:tc>
          <w:tcPr>
            <w:tcW w:w="10496" w:type="dxa"/>
            <w:gridSpan w:val="3"/>
          </w:tcPr>
          <w:p w:rsidR="00B6487B" w:rsidRDefault="007535C7" w:rsidP="007535C7">
            <w:r w:rsidRPr="007535C7">
              <w:t xml:space="preserve">Na etapie AKK oszacowano </w:t>
            </w:r>
            <w:r w:rsidR="00B6487B">
              <w:t>następujące wartości korzyści</w:t>
            </w:r>
            <w:r w:rsidRPr="007535C7">
              <w:t>:</w:t>
            </w:r>
          </w:p>
          <w:p w:rsidR="007535C7" w:rsidRPr="007535C7" w:rsidRDefault="007535C7" w:rsidP="007535C7">
            <w:r w:rsidRPr="00B6487B">
              <w:rPr>
                <w:b/>
              </w:rPr>
              <w:t>Zmniejszenie emisji gazów cieplarnianych</w:t>
            </w:r>
            <w:r w:rsidRPr="007535C7">
              <w:t xml:space="preserve"> - wartość korzyści 31 031 926,94 PLN, udział w ogóle korzyści 11%;</w:t>
            </w:r>
          </w:p>
          <w:p w:rsidR="007535C7" w:rsidRDefault="007535C7" w:rsidP="007535C7">
            <w:r w:rsidRPr="00B6487B">
              <w:rPr>
                <w:b/>
              </w:rPr>
              <w:t>Zaoszczędzenie złóż węgla kamiennego</w:t>
            </w:r>
            <w:r w:rsidRPr="007535C7">
              <w:t xml:space="preserve">  wartość korzyści 250 517 135,00  udział w ogóle korzyści 89%</w:t>
            </w:r>
          </w:p>
          <w:p w:rsidR="00DD0EB9" w:rsidRPr="00DD0EB9" w:rsidRDefault="00DD0EB9" w:rsidP="007535C7">
            <w:r w:rsidRPr="00DD0EB9">
              <w:t xml:space="preserve">Przeprowadzono </w:t>
            </w:r>
            <w:r w:rsidRPr="00DD0EB9">
              <w:rPr>
                <w:b/>
              </w:rPr>
              <w:t>kalkulację efektu ekologicznego w postaci zmniejszenia emisji gazów cieplarnianych</w:t>
            </w:r>
            <w:r w:rsidRPr="00DD0EB9">
              <w:t xml:space="preserve"> porównawczo odnosząc się do emisji dwutlenku węgla pochodzącej ze spalania paliw kopalnych. Przedstawiono również szczegółową </w:t>
            </w:r>
            <w:r w:rsidRPr="00DD0EB9">
              <w:rPr>
                <w:b/>
              </w:rPr>
              <w:t>k</w:t>
            </w:r>
            <w:r w:rsidRPr="00DD0EB9">
              <w:rPr>
                <w:rFonts w:eastAsia="Arial-BoldMT" w:cs="Arial-BoldMT"/>
                <w:b/>
                <w:bCs/>
              </w:rPr>
              <w:t xml:space="preserve">alkulację wartości pozostawionego w złożu węgla kamiennego. </w:t>
            </w:r>
          </w:p>
          <w:p w:rsidR="00B6487B" w:rsidRDefault="00B6487B" w:rsidP="007535C7">
            <w:r>
              <w:t>Wymieniono dodatkowo choć ich nieoszacowano następujące korzyści;</w:t>
            </w:r>
          </w:p>
          <w:p w:rsidR="00B6487B" w:rsidRPr="00B6487B" w:rsidRDefault="00B6487B" w:rsidP="00B6487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ArialMT" w:cs="ArialMT"/>
              </w:rPr>
            </w:pPr>
            <w:r w:rsidRPr="00B6487B">
              <w:rPr>
                <w:rFonts w:eastAsia="ArialMT" w:cs="ArialMT"/>
              </w:rPr>
              <w:t>brak kar nałożonych na Polskę z powodu niewypełnienia wymagań UE,</w:t>
            </w:r>
          </w:p>
          <w:p w:rsidR="00B6487B" w:rsidRPr="00B6487B" w:rsidRDefault="00B6487B" w:rsidP="00B6487B">
            <w:pPr>
              <w:pStyle w:val="Akapitzlist"/>
              <w:numPr>
                <w:ilvl w:val="0"/>
                <w:numId w:val="7"/>
              </w:numPr>
              <w:rPr>
                <w:i/>
                <w:color w:val="0070C0"/>
              </w:rPr>
            </w:pPr>
            <w:r w:rsidRPr="00B6487B">
              <w:rPr>
                <w:rFonts w:eastAsia="ArialMT" w:cs="ArialMT"/>
              </w:rPr>
              <w:t>wzrost wartości gruntów w wyniku wybudowania spalarni.</w:t>
            </w:r>
            <w:r w:rsidRPr="00B6487B">
              <w:t xml:space="preserve"> </w:t>
            </w:r>
          </w:p>
        </w:tc>
      </w:tr>
      <w:tr w:rsidR="0015763D" w:rsidTr="008615EE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15763D" w:rsidRPr="000A0319" w:rsidRDefault="000A0319" w:rsidP="0015763D">
            <w:pPr>
              <w:jc w:val="center"/>
              <w:rPr>
                <w:rFonts w:cstheme="minorHAnsi"/>
                <w:lang w:eastAsia="pl-PL"/>
              </w:rPr>
            </w:pPr>
            <w:r w:rsidRPr="000A0319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15763D" w:rsidRPr="000A0319" w:rsidRDefault="000A0319" w:rsidP="0015763D">
            <w:pPr>
              <w:jc w:val="center"/>
              <w:rPr>
                <w:rFonts w:cstheme="minorHAnsi"/>
                <w:lang w:eastAsia="pl-PL"/>
              </w:rPr>
            </w:pPr>
            <w:r w:rsidRPr="000A0319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15763D" w:rsidRPr="000A0319" w:rsidRDefault="000A0319" w:rsidP="0015763D">
            <w:pPr>
              <w:jc w:val="center"/>
              <w:rPr>
                <w:rFonts w:cstheme="minorHAnsi"/>
                <w:lang w:eastAsia="pl-PL"/>
              </w:rPr>
            </w:pPr>
            <w:r w:rsidRPr="000A0319">
              <w:rPr>
                <w:rFonts w:cstheme="minorHAnsi"/>
                <w:lang w:eastAsia="pl-PL"/>
              </w:rPr>
              <w:t>TAK</w:t>
            </w:r>
          </w:p>
        </w:tc>
      </w:tr>
      <w:tr w:rsidR="00DE2465" w:rsidTr="00C12615">
        <w:tc>
          <w:tcPr>
            <w:tcW w:w="3498" w:type="dxa"/>
          </w:tcPr>
          <w:p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FAKTYCZNE KORZYŚCI</w:t>
            </w:r>
          </w:p>
          <w:p w:rsidR="00DE2465" w:rsidRPr="007A4A0C" w:rsidRDefault="00DE2465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(W TYM UNIKNIĘTE KOSZTY)</w:t>
            </w:r>
          </w:p>
        </w:tc>
        <w:tc>
          <w:tcPr>
            <w:tcW w:w="10496" w:type="dxa"/>
            <w:gridSpan w:val="3"/>
          </w:tcPr>
          <w:p w:rsidR="00DE2465" w:rsidRDefault="00DE2465" w:rsidP="0015763D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</w:p>
        </w:tc>
      </w:tr>
      <w:tr w:rsidR="001B3B4D" w:rsidTr="001B3B4D">
        <w:tc>
          <w:tcPr>
            <w:tcW w:w="13994" w:type="dxa"/>
            <w:gridSpan w:val="4"/>
            <w:shd w:val="clear" w:color="auto" w:fill="00B0F0"/>
          </w:tcPr>
          <w:p w:rsidR="001B3B4D" w:rsidRPr="001B3B4D" w:rsidRDefault="001B3B4D" w:rsidP="0015763D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 WYBRANYMI ZAŁOŻENIAMI PO</w:t>
            </w:r>
            <w:r w:rsidR="00143504">
              <w:rPr>
                <w:rFonts w:cstheme="minorHAnsi"/>
                <w:b/>
                <w:lang w:eastAsia="pl-PL"/>
              </w:rPr>
              <w:t>RADNIKA</w:t>
            </w:r>
          </w:p>
        </w:tc>
      </w:tr>
      <w:tr w:rsidR="001B3B4D" w:rsidTr="00C12615">
        <w:tc>
          <w:tcPr>
            <w:tcW w:w="6996" w:type="dxa"/>
            <w:gridSpan w:val="2"/>
          </w:tcPr>
          <w:p w:rsidR="001B3B4D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WYODRĘBNIENIE KOSZTÓW I KORZYŚCI</w:t>
            </w:r>
          </w:p>
          <w:p w:rsidR="001B3B4D" w:rsidRPr="002D3E1E" w:rsidRDefault="009F58BB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Przedmiotem weryfikacji jest następująca teza: </w:t>
            </w:r>
            <w:r w:rsidR="001B3B4D" w:rsidRPr="002D3E1E">
              <w:rPr>
                <w:rFonts w:cstheme="minorHAnsi"/>
                <w:lang w:eastAsia="pl-PL"/>
              </w:rPr>
              <w:t xml:space="preserve">Zgodnie z założeniami podręcznika (rozdział 6) w ramach AKK należy określić zarówno koszty działań adaptacyjnych lub wdrożenia opcji adaptacyjnych (jeżeli były realizowane) oraz koszty związane z emisjami gazów cieplarnianych. Z drugiej strony, korzyści przystosowawcze do zmian klimatu związane z </w:t>
            </w:r>
            <w:r w:rsidR="001B3B4D" w:rsidRPr="002D3E1E">
              <w:rPr>
                <w:rFonts w:cstheme="minorHAnsi"/>
                <w:lang w:eastAsia="pl-PL"/>
              </w:rPr>
              <w:lastRenderedPageBreak/>
              <w:t>projektem, jak również ewentualne korzyści wynikające z projektu związane z jego charakterem mitygacyjnym (zmniejszenie per saldo emisji gazów cieplarnianych do atmosfery – wyliczone zgodnie z metodologią śladu węglowego).</w:t>
            </w:r>
          </w:p>
        </w:tc>
        <w:tc>
          <w:tcPr>
            <w:tcW w:w="6998" w:type="dxa"/>
            <w:gridSpan w:val="2"/>
          </w:tcPr>
          <w:p w:rsidR="001660A1" w:rsidRPr="000A0319" w:rsidRDefault="000A0319" w:rsidP="000A0319">
            <w:pPr>
              <w:rPr>
                <w:rFonts w:cstheme="minorHAnsi"/>
                <w:lang w:eastAsia="pl-PL"/>
              </w:rPr>
            </w:pPr>
            <w:r w:rsidRPr="000A0319">
              <w:rPr>
                <w:rFonts w:cstheme="minorHAnsi"/>
                <w:lang w:eastAsia="pl-PL"/>
              </w:rPr>
              <w:lastRenderedPageBreak/>
              <w:t xml:space="preserve">W analizie </w:t>
            </w:r>
            <w:r w:rsidRPr="000A0319">
              <w:rPr>
                <w:rFonts w:cstheme="minorHAnsi"/>
                <w:b/>
                <w:lang w:eastAsia="pl-PL"/>
              </w:rPr>
              <w:t>nie ujęto kosztów</w:t>
            </w:r>
            <w:r w:rsidRPr="000A0319">
              <w:rPr>
                <w:rFonts w:cstheme="minorHAnsi"/>
                <w:lang w:eastAsia="pl-PL"/>
              </w:rPr>
              <w:t xml:space="preserve"> działań adaptacyjnych oraz kosztów związanych z emisjami gazów cieplarnianych. </w:t>
            </w:r>
            <w:r w:rsidRPr="000A0319">
              <w:rPr>
                <w:rFonts w:cstheme="minorHAnsi"/>
                <w:b/>
                <w:lang w:eastAsia="pl-PL"/>
              </w:rPr>
              <w:t>Oszacowano korzyści</w:t>
            </w:r>
            <w:r w:rsidRPr="000A0319">
              <w:rPr>
                <w:rFonts w:cstheme="minorHAnsi"/>
                <w:lang w:eastAsia="pl-PL"/>
              </w:rPr>
              <w:t xml:space="preserve"> wynikające ze zmniejszenia</w:t>
            </w:r>
            <w:r w:rsidR="001660A1" w:rsidRPr="000A0319">
              <w:rPr>
                <w:rFonts w:cstheme="minorHAnsi"/>
                <w:lang w:eastAsia="pl-PL"/>
              </w:rPr>
              <w:t xml:space="preserve"> emisji gazów cieplarnianych </w:t>
            </w:r>
            <w:r w:rsidRPr="000A0319">
              <w:rPr>
                <w:rFonts w:cstheme="minorHAnsi"/>
                <w:lang w:eastAsia="pl-PL"/>
              </w:rPr>
              <w:t>i zaoszczędzenia</w:t>
            </w:r>
            <w:r w:rsidR="001660A1" w:rsidRPr="000A0319">
              <w:rPr>
                <w:rFonts w:cstheme="minorHAnsi"/>
                <w:lang w:eastAsia="pl-PL"/>
              </w:rPr>
              <w:t xml:space="preserve"> złóż węgla kamiennego </w:t>
            </w:r>
            <w:r w:rsidRPr="000A0319">
              <w:rPr>
                <w:rFonts w:cstheme="minorHAnsi"/>
                <w:lang w:eastAsia="pl-PL"/>
              </w:rPr>
              <w:t xml:space="preserve">. </w:t>
            </w:r>
          </w:p>
        </w:tc>
      </w:tr>
      <w:tr w:rsidR="001B3B4D" w:rsidTr="00C12615">
        <w:tc>
          <w:tcPr>
            <w:tcW w:w="6996" w:type="dxa"/>
            <w:gridSpan w:val="2"/>
          </w:tcPr>
          <w:p w:rsidR="001B3B4D" w:rsidRDefault="001B3B4D" w:rsidP="0015763D">
            <w:pPr>
              <w:rPr>
                <w:rFonts w:cstheme="minorHAnsi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ZAŁOŻEŃ W ANALI</w:t>
            </w:r>
            <w:r w:rsidR="00482AFF">
              <w:rPr>
                <w:rFonts w:cstheme="minorHAnsi"/>
                <w:b/>
                <w:lang w:eastAsia="pl-PL"/>
              </w:rPr>
              <w:t>ZIE</w:t>
            </w:r>
            <w:r w:rsidRPr="001B3B4D">
              <w:rPr>
                <w:rFonts w:cstheme="minorHAnsi"/>
                <w:b/>
                <w:lang w:eastAsia="pl-PL"/>
              </w:rPr>
              <w:t xml:space="preserve"> </w:t>
            </w:r>
            <w:r w:rsidR="00482AFF">
              <w:rPr>
                <w:rFonts w:cstheme="minorHAnsi"/>
                <w:b/>
                <w:lang w:eastAsia="pl-PL"/>
              </w:rPr>
              <w:t>WARIANTÓW NA ETAPIE AKK I OOŚ</w:t>
            </w:r>
            <w:r>
              <w:rPr>
                <w:rFonts w:cstheme="minorHAnsi"/>
                <w:lang w:eastAsia="pl-PL"/>
              </w:rPr>
              <w:t xml:space="preserve"> (dotyczy, jeżeli sporządzono raport OOŚ)</w:t>
            </w:r>
          </w:p>
          <w:p w:rsidR="001B3B4D" w:rsidRPr="002D3E1E" w:rsidRDefault="009F58BB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Przedmiotem weryfikacji jest następująca teza: </w:t>
            </w:r>
            <w:r w:rsidR="001B3B4D" w:rsidRPr="002D3E1E">
              <w:rPr>
                <w:rFonts w:cstheme="minorHAnsi"/>
                <w:lang w:eastAsia="pl-PL"/>
              </w:rPr>
              <w:t>Analiza opcji w OOŚ o AKK powinna odnosić się do tych samych wariantów</w:t>
            </w:r>
            <w:r w:rsidR="00DE2465" w:rsidRPr="002D3E1E">
              <w:rPr>
                <w:rFonts w:cstheme="minorHAnsi"/>
                <w:lang w:eastAsia="pl-PL"/>
              </w:rPr>
              <w:t xml:space="preserve"> realizacji przedsięwzięcia</w:t>
            </w:r>
            <w:r w:rsidR="001B3B4D" w:rsidRPr="002D3E1E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6998" w:type="dxa"/>
            <w:gridSpan w:val="2"/>
          </w:tcPr>
          <w:p w:rsidR="001B3B4D" w:rsidRDefault="00AE3DCE" w:rsidP="0015763D">
            <w:pPr>
              <w:rPr>
                <w:rFonts w:cstheme="minorHAnsi"/>
                <w:lang w:eastAsia="pl-PL"/>
              </w:rPr>
            </w:pPr>
            <w:r w:rsidRPr="00AE3DCE">
              <w:rPr>
                <w:rFonts w:cstheme="minorHAnsi"/>
                <w:b/>
                <w:lang w:eastAsia="pl-PL"/>
              </w:rPr>
              <w:t>Na etapie preselekcji występowała nieznaczna różnica w liczbie wariantów technologicznych</w:t>
            </w:r>
            <w:r>
              <w:rPr>
                <w:rFonts w:cstheme="minorHAnsi"/>
                <w:lang w:eastAsia="pl-PL"/>
              </w:rPr>
              <w:t xml:space="preserve"> analizowanych na etapie </w:t>
            </w:r>
            <w:r w:rsidR="00E30F68">
              <w:rPr>
                <w:rFonts w:cstheme="minorHAnsi"/>
                <w:lang w:eastAsia="pl-PL"/>
              </w:rPr>
              <w:t xml:space="preserve">OOŚ i AKK. </w:t>
            </w:r>
            <w:r>
              <w:rPr>
                <w:rFonts w:cstheme="minorHAnsi"/>
                <w:lang w:eastAsia="pl-PL"/>
              </w:rPr>
              <w:t xml:space="preserve">Warianty wybrane do realizacji były tymi samymi w obu analizach. </w:t>
            </w:r>
          </w:p>
          <w:p w:rsidR="0029468B" w:rsidRPr="00AE3DCE" w:rsidRDefault="0029468B" w:rsidP="0015763D">
            <w:pPr>
              <w:rPr>
                <w:rFonts w:cstheme="minorHAnsi"/>
                <w:lang w:eastAsia="pl-PL"/>
              </w:rPr>
            </w:pPr>
          </w:p>
          <w:p w:rsidR="00AE3DCE" w:rsidRDefault="006506CD" w:rsidP="0015763D">
            <w:pPr>
              <w:rPr>
                <w:rFonts w:cstheme="minorHAnsi"/>
                <w:b/>
                <w:lang w:eastAsia="pl-PL"/>
              </w:rPr>
            </w:pPr>
            <w:r w:rsidRPr="00AE3DCE">
              <w:rPr>
                <w:rFonts w:cstheme="minorHAnsi"/>
                <w:b/>
                <w:lang w:eastAsia="pl-PL"/>
              </w:rPr>
              <w:t>W Raporcie OOŚ</w:t>
            </w:r>
            <w:r w:rsidRPr="00AE3DCE">
              <w:rPr>
                <w:rFonts w:cstheme="minorHAnsi"/>
                <w:lang w:eastAsia="pl-PL"/>
              </w:rPr>
              <w:t xml:space="preserve"> analizowano </w:t>
            </w:r>
            <w:r w:rsidRPr="00AE3DCE">
              <w:rPr>
                <w:rFonts w:cstheme="minorHAnsi"/>
                <w:b/>
                <w:lang w:eastAsia="pl-PL"/>
              </w:rPr>
              <w:t>warianty lokalizacyjne</w:t>
            </w:r>
            <w:r w:rsidRPr="00AE3DCE">
              <w:rPr>
                <w:rFonts w:cstheme="minorHAnsi"/>
                <w:lang w:eastAsia="pl-PL"/>
              </w:rPr>
              <w:t xml:space="preserve"> (3 lokalizacje), </w:t>
            </w:r>
            <w:r w:rsidRPr="00AE3DCE">
              <w:rPr>
                <w:rFonts w:cstheme="minorHAnsi"/>
                <w:b/>
                <w:lang w:eastAsia="pl-PL"/>
              </w:rPr>
              <w:t>technologiczne</w:t>
            </w:r>
            <w:r w:rsidRPr="00AE3DCE">
              <w:rPr>
                <w:rFonts w:cstheme="minorHAnsi"/>
                <w:lang w:eastAsia="pl-PL"/>
              </w:rPr>
              <w:t xml:space="preserve"> (piec rusztowy, kocioł fluidalny, piroliza, zagazowanie wraz z wariantowymi rozwiązaniami w zakresie oczyszczania spalin), </w:t>
            </w:r>
            <w:r w:rsidRPr="00AE3DCE">
              <w:rPr>
                <w:rFonts w:cstheme="minorHAnsi"/>
                <w:b/>
                <w:lang w:eastAsia="pl-PL"/>
              </w:rPr>
              <w:t>wysokość komina</w:t>
            </w:r>
            <w:r w:rsidRPr="00AE3DCE">
              <w:rPr>
                <w:rFonts w:cstheme="minorHAnsi"/>
                <w:lang w:eastAsia="pl-PL"/>
              </w:rPr>
              <w:t xml:space="preserve"> (65 m, 45 m). </w:t>
            </w:r>
            <w:r w:rsidR="00AE3DCE" w:rsidRPr="00AE3DCE">
              <w:rPr>
                <w:rFonts w:cstheme="minorHAnsi"/>
                <w:lang w:eastAsia="pl-PL"/>
              </w:rPr>
              <w:t xml:space="preserve">Finalnie do OOŚ zakwalifikowano </w:t>
            </w:r>
            <w:r w:rsidR="00AE3DCE" w:rsidRPr="00AE3DCE">
              <w:rPr>
                <w:rFonts w:cstheme="minorHAnsi"/>
                <w:b/>
                <w:lang w:eastAsia="pl-PL"/>
              </w:rPr>
              <w:t xml:space="preserve">wariant lokalizacyjny w Gdańsku przy ul. Jabłoniowej z technologią spalania odpadów w piecu rusztowym. </w:t>
            </w:r>
          </w:p>
          <w:p w:rsidR="0029468B" w:rsidRPr="00AE3DCE" w:rsidRDefault="0029468B" w:rsidP="0015763D">
            <w:pPr>
              <w:rPr>
                <w:rFonts w:cstheme="minorHAnsi"/>
                <w:b/>
                <w:lang w:eastAsia="pl-PL"/>
              </w:rPr>
            </w:pPr>
          </w:p>
          <w:p w:rsidR="001660A1" w:rsidRPr="00E30F68" w:rsidRDefault="00AE3DCE" w:rsidP="001660A1">
            <w:pPr>
              <w:rPr>
                <w:rFonts w:cstheme="minorHAnsi"/>
                <w:lang w:eastAsia="pl-PL"/>
              </w:rPr>
            </w:pPr>
            <w:r w:rsidRPr="00AE3DCE">
              <w:rPr>
                <w:rFonts w:cstheme="minorHAnsi"/>
                <w:lang w:eastAsia="pl-PL"/>
              </w:rPr>
              <w:t xml:space="preserve">W </w:t>
            </w:r>
            <w:proofErr w:type="spellStart"/>
            <w:r w:rsidRPr="00AE3DCE">
              <w:rPr>
                <w:rFonts w:cstheme="minorHAnsi"/>
                <w:lang w:eastAsia="pl-PL"/>
              </w:rPr>
              <w:t>WoD</w:t>
            </w:r>
            <w:proofErr w:type="spellEnd"/>
            <w:r w:rsidRPr="00AE3DCE">
              <w:rPr>
                <w:rFonts w:cstheme="minorHAnsi"/>
                <w:lang w:eastAsia="pl-PL"/>
              </w:rPr>
              <w:t xml:space="preserve"> analizowano </w:t>
            </w:r>
            <w:r w:rsidRPr="00AE3DCE">
              <w:rPr>
                <w:rFonts w:cstheme="minorHAnsi"/>
                <w:b/>
                <w:lang w:eastAsia="pl-PL"/>
              </w:rPr>
              <w:t>warianty lokalizacyjne</w:t>
            </w:r>
            <w:r w:rsidRPr="00AE3DCE">
              <w:rPr>
                <w:rFonts w:cstheme="minorHAnsi"/>
                <w:lang w:eastAsia="pl-PL"/>
              </w:rPr>
              <w:t xml:space="preserve"> (3 lokalizacje), </w:t>
            </w:r>
            <w:r w:rsidRPr="00AE3DCE">
              <w:rPr>
                <w:rFonts w:cstheme="minorHAnsi"/>
                <w:b/>
                <w:lang w:eastAsia="pl-PL"/>
              </w:rPr>
              <w:t>technologiczne</w:t>
            </w:r>
            <w:r w:rsidRPr="00AE3DCE">
              <w:rPr>
                <w:rFonts w:cstheme="minorHAnsi"/>
                <w:lang w:eastAsia="pl-PL"/>
              </w:rPr>
              <w:t xml:space="preserve"> (piec rusztowy, kocioł fluidalny, piroliza, plazma, zgazowanie). </w:t>
            </w:r>
            <w:r w:rsidRPr="00AE3DCE">
              <w:rPr>
                <w:rFonts w:cs="Arial"/>
              </w:rPr>
              <w:t xml:space="preserve">Na podstawie preselekcji opcji technologicznych do dalszych analiz zakwalifikowano technologię oparta na kotle rusztowym i alternatywnie fluidalnym. Za najkorzystniejszy wariant realizacji przedsięwzięcia uznano </w:t>
            </w:r>
            <w:r w:rsidRPr="00AE3DCE">
              <w:rPr>
                <w:rFonts w:cs="Arial"/>
                <w:b/>
              </w:rPr>
              <w:t>budowę zakładu termicznego przekształcania odpadów w lokalizacji na terenie Zakład Utylizacyjny Sp. z o.o. w Gdańsku w technice spalania na ruszcie</w:t>
            </w:r>
            <w:r w:rsidRPr="00AE3DCE">
              <w:rPr>
                <w:rFonts w:cs="Arial"/>
              </w:rPr>
              <w:t xml:space="preserve">. </w:t>
            </w:r>
          </w:p>
        </w:tc>
      </w:tr>
      <w:tr w:rsidR="001B3B4D" w:rsidTr="00C12615">
        <w:tc>
          <w:tcPr>
            <w:tcW w:w="6996" w:type="dxa"/>
            <w:gridSpan w:val="2"/>
          </w:tcPr>
          <w:p w:rsidR="001B3B4D" w:rsidRDefault="00482AFF" w:rsidP="0015763D">
            <w:pPr>
              <w:rPr>
                <w:rFonts w:cstheme="minorHAnsi"/>
                <w:b/>
                <w:lang w:eastAsia="pl-PL"/>
              </w:rPr>
            </w:pPr>
            <w:r w:rsidRPr="00482AFF">
              <w:rPr>
                <w:rFonts w:cstheme="minorHAnsi"/>
                <w:b/>
                <w:lang w:eastAsia="pl-PL"/>
              </w:rPr>
              <w:t>ODNIESIENIE DO BEZPO</w:t>
            </w:r>
            <w:r w:rsidR="00143504">
              <w:rPr>
                <w:rFonts w:cstheme="minorHAnsi"/>
                <w:b/>
                <w:lang w:eastAsia="pl-PL"/>
              </w:rPr>
              <w:t>Ś</w:t>
            </w:r>
            <w:r w:rsidRPr="00482AFF">
              <w:rPr>
                <w:rFonts w:cstheme="minorHAnsi"/>
                <w:b/>
                <w:lang w:eastAsia="pl-PL"/>
              </w:rPr>
              <w:t>REDNICH I POŚREDNICH EMISJI GAZÓW CIEPLARNIANYCH</w:t>
            </w:r>
          </w:p>
          <w:p w:rsidR="00482AFF" w:rsidRPr="002D3E1E" w:rsidRDefault="009F58BB" w:rsidP="00482AFF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Przedmiotem weryfikacji jest następująca teza: </w:t>
            </w:r>
            <w:r w:rsidR="00482AFF" w:rsidRPr="002D3E1E">
              <w:rPr>
                <w:rFonts w:cstheme="minorHAnsi"/>
                <w:lang w:eastAsia="pl-PL"/>
              </w:rPr>
              <w:t xml:space="preserve">W analizie dotyczącej emisji gazów cieplarnianych powinny zostać wzięte pod uwagę następujące źródła emisji: </w:t>
            </w:r>
          </w:p>
          <w:p w:rsidR="00482AFF" w:rsidRPr="002D3E1E" w:rsidRDefault="00482AFF" w:rsidP="00482AFF">
            <w:pPr>
              <w:rPr>
                <w:rFonts w:cstheme="minorHAnsi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t>- bezpośrednie emisje gazów cieplarnianych generowane w fazie realizacji, a także wynikające z fazy eksploatacyjnej oraz likwidacyjnej przedsięwzięcia (proponowanego projektu), włączając zmiany formy użytkowania terenu oraz zalesienia;</w:t>
            </w:r>
          </w:p>
          <w:p w:rsidR="00482AFF" w:rsidRPr="002D3E1E" w:rsidRDefault="00482AFF" w:rsidP="00482AFF">
            <w:pPr>
              <w:rPr>
                <w:rFonts w:cstheme="minorHAnsi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lastRenderedPageBreak/>
              <w:t>- niebezpośrednie (pośrednie) emisje gazów cieplarnianych wynikające ze zwiększonego popytu na energię;</w:t>
            </w:r>
          </w:p>
          <w:p w:rsidR="00482AFF" w:rsidRPr="00482AFF" w:rsidRDefault="00482AFF" w:rsidP="00482AFF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t>- pośrednie emisje gazów cieplarnianych spowodowane działalnością dodatkową oraz infrastrukturą, która będzie bezpośrednio związana z wdrażaniem proponowanego projektu (np. infrastruktura transportowa, gospodarowanie odpadami itp.).</w:t>
            </w:r>
          </w:p>
        </w:tc>
        <w:tc>
          <w:tcPr>
            <w:tcW w:w="6998" w:type="dxa"/>
            <w:gridSpan w:val="2"/>
          </w:tcPr>
          <w:p w:rsidR="001B3B4D" w:rsidRPr="0029468B" w:rsidRDefault="0029468B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29468B">
              <w:rPr>
                <w:rFonts w:cstheme="minorHAnsi"/>
                <w:b/>
                <w:lang w:eastAsia="pl-PL"/>
              </w:rPr>
              <w:lastRenderedPageBreak/>
              <w:t>Tak, uwzględniono zarówno bezpośrednie jak i pośrednie gazów cieplarnianych z fazy realizacji i eksploatacji</w:t>
            </w:r>
            <w:r>
              <w:rPr>
                <w:rFonts w:cstheme="minorHAnsi"/>
                <w:lang w:eastAsia="pl-PL"/>
              </w:rPr>
              <w:t xml:space="preserve">. Pominięto emisje z fazy likwidacji. </w:t>
            </w:r>
            <w:r w:rsidRPr="0029468B">
              <w:rPr>
                <w:rFonts w:cstheme="minorHAnsi"/>
                <w:lang w:eastAsia="pl-PL"/>
              </w:rPr>
              <w:t xml:space="preserve">Oszacowano </w:t>
            </w:r>
            <w:r>
              <w:rPr>
                <w:rFonts w:cstheme="minorHAnsi"/>
                <w:lang w:eastAsia="pl-PL"/>
              </w:rPr>
              <w:t>wielkość emisji bezpośredniej CO</w:t>
            </w:r>
            <w:r w:rsidRPr="0029468B">
              <w:rPr>
                <w:rFonts w:cstheme="minorHAnsi"/>
                <w:vertAlign w:val="subscript"/>
                <w:lang w:eastAsia="pl-PL"/>
              </w:rPr>
              <w:t>2</w:t>
            </w:r>
            <w:r>
              <w:rPr>
                <w:rFonts w:cstheme="minorHAnsi"/>
                <w:lang w:eastAsia="pl-PL"/>
              </w:rPr>
              <w:t xml:space="preserve"> z fazy eksploatacji. </w:t>
            </w:r>
          </w:p>
          <w:p w:rsidR="00E30F68" w:rsidRDefault="00E30F68" w:rsidP="001660A1">
            <w:pPr>
              <w:rPr>
                <w:rFonts w:cstheme="minorHAnsi"/>
                <w:lang w:eastAsia="pl-PL"/>
              </w:rPr>
            </w:pPr>
          </w:p>
          <w:p w:rsidR="0029468B" w:rsidRDefault="0029468B" w:rsidP="00E30F68">
            <w:pPr>
              <w:autoSpaceDE w:val="0"/>
              <w:autoSpaceDN w:val="0"/>
              <w:adjustRightInd w:val="0"/>
              <w:rPr>
                <w:rFonts w:eastAsia="ArialMT" w:cs="ArialMT"/>
              </w:rPr>
            </w:pPr>
            <w:r>
              <w:rPr>
                <w:rFonts w:eastAsia="ArialMT" w:cs="ArialMT"/>
              </w:rPr>
              <w:t xml:space="preserve">W SW odniesiono się do </w:t>
            </w:r>
            <w:r w:rsidRPr="0029468B">
              <w:rPr>
                <w:rFonts w:eastAsia="ArialMT" w:cs="ArialMT"/>
                <w:b/>
              </w:rPr>
              <w:t>emisji bezpośredniej gazów cieplarnianych z fazy realizacji przedsięwzięcia</w:t>
            </w:r>
            <w:r>
              <w:rPr>
                <w:rFonts w:eastAsia="ArialMT" w:cs="ArialMT"/>
              </w:rPr>
              <w:t xml:space="preserve">, wskazując jako jej źródła emisje ze spalania paliw w silnikach pojazdów i urządzeń. </w:t>
            </w:r>
          </w:p>
          <w:p w:rsidR="0029468B" w:rsidRDefault="0029468B" w:rsidP="00E30F68">
            <w:pPr>
              <w:autoSpaceDE w:val="0"/>
              <w:autoSpaceDN w:val="0"/>
              <w:adjustRightInd w:val="0"/>
              <w:rPr>
                <w:rFonts w:eastAsia="ArialMT" w:cs="ArialMT"/>
              </w:rPr>
            </w:pPr>
          </w:p>
          <w:p w:rsidR="0029468B" w:rsidRDefault="0029468B" w:rsidP="00E30F68">
            <w:pPr>
              <w:autoSpaceDE w:val="0"/>
              <w:autoSpaceDN w:val="0"/>
              <w:adjustRightInd w:val="0"/>
              <w:rPr>
                <w:rFonts w:eastAsia="ArialMT" w:cs="ArialMT"/>
              </w:rPr>
            </w:pPr>
            <w:r>
              <w:rPr>
                <w:rFonts w:eastAsia="ArialMT" w:cs="ArialMT"/>
              </w:rPr>
              <w:lastRenderedPageBreak/>
              <w:t xml:space="preserve">Wspomniano również o </w:t>
            </w:r>
            <w:r w:rsidRPr="0029468B">
              <w:rPr>
                <w:rFonts w:eastAsia="ArialMT" w:cs="ArialMT"/>
                <w:b/>
              </w:rPr>
              <w:t>pośredniej gazów cieplarnianych w fazie realizacji</w:t>
            </w:r>
            <w:r>
              <w:rPr>
                <w:rFonts w:eastAsia="ArialMT" w:cs="ArialMT"/>
              </w:rPr>
              <w:t xml:space="preserve">, wnikającej z zapotrzebowania na energię w fazie budowy. </w:t>
            </w:r>
          </w:p>
          <w:p w:rsidR="0029468B" w:rsidRDefault="0029468B" w:rsidP="00E30F68">
            <w:pPr>
              <w:autoSpaceDE w:val="0"/>
              <w:autoSpaceDN w:val="0"/>
              <w:adjustRightInd w:val="0"/>
              <w:rPr>
                <w:rFonts w:eastAsia="ArialMT" w:cs="ArialMT"/>
              </w:rPr>
            </w:pPr>
          </w:p>
          <w:p w:rsidR="007535C7" w:rsidRPr="00E30F68" w:rsidRDefault="00E30F68" w:rsidP="00E30F68">
            <w:pPr>
              <w:autoSpaceDE w:val="0"/>
              <w:autoSpaceDN w:val="0"/>
              <w:adjustRightInd w:val="0"/>
              <w:rPr>
                <w:rFonts w:cstheme="minorHAnsi"/>
                <w:lang w:eastAsia="pl-PL"/>
              </w:rPr>
            </w:pPr>
            <w:r>
              <w:rPr>
                <w:rFonts w:eastAsia="ArialMT" w:cs="ArialMT"/>
              </w:rPr>
              <w:t xml:space="preserve">W SW odniesiono się do </w:t>
            </w:r>
            <w:r w:rsidRPr="00E30F68">
              <w:rPr>
                <w:rFonts w:eastAsia="ArialMT" w:cs="ArialMT"/>
                <w:b/>
              </w:rPr>
              <w:t>emisji bezpośredniej gazów cieplarnianych pochodzącej z fazy eksploatacji przedsięwzięcia</w:t>
            </w:r>
            <w:r>
              <w:rPr>
                <w:rFonts w:eastAsia="ArialMT" w:cs="ArialMT"/>
              </w:rPr>
              <w:t xml:space="preserve">. Wskazano na ograniczenie tej emisji (głównie </w:t>
            </w:r>
            <w:r w:rsidRPr="00E30F68">
              <w:rPr>
                <w:rFonts w:eastAsia="ArialMT" w:cs="ArialMT"/>
              </w:rPr>
              <w:t>CO</w:t>
            </w:r>
            <w:r w:rsidRPr="00E30F68">
              <w:rPr>
                <w:rFonts w:eastAsia="ArialMT" w:cs="ArialMT"/>
                <w:vertAlign w:val="subscript"/>
              </w:rPr>
              <w:t>2</w:t>
            </w:r>
            <w:r>
              <w:rPr>
                <w:rFonts w:eastAsia="ArialMT" w:cs="ArialMT"/>
              </w:rPr>
              <w:t xml:space="preserve">) </w:t>
            </w:r>
            <w:r w:rsidRPr="00E30F68">
              <w:rPr>
                <w:rFonts w:eastAsia="ArialMT" w:cs="ArialMT"/>
              </w:rPr>
              <w:t>w</w:t>
            </w:r>
            <w:r>
              <w:rPr>
                <w:rFonts w:eastAsia="ArialMT" w:cs="ArialMT"/>
              </w:rPr>
              <w:t xml:space="preserve"> wyniku zastąpienia paliw kopalnych odpadami. O</w:t>
            </w:r>
            <w:r w:rsidR="007535C7" w:rsidRPr="007535C7">
              <w:rPr>
                <w:rFonts w:cstheme="minorHAnsi"/>
                <w:lang w:eastAsia="pl-PL"/>
              </w:rPr>
              <w:t>bliczono średnioroczną emisję CO</w:t>
            </w:r>
            <w:r w:rsidR="007535C7" w:rsidRPr="00E30F68">
              <w:rPr>
                <w:rFonts w:cstheme="minorHAnsi"/>
                <w:vertAlign w:val="subscript"/>
                <w:lang w:eastAsia="pl-PL"/>
              </w:rPr>
              <w:t>2</w:t>
            </w:r>
            <w:r w:rsidR="007535C7" w:rsidRPr="007535C7">
              <w:rPr>
                <w:rFonts w:cstheme="minorHAnsi"/>
                <w:lang w:eastAsia="pl-PL"/>
              </w:rPr>
              <w:t xml:space="preserve"> na poziomie </w:t>
            </w:r>
            <w:r w:rsidR="007535C7" w:rsidRPr="00E30F68">
              <w:rPr>
                <w:rFonts w:cstheme="minorHAnsi"/>
                <w:b/>
                <w:lang w:eastAsia="pl-PL"/>
              </w:rPr>
              <w:t>146 720 Mg.</w:t>
            </w:r>
          </w:p>
        </w:tc>
      </w:tr>
    </w:tbl>
    <w:p w:rsidR="008615EE" w:rsidRDefault="008615EE" w:rsidP="006A0215">
      <w:pPr>
        <w:rPr>
          <w:rFonts w:cstheme="minorHAnsi"/>
          <w:i/>
          <w:color w:val="4472C4" w:themeColor="accent1"/>
          <w:lang w:eastAsia="pl-PL"/>
        </w:rPr>
      </w:pPr>
    </w:p>
    <w:p w:rsidR="00230E7E" w:rsidRPr="00163B69" w:rsidRDefault="00230E7E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IDENTYFIKACJA DOBRYCH PRAKTYK</w:t>
      </w:r>
    </w:p>
    <w:p w:rsidR="000A0319" w:rsidRPr="00275EF5" w:rsidRDefault="000A0319" w:rsidP="000A0319">
      <w:r w:rsidRPr="00275EF5">
        <w:rPr>
          <w:rFonts w:cstheme="minorHAnsi"/>
          <w:lang w:eastAsia="pl-PL"/>
        </w:rPr>
        <w:t xml:space="preserve">W Projekcie wyróżnia się </w:t>
      </w:r>
      <w:r w:rsidRPr="00275EF5">
        <w:rPr>
          <w:rFonts w:cstheme="minorHAnsi"/>
          <w:b/>
          <w:lang w:eastAsia="pl-PL"/>
        </w:rPr>
        <w:t>logiczny ciąg analityczny określający odporność projektu na bieżą</w:t>
      </w:r>
      <w:r w:rsidRPr="00275EF5">
        <w:rPr>
          <w:b/>
        </w:rPr>
        <w:t>cą zmienność i przyszłe zmiany klimatu</w:t>
      </w:r>
      <w:r w:rsidRPr="00275EF5">
        <w:t xml:space="preserve"> przeprowadzony w oparciu o analizę wrażliwości (określenie wagi wpływu); ocenę narażenia na zagrożenia związane z klimatem; ocenę podatności; ocenę ryzyka i ocenę wpływu czynników klimatycznych na przedsięwzięcie. Precyzyjnie opisano </w:t>
      </w:r>
      <w:r w:rsidRPr="00275EF5">
        <w:rPr>
          <w:rFonts w:eastAsia="Arial-BoldMT" w:cs="Arial-BoldMT"/>
          <w:bCs/>
        </w:rPr>
        <w:t>warunki meteorologiczne i klimat w obrębie planowanego przedsięwzięcia</w:t>
      </w:r>
      <w:r w:rsidR="00275EF5" w:rsidRPr="00275EF5">
        <w:rPr>
          <w:rFonts w:eastAsia="Arial-BoldMT" w:cs="Arial-BoldMT"/>
          <w:bCs/>
        </w:rPr>
        <w:t xml:space="preserve">, uwzględniając ich specyfikę lokalizacyjną. Przeanalizowano zarówno kwestie temperatury powietrza jak i wielkości opadów, uwzględniono położenie przedsięwzięcia względem map ryzyka powodziowego, przeanalizowano różę wiatrów, Ocenie poddano wieloletnie zmiany podstawowych zmiennych klimatycznych i typowano logiczne wnioski z przeprowadzonych analiz. Tym samym udowodniono, że uwarunkowania lokalizacyjnie specyfika projektu nie wskazują na konieczność podejmowania szczególnych środków. Zaproponowane rozwiązania zachowują właściwą relację do niskiego poziomu oszacowanego ryzyka klimatycznego </w:t>
      </w:r>
      <w:r w:rsidR="00275EF5" w:rsidRPr="00275EF5">
        <w:rPr>
          <w:rFonts w:eastAsia="Arial-BoldMT" w:cs="Arial-BoldMT"/>
          <w:b/>
          <w:bCs/>
        </w:rPr>
        <w:t>i nie pozostawiają wątpliwości, że ryzyko to nie zostało zbagatelizowane a brak wyodrębnionych kosztów adaptacji i odporności na zmiany klimatyczne jest odpowiedzią na ustalony analitycznie niski poziom ryzyka</w:t>
      </w:r>
      <w:r w:rsidR="00275EF5" w:rsidRPr="00275EF5">
        <w:rPr>
          <w:rFonts w:eastAsia="Arial-BoldMT" w:cs="Arial-BoldMT"/>
          <w:bCs/>
        </w:rPr>
        <w:t xml:space="preserve">. </w:t>
      </w:r>
    </w:p>
    <w:p w:rsidR="00275EF5" w:rsidRDefault="00275EF5" w:rsidP="006A0215">
      <w:pPr>
        <w:rPr>
          <w:rFonts w:cstheme="minorHAnsi"/>
          <w:lang w:eastAsia="pl-PL"/>
        </w:rPr>
      </w:pPr>
      <w:r w:rsidRPr="00275EF5">
        <w:rPr>
          <w:rFonts w:cstheme="minorHAnsi"/>
          <w:lang w:eastAsia="pl-PL"/>
        </w:rPr>
        <w:t xml:space="preserve">Wyróżniona w Projekcie </w:t>
      </w:r>
      <w:r w:rsidRPr="00275EF5">
        <w:rPr>
          <w:rFonts w:cstheme="minorHAnsi"/>
          <w:b/>
          <w:lang w:eastAsia="pl-PL"/>
        </w:rPr>
        <w:t>metodologia oceny ryzyka ma charakter uniwersalny</w:t>
      </w:r>
      <w:r w:rsidRPr="00275EF5">
        <w:rPr>
          <w:rFonts w:cstheme="minorHAnsi"/>
          <w:lang w:eastAsia="pl-PL"/>
        </w:rPr>
        <w:t xml:space="preserve"> i powinna być stosowana we wszystkich projektach o podobnym charakterze. </w:t>
      </w:r>
    </w:p>
    <w:p w:rsidR="003C0894" w:rsidRPr="003C0894" w:rsidRDefault="00275EF5" w:rsidP="003C0894">
      <w:r w:rsidRPr="003C0894">
        <w:rPr>
          <w:rFonts w:cstheme="minorHAnsi"/>
          <w:lang w:eastAsia="pl-PL"/>
        </w:rPr>
        <w:t xml:space="preserve">Pod względem działań adaptacyjnych należy wskazać stosowaną w Projekcie kogenerację pozwalającą na dostosowanie formy wytwarzanej energii do zapotrzebowania wynikającego ze zmiennych warunków pogodowych. </w:t>
      </w:r>
      <w:r w:rsidR="003C0894" w:rsidRPr="003C0894">
        <w:t xml:space="preserve">Przewidziano </w:t>
      </w:r>
      <w:r w:rsidR="003C0894" w:rsidRPr="003C0894">
        <w:rPr>
          <w:b/>
        </w:rPr>
        <w:t>możliwość minimalizowania wytwarzania energii cieplnej na rzecz wytwarzania energii elektrycznej</w:t>
      </w:r>
      <w:r w:rsidR="003C0894" w:rsidRPr="003C0894">
        <w:t>, na którą będzie podwyższone zapotrzebowanie</w:t>
      </w:r>
      <w:r w:rsidR="003C0894">
        <w:t xml:space="preserve">. </w:t>
      </w:r>
    </w:p>
    <w:p w:rsidR="00D74E49" w:rsidRPr="00163B69" w:rsidRDefault="00D74E49" w:rsidP="006A0215">
      <w:pPr>
        <w:rPr>
          <w:b/>
          <w:sz w:val="28"/>
          <w:szCs w:val="28"/>
        </w:rPr>
      </w:pPr>
      <w:bookmarkStart w:id="0" w:name="_GoBack"/>
      <w:bookmarkEnd w:id="0"/>
      <w:r w:rsidRPr="00163B69">
        <w:rPr>
          <w:b/>
          <w:sz w:val="28"/>
          <w:szCs w:val="28"/>
        </w:rPr>
        <w:t>CZYNNIKI OGRANICZAJĄCE ZASTOSOWANIE PORODNIKA</w:t>
      </w:r>
      <w:r w:rsidR="00DE2465" w:rsidRPr="00163B69">
        <w:rPr>
          <w:b/>
          <w:sz w:val="28"/>
          <w:szCs w:val="28"/>
        </w:rPr>
        <w:t xml:space="preserve"> PRZEZ BENEFICJENTÓW</w:t>
      </w:r>
    </w:p>
    <w:p w:rsidR="00DE2465" w:rsidRPr="002D3E1E" w:rsidRDefault="00DE2465" w:rsidP="006A0215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:rsidR="00160D9B" w:rsidRPr="00160D9B" w:rsidRDefault="00160D9B" w:rsidP="00160D9B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0D411A" w:rsidRPr="00163B69" w:rsidRDefault="000D411A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INNE MATERIAŁY WYKORZYSTYWANE NA ETAPIE PRZYGOTOWANIA PROJEKTÓW</w:t>
      </w:r>
    </w:p>
    <w:p w:rsidR="002D3E1E" w:rsidRPr="002D3E1E" w:rsidRDefault="002D3E1E" w:rsidP="006A0215">
      <w:pPr>
        <w:rPr>
          <w:b/>
          <w:color w:val="0070C0"/>
        </w:rPr>
      </w:pPr>
      <w:r w:rsidRPr="002D3E1E">
        <w:rPr>
          <w:b/>
          <w:color w:val="0070C0"/>
        </w:rPr>
        <w:lastRenderedPageBreak/>
        <w:t>(na podstawie TDI)</w:t>
      </w:r>
    </w:p>
    <w:p w:rsidR="00160D9B" w:rsidRPr="00160D9B" w:rsidRDefault="00160D9B" w:rsidP="00160D9B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D74E49" w:rsidRPr="00163B69" w:rsidRDefault="00D74E49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CZYNNIKI OGRANICZAJĄCE ZASTOSOWANIE ROZWIĄZAŃ ZWIĄZANYCH ZE ZMIANAMI KLIMATU, ICH ŁAGODZENIEM I PRZYSTOSOWANIEM DO TYCH ZMIAN ORAZ ODPORNOŚCI NA KLĘSKI ŻYWIOŁOWE</w:t>
      </w:r>
    </w:p>
    <w:p w:rsidR="00DE2465" w:rsidRPr="002D3E1E" w:rsidRDefault="00DE2465" w:rsidP="006A0215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:rsidR="00160D9B" w:rsidRPr="00160D9B" w:rsidRDefault="00160D9B" w:rsidP="00160D9B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014C2C" w:rsidRPr="00163B69" w:rsidRDefault="000D411A" w:rsidP="00D74E49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ZAKRES OPCJI KLIMATYCZNYCH STOSOWANYCH W PROJEKTACH FINANSOWANYCH Z INNYCH ŹRÓDEŁ</w:t>
      </w:r>
    </w:p>
    <w:p w:rsidR="000D411A" w:rsidRPr="002D3E1E" w:rsidRDefault="000D411A" w:rsidP="000D411A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:rsidR="00160D9B" w:rsidRDefault="00160D9B" w:rsidP="00160D9B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160D9B" w:rsidRPr="00862552" w:rsidRDefault="00160D9B" w:rsidP="00862552">
      <w:pPr>
        <w:spacing w:before="120" w:after="120" w:line="276" w:lineRule="auto"/>
        <w:jc w:val="both"/>
        <w:rPr>
          <w:rFonts w:cstheme="minorHAnsi"/>
          <w:color w:val="0070C0"/>
          <w:lang w:eastAsia="pl-PL"/>
        </w:rPr>
      </w:pPr>
    </w:p>
    <w:sectPr w:rsidR="00160D9B" w:rsidRPr="00862552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47EF" w:rsidRDefault="002A47EF" w:rsidP="00866F5D">
      <w:pPr>
        <w:spacing w:after="0" w:line="240" w:lineRule="auto"/>
      </w:pPr>
      <w:r>
        <w:separator/>
      </w:r>
    </w:p>
  </w:endnote>
  <w:endnote w:type="continuationSeparator" w:id="0">
    <w:p w:rsidR="002A47EF" w:rsidRDefault="002A47EF" w:rsidP="00866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47EF" w:rsidRDefault="002A47EF" w:rsidP="00866F5D">
      <w:pPr>
        <w:spacing w:after="0" w:line="240" w:lineRule="auto"/>
      </w:pPr>
      <w:r>
        <w:separator/>
      </w:r>
    </w:p>
  </w:footnote>
  <w:footnote w:type="continuationSeparator" w:id="0">
    <w:p w:rsidR="002A47EF" w:rsidRDefault="002A47EF" w:rsidP="00866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2" w15:restartNumberingAfterBreak="0">
    <w:nsid w:val="33835EAC"/>
    <w:multiLevelType w:val="hybridMultilevel"/>
    <w:tmpl w:val="368E5058"/>
    <w:lvl w:ilvl="0" w:tplc="A42CC1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8A5A36"/>
    <w:multiLevelType w:val="hybridMultilevel"/>
    <w:tmpl w:val="3A36B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6" w15:restartNumberingAfterBreak="0">
    <w:nsid w:val="61473E5D"/>
    <w:multiLevelType w:val="hybridMultilevel"/>
    <w:tmpl w:val="8E8CF2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215"/>
    <w:rsid w:val="00014C2C"/>
    <w:rsid w:val="00021455"/>
    <w:rsid w:val="00042A66"/>
    <w:rsid w:val="00092AE3"/>
    <w:rsid w:val="000A0319"/>
    <w:rsid w:val="000D411A"/>
    <w:rsid w:val="00120A9F"/>
    <w:rsid w:val="00143504"/>
    <w:rsid w:val="00146A73"/>
    <w:rsid w:val="0015763D"/>
    <w:rsid w:val="00160D9B"/>
    <w:rsid w:val="00163B69"/>
    <w:rsid w:val="001660A1"/>
    <w:rsid w:val="001A0D0D"/>
    <w:rsid w:val="001B3B4D"/>
    <w:rsid w:val="001B3E52"/>
    <w:rsid w:val="001D49F1"/>
    <w:rsid w:val="00226A30"/>
    <w:rsid w:val="00230E7E"/>
    <w:rsid w:val="00274DF3"/>
    <w:rsid w:val="00275EF5"/>
    <w:rsid w:val="0029468B"/>
    <w:rsid w:val="002A47EF"/>
    <w:rsid w:val="002D3E1E"/>
    <w:rsid w:val="003272F3"/>
    <w:rsid w:val="003719E6"/>
    <w:rsid w:val="0038570D"/>
    <w:rsid w:val="003C03A7"/>
    <w:rsid w:val="003C0894"/>
    <w:rsid w:val="003E3373"/>
    <w:rsid w:val="003F2E99"/>
    <w:rsid w:val="004002EE"/>
    <w:rsid w:val="0044652E"/>
    <w:rsid w:val="00457898"/>
    <w:rsid w:val="004662BE"/>
    <w:rsid w:val="00482AFF"/>
    <w:rsid w:val="004D43D1"/>
    <w:rsid w:val="00517853"/>
    <w:rsid w:val="0056579D"/>
    <w:rsid w:val="005B0647"/>
    <w:rsid w:val="00600253"/>
    <w:rsid w:val="006506CD"/>
    <w:rsid w:val="00675B8E"/>
    <w:rsid w:val="006A0215"/>
    <w:rsid w:val="006D6EC3"/>
    <w:rsid w:val="006E3C60"/>
    <w:rsid w:val="007051D7"/>
    <w:rsid w:val="007168F4"/>
    <w:rsid w:val="007535C7"/>
    <w:rsid w:val="007A3C08"/>
    <w:rsid w:val="007A4A0C"/>
    <w:rsid w:val="007B08A4"/>
    <w:rsid w:val="0080161A"/>
    <w:rsid w:val="008155B8"/>
    <w:rsid w:val="0081711D"/>
    <w:rsid w:val="008615EE"/>
    <w:rsid w:val="00862552"/>
    <w:rsid w:val="00866F5D"/>
    <w:rsid w:val="008737DA"/>
    <w:rsid w:val="008D26DF"/>
    <w:rsid w:val="008E217D"/>
    <w:rsid w:val="009F58BB"/>
    <w:rsid w:val="00A20F14"/>
    <w:rsid w:val="00A34900"/>
    <w:rsid w:val="00AB21A8"/>
    <w:rsid w:val="00AE3DCE"/>
    <w:rsid w:val="00B17FB0"/>
    <w:rsid w:val="00B40A84"/>
    <w:rsid w:val="00B6487B"/>
    <w:rsid w:val="00B95F15"/>
    <w:rsid w:val="00BA2D24"/>
    <w:rsid w:val="00C12615"/>
    <w:rsid w:val="00C3639E"/>
    <w:rsid w:val="00C76E2A"/>
    <w:rsid w:val="00C8332C"/>
    <w:rsid w:val="00C83EC3"/>
    <w:rsid w:val="00CB2DA1"/>
    <w:rsid w:val="00CC643A"/>
    <w:rsid w:val="00D74E49"/>
    <w:rsid w:val="00D86DD6"/>
    <w:rsid w:val="00DB1C93"/>
    <w:rsid w:val="00DD0EB9"/>
    <w:rsid w:val="00DE2465"/>
    <w:rsid w:val="00E20452"/>
    <w:rsid w:val="00E30F68"/>
    <w:rsid w:val="00E7407F"/>
    <w:rsid w:val="00ED1B59"/>
    <w:rsid w:val="00EE1AB0"/>
    <w:rsid w:val="00F60338"/>
    <w:rsid w:val="00F9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A0F8E"/>
  <w15:docId w15:val="{D59DAFCF-8BF9-43AD-9F7F-DE430F874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168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F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F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F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2573</Words>
  <Characters>15440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Iza</cp:lastModifiedBy>
  <cp:revision>5</cp:revision>
  <dcterms:created xsi:type="dcterms:W3CDTF">2018-10-10T07:21:00Z</dcterms:created>
  <dcterms:modified xsi:type="dcterms:W3CDTF">2018-11-16T00:15:00Z</dcterms:modified>
</cp:coreProperties>
</file>