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59040C">
        <w:rPr>
          <w:b/>
        </w:rPr>
        <w:t xml:space="preserve"> </w:t>
      </w:r>
      <w:r w:rsidR="00F54AB3" w:rsidRPr="00F54AB3">
        <w:rPr>
          <w:b/>
        </w:rPr>
        <w:t>2.3 Gospodarka wodno-ściekowa w aglomeracjach</w:t>
      </w:r>
    </w:p>
    <w:p w:rsidR="0091713A" w:rsidRDefault="0056579D" w:rsidP="00230E7E">
      <w:pPr>
        <w:rPr>
          <w:b/>
        </w:rPr>
      </w:pPr>
      <w:r>
        <w:rPr>
          <w:b/>
        </w:rPr>
        <w:t>Nazwa projektu:</w:t>
      </w:r>
      <w:r w:rsidR="00F54AB3">
        <w:rPr>
          <w:b/>
        </w:rPr>
        <w:t xml:space="preserve"> </w:t>
      </w:r>
      <w:r w:rsidR="001E5D9B" w:rsidRPr="001E5D9B">
        <w:rPr>
          <w:b/>
        </w:rPr>
        <w:t>Ochrona wód zbiornika wody pitnej dla aglomeracji Górnego Śląska poprzez uporządkowanie gospodarki wodno-ściekowej na terenie aglomeracji Chybie</w:t>
      </w:r>
    </w:p>
    <w:p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E55CA2" w:rsidRPr="00E55CA2">
        <w:rPr>
          <w:b/>
        </w:rPr>
        <w:t>POIS.02.03.00-00-0</w:t>
      </w:r>
      <w:r w:rsidR="001E5D9B">
        <w:rPr>
          <w:b/>
        </w:rPr>
        <w:t>256</w:t>
      </w:r>
      <w:r w:rsidR="00E55CA2" w:rsidRPr="00E55CA2">
        <w:rPr>
          <w:b/>
        </w:rPr>
        <w:t>/16</w:t>
      </w:r>
    </w:p>
    <w:p w:rsidR="00C12CEC" w:rsidRDefault="0056579D" w:rsidP="00230E7E">
      <w:pPr>
        <w:rPr>
          <w:rFonts w:ascii="Arial" w:hAnsi="Arial" w:cs="Arial"/>
          <w:sz w:val="20"/>
          <w:szCs w:val="20"/>
        </w:rPr>
      </w:pPr>
      <w:r>
        <w:rPr>
          <w:b/>
        </w:rPr>
        <w:t>Beneficjent:</w:t>
      </w:r>
      <w:r w:rsidR="00F54AB3">
        <w:rPr>
          <w:b/>
        </w:rPr>
        <w:t xml:space="preserve"> </w:t>
      </w:r>
      <w:r w:rsidR="001E5D9B" w:rsidRPr="001E5D9B">
        <w:rPr>
          <w:b/>
        </w:rPr>
        <w:t>Gmina Chybie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F54AB3">
        <w:rPr>
          <w:b/>
        </w:rPr>
        <w:t xml:space="preserve"> </w:t>
      </w:r>
      <w:r w:rsidR="001E5D9B" w:rsidRPr="001E5D9B">
        <w:rPr>
          <w:b/>
        </w:rPr>
        <w:t>59</w:t>
      </w:r>
      <w:r w:rsidR="001E5D9B">
        <w:rPr>
          <w:b/>
        </w:rPr>
        <w:t xml:space="preserve"> </w:t>
      </w:r>
      <w:r w:rsidR="001E5D9B" w:rsidRPr="001E5D9B">
        <w:rPr>
          <w:b/>
        </w:rPr>
        <w:t>815</w:t>
      </w:r>
      <w:r w:rsidR="001E5D9B">
        <w:rPr>
          <w:b/>
        </w:rPr>
        <w:t xml:space="preserve"> </w:t>
      </w:r>
      <w:r w:rsidR="001E5D9B" w:rsidRPr="001E5D9B">
        <w:rPr>
          <w:b/>
        </w:rPr>
        <w:t>010,16</w:t>
      </w:r>
      <w:r w:rsidR="001E5D9B">
        <w:rPr>
          <w:b/>
        </w:rPr>
        <w:t xml:space="preserve"> </w:t>
      </w:r>
      <w:r w:rsidR="0059040C">
        <w:rPr>
          <w:b/>
        </w:rPr>
        <w:t>PLN</w:t>
      </w:r>
    </w:p>
    <w:p w:rsidR="00E55CA2" w:rsidRDefault="0056579D" w:rsidP="0023392A">
      <w:pPr>
        <w:autoSpaceDE w:val="0"/>
        <w:autoSpaceDN w:val="0"/>
        <w:adjustRightInd w:val="0"/>
        <w:spacing w:after="0" w:line="240" w:lineRule="auto"/>
        <w:jc w:val="both"/>
      </w:pPr>
      <w:r>
        <w:rPr>
          <w:b/>
        </w:rPr>
        <w:t>Krótki opis:</w:t>
      </w:r>
      <w:r w:rsidR="00E55CA2">
        <w:t xml:space="preserve"> </w:t>
      </w:r>
      <w:r w:rsidR="001E5D9B" w:rsidRPr="001E5D9B">
        <w:t xml:space="preserve">Projekt realizowany jest na obszarze aglomeracji Chybie o RLM=10 600, wyznaczonej Rozporządzeniem nr 1/07 Wojewody Śląskiego z dnia 9 stycznia 2007r. Aglomeracja Chybie wpisana jest w Master Planie oraz w załączniku nr 2 do aktualizacji KPOSK 2015 zatwierdzonej 21.04.2016r. – </w:t>
      </w:r>
      <w:proofErr w:type="spellStart"/>
      <w:r w:rsidR="001E5D9B" w:rsidRPr="001E5D9B">
        <w:t>l_d</w:t>
      </w:r>
      <w:proofErr w:type="spellEnd"/>
      <w:r w:rsidR="001E5D9B" w:rsidRPr="001E5D9B">
        <w:t xml:space="preserve"> aglomeracji – PLSL119N. Projekt obejmuje następujące zadania inwestycyjne: Zadanie 1 - Rozbudowa układu gospodarki osadowej oczyszczalni ścieków Mnich. Zadanie obejmuje rozbudowę istniejącego ciągu technologicznego oś Mnich w obiekty, urządzenia oraz niezbędne sieci technologiczne, zapewniające poprawienie właściwości energetycznych osadów ściekowych, umożliwiających jego efektywne wtórne wykorzystanie tj. skierowanie osadu ściekowego do instalacji produkcji biogazu. Zadanie 2 - Budowa sieci kanalizacji sanitarnej w Gminie Chybie - etap II zad. 4 i etap III. Zadanie obejmuje budowę systemu kanalizacji sanitarnej w Gminie Chybie na terenie miejscowości Chybie, Mnich, Frelichów, Zaborze. Łączna długość budowanej kanalizacji sanitarnej - 46,8 km. Zadanie 3 - Montaż instalacji fotowoltaicznej na oczyszczalni ścieków Mnich - o rocznej produkcji energii 20900 kWh</w:t>
      </w:r>
    </w:p>
    <w:p w:rsidR="001E5D9B" w:rsidRDefault="001E5D9B" w:rsidP="00E55CA2">
      <w:pPr>
        <w:autoSpaceDE w:val="0"/>
        <w:autoSpaceDN w:val="0"/>
        <w:adjustRightInd w:val="0"/>
        <w:spacing w:after="0" w:line="240" w:lineRule="auto"/>
      </w:pPr>
    </w:p>
    <w:p w:rsidR="0056579D" w:rsidRPr="00DE2465" w:rsidRDefault="004F08E8" w:rsidP="00230E7E">
      <w:pPr>
        <w:rPr>
          <w:b/>
          <w:sz w:val="28"/>
          <w:szCs w:val="28"/>
        </w:rPr>
      </w:pPr>
      <w:r>
        <w:t>.</w:t>
      </w:r>
      <w:r w:rsidR="00230E7E"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8"/>
        <w:gridCol w:w="1591"/>
        <w:gridCol w:w="3402"/>
        <w:gridCol w:w="1647"/>
        <w:gridCol w:w="5387"/>
      </w:tblGrid>
      <w:tr w:rsidR="006D6EC3" w:rsidTr="00CC643A">
        <w:tc>
          <w:tcPr>
            <w:tcW w:w="13975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C643A">
        <w:tc>
          <w:tcPr>
            <w:tcW w:w="194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9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40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64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387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Stopniowy wzrost temperatury powietrza (np. dłuższe okresy oscylowania temperatury w </w:t>
            </w:r>
            <w:r w:rsidRPr="00F928E8">
              <w:rPr>
                <w:sz w:val="20"/>
                <w:szCs w:val="20"/>
              </w:rPr>
              <w:lastRenderedPageBreak/>
              <w:t>okolicach O st. C) i związane z nimi niekorzystne zjawiska (np. oblodzenie).</w:t>
            </w:r>
          </w:p>
        </w:tc>
        <w:tc>
          <w:tcPr>
            <w:tcW w:w="1591" w:type="dxa"/>
          </w:tcPr>
          <w:p w:rsidR="006D6EC3" w:rsidRPr="00F928E8" w:rsidRDefault="00D6105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402" w:type="dxa"/>
          </w:tcPr>
          <w:p w:rsidR="006D6EC3" w:rsidRPr="00F928E8" w:rsidRDefault="006D6EC3" w:rsidP="0059040C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604C64" w:rsidRPr="00604C64" w:rsidRDefault="00604C64" w:rsidP="00D6105C">
            <w:pPr>
              <w:pStyle w:val="Akapitzlist"/>
              <w:ind w:left="231"/>
              <w:rPr>
                <w:sz w:val="20"/>
                <w:szCs w:val="20"/>
              </w:rPr>
            </w:pP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Ekstremalny wzrost temperatury i związane z nimi zjawiska (np. fale upałów, pożary, miejskie wyspy ciepła)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6D6EC3" w:rsidP="00D45C3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F928E8" w:rsidRDefault="00247CCE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Wzrost temperatur - niski poziom ryzyka</w:t>
            </w:r>
          </w:p>
        </w:tc>
        <w:tc>
          <w:tcPr>
            <w:tcW w:w="5387" w:type="dxa"/>
          </w:tcPr>
          <w:p w:rsidR="0004299F" w:rsidRDefault="00247CCE" w:rsidP="00247CCE">
            <w:pPr>
              <w:autoSpaceDE w:val="0"/>
              <w:autoSpaceDN w:val="0"/>
              <w:adjustRightInd w:val="0"/>
              <w:rPr>
                <w:rFonts w:eastAsia="TT78Fo00" w:cs="TT78Fo00"/>
                <w:i/>
                <w:sz w:val="20"/>
                <w:szCs w:val="20"/>
              </w:rPr>
            </w:pPr>
            <w:r w:rsidRPr="00247CCE">
              <w:rPr>
                <w:rFonts w:eastAsia="TT78Fo00" w:cs="TT78Fo00"/>
                <w:i/>
                <w:sz w:val="20"/>
                <w:szCs w:val="20"/>
              </w:rPr>
              <w:t>Wieloletnia eksploatacja oczyszczalni ścieków Mnich pozwala stwierdzić, że istniejące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urządzenia technologiczne zapewniają prawidłowość procesów technologicznych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niezależnie od wzrostu temperatur. Równocześnie zadanie polegające na rozbudowie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gospodarki osadowej nie wiąże się z zabudową urządzeń technologicznych których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wrażliwość na wzrost temperatury mogłaby prowadzić do zakłócenia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procesu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oczyszczania ścieków.</w:t>
            </w:r>
          </w:p>
          <w:p w:rsidR="003B0376" w:rsidRPr="003B0376" w:rsidRDefault="003B0376" w:rsidP="003B037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 w:rsidRPr="003B0376">
              <w:rPr>
                <w:rFonts w:cs="Arial"/>
                <w:sz w:val="20"/>
                <w:szCs w:val="20"/>
              </w:rPr>
              <w:t>ułożenie kanałów ze spadkiem gwarantującym możliwość płynięcia ścieków w okresach tzw. suchych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91" w:type="dxa"/>
          </w:tcPr>
          <w:p w:rsidR="006D6EC3" w:rsidRPr="00F928E8" w:rsidRDefault="00D45C3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0D3CD2" w:rsidRDefault="000D3CD2" w:rsidP="00247CCE">
            <w:pPr>
              <w:rPr>
                <w:sz w:val="20"/>
                <w:szCs w:val="20"/>
              </w:rPr>
            </w:pPr>
            <w:r w:rsidRPr="000D3C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04299F" w:rsidRPr="000D3CD2" w:rsidRDefault="0004299F" w:rsidP="0013530B">
            <w:pPr>
              <w:pStyle w:val="Akapitzlist"/>
              <w:autoSpaceDE w:val="0"/>
              <w:autoSpaceDN w:val="0"/>
              <w:adjustRightInd w:val="0"/>
              <w:ind w:left="315"/>
              <w:rPr>
                <w:rFonts w:eastAsia="BookmanOldStyle" w:cs="BookmanOldStyle"/>
                <w:sz w:val="20"/>
                <w:szCs w:val="20"/>
              </w:rPr>
            </w:pP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A12FAD" w:rsidP="00062CE1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powódź, intensywne lub długotrwałe opady</w:t>
            </w:r>
          </w:p>
        </w:tc>
        <w:tc>
          <w:tcPr>
            <w:tcW w:w="1647" w:type="dxa"/>
          </w:tcPr>
          <w:p w:rsidR="006D6EC3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Powódź - </w:t>
            </w:r>
            <w:r w:rsidR="003D020D">
              <w:rPr>
                <w:sz w:val="20"/>
                <w:szCs w:val="20"/>
              </w:rPr>
              <w:t>niski poziom ryzyka</w:t>
            </w:r>
            <w:r w:rsidR="0004299F">
              <w:rPr>
                <w:sz w:val="20"/>
                <w:szCs w:val="20"/>
              </w:rPr>
              <w:t>;</w:t>
            </w:r>
          </w:p>
          <w:p w:rsidR="0004299F" w:rsidRPr="00F928E8" w:rsidRDefault="0004299F" w:rsidP="00DF473C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intensywne lub długotrwałe opady</w:t>
            </w:r>
            <w:r>
              <w:rPr>
                <w:sz w:val="20"/>
                <w:szCs w:val="20"/>
              </w:rPr>
              <w:t xml:space="preserve"> - </w:t>
            </w:r>
            <w:r w:rsidR="003D020D">
              <w:rPr>
                <w:sz w:val="20"/>
                <w:szCs w:val="20"/>
              </w:rPr>
              <w:t>niski poziom ryzyka</w:t>
            </w:r>
          </w:p>
        </w:tc>
        <w:tc>
          <w:tcPr>
            <w:tcW w:w="5387" w:type="dxa"/>
          </w:tcPr>
          <w:p w:rsidR="00247CCE" w:rsidRDefault="00247CCE" w:rsidP="00247CC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9"/>
              <w:rPr>
                <w:rFonts w:eastAsia="TT78Fo00" w:cs="TT78Fo00"/>
                <w:sz w:val="20"/>
                <w:szCs w:val="20"/>
              </w:rPr>
            </w:pPr>
            <w:r w:rsidRPr="00247CCE">
              <w:rPr>
                <w:rFonts w:eastAsia="TT78Fo00" w:cs="TT78Fo00"/>
                <w:sz w:val="20"/>
                <w:szCs w:val="20"/>
              </w:rPr>
              <w:t xml:space="preserve">zastosowanie materiałów budowlanych odpornych na wodę – zbiorniki technologiczne wykonane zostaną jako żelbetowe monolityczne wylewane na miejscu budowy, </w:t>
            </w:r>
          </w:p>
          <w:p w:rsidR="00247CCE" w:rsidRDefault="00247CCE" w:rsidP="00247CC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9"/>
              <w:rPr>
                <w:rFonts w:eastAsia="TT78Fo00" w:cs="TT78Fo00"/>
                <w:sz w:val="20"/>
                <w:szCs w:val="20"/>
              </w:rPr>
            </w:pPr>
            <w:r w:rsidRPr="00247CCE">
              <w:rPr>
                <w:rFonts w:eastAsia="TT78Fo00" w:cs="TT78Fo00"/>
                <w:sz w:val="20"/>
                <w:szCs w:val="20"/>
              </w:rPr>
              <w:t>obiekty wykonywane na placu budowy zostaną wykonane z betonów</w:t>
            </w:r>
            <w:r>
              <w:rPr>
                <w:rFonts w:eastAsia="TT78Fo00" w:cs="TT78Fo00"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sz w:val="20"/>
                <w:szCs w:val="20"/>
              </w:rPr>
              <w:t xml:space="preserve">konstrukcyjnych wodoszczelnych, </w:t>
            </w:r>
          </w:p>
          <w:p w:rsidR="00D32025" w:rsidRPr="00D32025" w:rsidRDefault="00247CCE" w:rsidP="00D3202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9"/>
              <w:rPr>
                <w:rFonts w:eastAsia="TT78Fo00" w:cs="TT78Fo00"/>
                <w:sz w:val="20"/>
                <w:szCs w:val="20"/>
              </w:rPr>
            </w:pPr>
            <w:r w:rsidRPr="00247CCE">
              <w:rPr>
                <w:rFonts w:eastAsia="TT78Fo00" w:cs="TT78Fo00"/>
                <w:sz w:val="20"/>
                <w:szCs w:val="20"/>
              </w:rPr>
              <w:t>wszystkie powierzchnie zewnętrzne pionowych ścian</w:t>
            </w:r>
            <w:r>
              <w:rPr>
                <w:rFonts w:eastAsia="TT78Fo00" w:cs="TT78Fo00"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sz w:val="20"/>
                <w:szCs w:val="20"/>
              </w:rPr>
              <w:t>betonowych zostaną zabezpieczone powłoką izolacyjną</w:t>
            </w:r>
          </w:p>
          <w:p w:rsidR="00D32025" w:rsidRDefault="00D32025" w:rsidP="00D3202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9"/>
              <w:rPr>
                <w:rFonts w:eastAsia="TT78Fo00" w:cs="TT78Fo00"/>
                <w:sz w:val="20"/>
                <w:szCs w:val="20"/>
              </w:rPr>
            </w:pPr>
            <w:r w:rsidRPr="00D32025">
              <w:rPr>
                <w:rFonts w:eastAsia="TT78Fo00" w:cs="TT78Fo00"/>
                <w:sz w:val="20"/>
                <w:szCs w:val="20"/>
              </w:rPr>
              <w:t>Wykonanie szczelnego systemu kanalizacji sanitarnej z zapewnieniem szczelności</w:t>
            </w:r>
            <w:r>
              <w:rPr>
                <w:rFonts w:eastAsia="TT78Fo00" w:cs="TT78Fo00"/>
                <w:sz w:val="20"/>
                <w:szCs w:val="20"/>
              </w:rPr>
              <w:t xml:space="preserve"> </w:t>
            </w:r>
            <w:r w:rsidRPr="00D32025">
              <w:rPr>
                <w:rFonts w:eastAsia="TT78Fo00" w:cs="TT78Fo00"/>
                <w:sz w:val="20"/>
                <w:szCs w:val="20"/>
              </w:rPr>
              <w:t xml:space="preserve">studzienek rewizyjnych przed przedostawaniem się wód opadowych poprzez wyposażenie we włazy w wykończeniu </w:t>
            </w:r>
            <w:proofErr w:type="spellStart"/>
            <w:r w:rsidRPr="00D32025">
              <w:rPr>
                <w:rFonts w:eastAsia="TT78Fo00" w:cs="TT78Fo00"/>
                <w:sz w:val="20"/>
                <w:szCs w:val="20"/>
              </w:rPr>
              <w:t>przeciwzalewowym</w:t>
            </w:r>
            <w:proofErr w:type="spellEnd"/>
          </w:p>
          <w:p w:rsidR="00B4622F" w:rsidRPr="00247CCE" w:rsidRDefault="00B4622F" w:rsidP="00B4622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9"/>
              <w:rPr>
                <w:rFonts w:eastAsia="TT78Fo00" w:cs="TT78Fo00"/>
                <w:sz w:val="20"/>
                <w:szCs w:val="20"/>
              </w:rPr>
            </w:pPr>
            <w:r w:rsidRPr="00B4622F">
              <w:rPr>
                <w:rFonts w:eastAsia="TT78Fo00" w:cs="TT78Fo00"/>
                <w:sz w:val="20"/>
                <w:szCs w:val="20"/>
              </w:rPr>
              <w:t>osad gromadzony będzie w specjalnych zbiornikach</w:t>
            </w:r>
            <w:r>
              <w:rPr>
                <w:rFonts w:eastAsia="TT78Fo00" w:cs="TT78Fo00"/>
                <w:sz w:val="20"/>
                <w:szCs w:val="20"/>
              </w:rPr>
              <w:t xml:space="preserve"> (nie na wolnym powietrzu)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Wzrost maksymalnej prędkość wiatru i związane z nimi zjawiska (np. wichury)</w:t>
            </w:r>
          </w:p>
        </w:tc>
        <w:tc>
          <w:tcPr>
            <w:tcW w:w="1591" w:type="dxa"/>
          </w:tcPr>
          <w:p w:rsidR="006D6EC3" w:rsidRPr="00F928E8" w:rsidRDefault="00062CE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12FAD">
              <w:rPr>
                <w:sz w:val="20"/>
                <w:szCs w:val="20"/>
              </w:rPr>
              <w:t>urze, silny</w:t>
            </w:r>
            <w:r w:rsidR="00062CE1" w:rsidRPr="00062CE1">
              <w:rPr>
                <w:sz w:val="20"/>
                <w:szCs w:val="20"/>
              </w:rPr>
              <w:t xml:space="preserve"> wiatr</w:t>
            </w:r>
          </w:p>
        </w:tc>
        <w:tc>
          <w:tcPr>
            <w:tcW w:w="1647" w:type="dxa"/>
          </w:tcPr>
          <w:p w:rsidR="006D6EC3" w:rsidRPr="00F928E8" w:rsidRDefault="00DF473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niskie ryzyko</w:t>
            </w:r>
          </w:p>
        </w:tc>
        <w:tc>
          <w:tcPr>
            <w:tcW w:w="5387" w:type="dxa"/>
          </w:tcPr>
          <w:p w:rsidR="00B6351B" w:rsidRDefault="00247CCE" w:rsidP="00247CCE">
            <w:pPr>
              <w:autoSpaceDE w:val="0"/>
              <w:autoSpaceDN w:val="0"/>
              <w:adjustRightInd w:val="0"/>
              <w:rPr>
                <w:rFonts w:eastAsia="TT78Fo00" w:cs="TT78Fo00"/>
                <w:i/>
                <w:sz w:val="20"/>
                <w:szCs w:val="20"/>
              </w:rPr>
            </w:pPr>
            <w:r w:rsidRPr="00247CCE">
              <w:rPr>
                <w:rFonts w:eastAsia="TT78Fo00" w:cs="TT78Fo00"/>
                <w:i/>
                <w:sz w:val="20"/>
                <w:szCs w:val="20"/>
              </w:rPr>
              <w:t>Prawidłowe funkcjonowanie wytworzonej w ramach projektu infrastruktury ściekowej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jest niezależne od czynników klimatycznych takich jak burze i silne wiatry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powodujących uszkodzenia infrastruktury energetycznej i przerwy w zasilaniu energią</w:t>
            </w:r>
            <w:r>
              <w:rPr>
                <w:rFonts w:eastAsia="TT78Fo00" w:cs="TT78Fo00"/>
                <w:i/>
                <w:sz w:val="20"/>
                <w:szCs w:val="20"/>
              </w:rPr>
              <w:t xml:space="preserve"> </w:t>
            </w:r>
            <w:r w:rsidRPr="00247CCE">
              <w:rPr>
                <w:rFonts w:eastAsia="TT78Fo00" w:cs="TT78Fo00"/>
                <w:i/>
                <w:sz w:val="20"/>
                <w:szCs w:val="20"/>
              </w:rPr>
              <w:t>ze względu na</w:t>
            </w:r>
            <w:r w:rsidR="00B6351B">
              <w:rPr>
                <w:rFonts w:eastAsia="TT78Fo00" w:cs="TT78Fo00"/>
                <w:i/>
                <w:sz w:val="20"/>
                <w:szCs w:val="20"/>
              </w:rPr>
              <w:t>:</w:t>
            </w:r>
          </w:p>
          <w:p w:rsidR="00B6351B" w:rsidRDefault="00247CCE" w:rsidP="00B6351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84"/>
              <w:rPr>
                <w:rFonts w:eastAsia="TT78Fo00" w:cs="TT78Fo00"/>
                <w:sz w:val="20"/>
                <w:szCs w:val="20"/>
              </w:rPr>
            </w:pPr>
            <w:r w:rsidRPr="00B6351B">
              <w:rPr>
                <w:rFonts w:eastAsia="TT78Fo00" w:cs="TT78Fo00"/>
                <w:sz w:val="20"/>
                <w:szCs w:val="20"/>
              </w:rPr>
              <w:t>wyposażenie systemu w stacjonarne i przewoźne agregaty prądotwórcze</w:t>
            </w:r>
          </w:p>
          <w:p w:rsidR="00B6351B" w:rsidRPr="00B6351B" w:rsidRDefault="00B6351B" w:rsidP="00B6351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84"/>
              <w:rPr>
                <w:rFonts w:eastAsia="TT78Fo00" w:cs="TT78Fo00"/>
                <w:sz w:val="20"/>
                <w:szCs w:val="20"/>
              </w:rPr>
            </w:pPr>
            <w:r w:rsidRPr="00B6351B">
              <w:rPr>
                <w:rFonts w:eastAsia="TT78Fo00" w:cs="TT78Fo00"/>
                <w:sz w:val="20"/>
                <w:szCs w:val="20"/>
              </w:rPr>
              <w:t>system automatycznego powiadamiania o awariach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1591" w:type="dxa"/>
          </w:tcPr>
          <w:p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6D6EC3" w:rsidRPr="00F928E8" w:rsidRDefault="008C26B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 inwestycji nie znajduje się na terenie zagrożonym osuwiskami</w:t>
            </w:r>
          </w:p>
        </w:tc>
      </w:tr>
      <w:tr w:rsidR="006D6EC3" w:rsidTr="00CC643A">
        <w:tc>
          <w:tcPr>
            <w:tcW w:w="1948" w:type="dxa"/>
          </w:tcPr>
          <w:p w:rsidR="006D6EC3" w:rsidRPr="00F928E8" w:rsidRDefault="006D6EC3" w:rsidP="00D45C3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Inne </w:t>
            </w:r>
            <w:r w:rsidR="008C26BF">
              <w:rPr>
                <w:sz w:val="20"/>
                <w:szCs w:val="20"/>
              </w:rPr>
              <w:t>- niskie temperatury</w:t>
            </w:r>
          </w:p>
        </w:tc>
        <w:tc>
          <w:tcPr>
            <w:tcW w:w="1591" w:type="dxa"/>
          </w:tcPr>
          <w:p w:rsidR="006D6EC3" w:rsidRPr="00F928E8" w:rsidRDefault="008C26B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6D6EC3" w:rsidRPr="00B6351B" w:rsidRDefault="00B6351B" w:rsidP="006D6EC3">
            <w:pPr>
              <w:rPr>
                <w:sz w:val="20"/>
                <w:szCs w:val="20"/>
              </w:rPr>
            </w:pPr>
            <w:r w:rsidRPr="00B6351B">
              <w:rPr>
                <w:sz w:val="20"/>
                <w:szCs w:val="20"/>
              </w:rPr>
              <w:t>Ryzyko niskie</w:t>
            </w:r>
          </w:p>
        </w:tc>
        <w:tc>
          <w:tcPr>
            <w:tcW w:w="5387" w:type="dxa"/>
          </w:tcPr>
          <w:p w:rsidR="008C26BF" w:rsidRPr="008C26BF" w:rsidRDefault="008C26BF" w:rsidP="008C26BF">
            <w:p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 w:rsidRPr="008C26BF">
              <w:rPr>
                <w:rFonts w:eastAsia="TT78Fo00" w:cs="TT78Fo00"/>
                <w:sz w:val="20"/>
                <w:szCs w:val="20"/>
              </w:rPr>
              <w:t>wykorzystanie materiałów o odpowiedniej</w:t>
            </w:r>
          </w:p>
          <w:p w:rsidR="008C26BF" w:rsidRDefault="008C26BF" w:rsidP="008C26BF">
            <w:p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 w:rsidRPr="008C26BF">
              <w:rPr>
                <w:rFonts w:eastAsia="TT78Fo00" w:cs="TT78Fo00"/>
                <w:sz w:val="20"/>
                <w:szCs w:val="20"/>
              </w:rPr>
              <w:t>wytrzymałości i plastycznoś</w:t>
            </w:r>
            <w:r>
              <w:rPr>
                <w:rFonts w:eastAsia="TT78Fo00" w:cs="TT78Fo00"/>
                <w:sz w:val="20"/>
                <w:szCs w:val="20"/>
              </w:rPr>
              <w:t>ci,</w:t>
            </w:r>
          </w:p>
          <w:p w:rsidR="00CA630C" w:rsidRPr="008C26BF" w:rsidRDefault="008C26BF" w:rsidP="008C26BF">
            <w:p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 w:rsidRPr="008C26BF">
              <w:rPr>
                <w:rFonts w:eastAsia="TT78Fo00" w:cs="TT78Fo00"/>
                <w:sz w:val="20"/>
                <w:szCs w:val="20"/>
              </w:rPr>
              <w:t>układanie rur poniżej strefy przemarzania tj. na</w:t>
            </w:r>
            <w:r>
              <w:rPr>
                <w:rFonts w:eastAsia="TT78Fo00" w:cs="TT78Fo00"/>
                <w:sz w:val="20"/>
                <w:szCs w:val="20"/>
              </w:rPr>
              <w:t xml:space="preserve"> </w:t>
            </w:r>
            <w:r w:rsidRPr="008C26BF">
              <w:rPr>
                <w:rFonts w:eastAsia="TT78Fo00" w:cs="TT78Fo00"/>
                <w:sz w:val="20"/>
                <w:szCs w:val="20"/>
              </w:rPr>
              <w:t>głębokości minimalizującej ich pękanie pod wpływem mrozu oraz na podsypkach</w:t>
            </w:r>
            <w:r>
              <w:rPr>
                <w:rFonts w:eastAsia="TT78Fo00" w:cs="TT78Fo00"/>
                <w:sz w:val="20"/>
                <w:szCs w:val="20"/>
              </w:rPr>
              <w:t xml:space="preserve"> </w:t>
            </w:r>
            <w:r w:rsidRPr="008C26BF">
              <w:rPr>
                <w:rFonts w:eastAsia="TT78Fo00" w:cs="TT78Fo00"/>
                <w:sz w:val="20"/>
                <w:szCs w:val="20"/>
              </w:rPr>
              <w:t>gwarantujących ich stabilność</w:t>
            </w:r>
          </w:p>
        </w:tc>
      </w:tr>
      <w:tr w:rsidR="00F928E8" w:rsidTr="006C44ED">
        <w:tc>
          <w:tcPr>
            <w:tcW w:w="6941" w:type="dxa"/>
            <w:gridSpan w:val="3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647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647" w:type="dxa"/>
          </w:tcPr>
          <w:p w:rsidR="00F928E8" w:rsidRDefault="00F928E8" w:rsidP="006D6EC3">
            <w:r>
              <w:t>TAK</w:t>
            </w:r>
          </w:p>
        </w:tc>
        <w:tc>
          <w:tcPr>
            <w:tcW w:w="5387" w:type="dxa"/>
          </w:tcPr>
          <w:p w:rsidR="00122253" w:rsidRDefault="00122253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Odwołano się do map zagrożenia i ryzyka powodziowego</w:t>
            </w:r>
          </w:p>
          <w:p w:rsidR="002D7FF4" w:rsidRDefault="002D7FF4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Opisano ryzyka czynniki klimatyczne które mogą mieć potencjalny wpływ na pracę oczyszczalni, podano też działania zapobiegawcze, jednak nie wskazano źródeł ani metodologii (nale</w:t>
            </w:r>
            <w:r w:rsidR="007F1A3F">
              <w:rPr>
                <w:rFonts w:cs="Times New Roman"/>
              </w:rPr>
              <w:t>ży domniemywać, że autorzy stud</w:t>
            </w:r>
            <w:r>
              <w:rPr>
                <w:rFonts w:cs="Times New Roman"/>
              </w:rPr>
              <w:t>ium oparli się na dotychczasowym doświadczeniu)</w:t>
            </w:r>
          </w:p>
          <w:p w:rsidR="007F1A3F" w:rsidRDefault="00122253" w:rsidP="007F1A3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Opracowano matrycę</w:t>
            </w:r>
            <w:r w:rsidR="007923D6" w:rsidRPr="007923D6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ryzyk</w:t>
            </w:r>
            <w:proofErr w:type="spellEnd"/>
            <w:r w:rsidR="002D7FF4">
              <w:rPr>
                <w:rFonts w:cs="Times New Roman"/>
              </w:rPr>
              <w:t xml:space="preserve"> dla projektu</w:t>
            </w:r>
            <w:r>
              <w:rPr>
                <w:rFonts w:cs="Times New Roman"/>
              </w:rPr>
              <w:t>, w tym ryzyka</w:t>
            </w:r>
            <w:r w:rsidR="007923D6" w:rsidRPr="007923D6">
              <w:rPr>
                <w:rFonts w:cs="Times New Roman"/>
              </w:rPr>
              <w:t xml:space="preserve"> zwi</w:t>
            </w:r>
            <w:r w:rsidR="007923D6" w:rsidRPr="007923D6">
              <w:rPr>
                <w:rFonts w:eastAsia="TimesNewRoman" w:cs="TimesNewRoman"/>
              </w:rPr>
              <w:t>ą</w:t>
            </w:r>
            <w:r>
              <w:rPr>
                <w:rFonts w:cs="Times New Roman"/>
              </w:rPr>
              <w:t>zanego z klimatem</w:t>
            </w:r>
            <w:r w:rsidR="0034669A">
              <w:rPr>
                <w:rFonts w:cs="Times New Roman"/>
              </w:rPr>
              <w:t xml:space="preserve"> (bez podziału na poszczególne czynniki klimatyczne</w:t>
            </w:r>
            <w:r w:rsidR="007F1A3F">
              <w:rPr>
                <w:rFonts w:cs="Times New Roman"/>
              </w:rPr>
              <w:t xml:space="preserve">). Dokonano analizy dla wszystkich czynników klimatycznych łącznie, wskazując jednak w opisie, iż </w:t>
            </w:r>
            <w:r>
              <w:rPr>
                <w:rFonts w:cs="Times New Roman"/>
              </w:rPr>
              <w:t xml:space="preserve"> </w:t>
            </w:r>
            <w:r w:rsidR="007F1A3F">
              <w:rPr>
                <w:rFonts w:cs="Times New Roman"/>
              </w:rPr>
              <w:t xml:space="preserve">największe znaczenie mogą mieć: </w:t>
            </w:r>
            <w:r w:rsidR="007F1A3F" w:rsidRPr="007F1A3F">
              <w:rPr>
                <w:rFonts w:cs="Times New Roman"/>
              </w:rPr>
              <w:t>intensywne opady i/lub powódź oraz czynniki powodujące zakłócenia w dostawie energii lub zwiększony jej pobór (na potrzeby łagodzenia skutków zmian klimatu)</w:t>
            </w:r>
            <w:r w:rsidR="009342CF">
              <w:rPr>
                <w:rFonts w:cs="Times New Roman"/>
              </w:rPr>
              <w:t>.</w:t>
            </w:r>
          </w:p>
          <w:p w:rsidR="009342CF" w:rsidRPr="007923D6" w:rsidRDefault="009342CF" w:rsidP="009342C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Dla czynników ryzyka określono prawdopodobieństwo wystąpienia, wpływ oraz opisano środki zaradcze.</w:t>
            </w:r>
          </w:p>
        </w:tc>
      </w:tr>
      <w:tr w:rsidR="00F928E8" w:rsidTr="00CC643A">
        <w:tc>
          <w:tcPr>
            <w:tcW w:w="6941" w:type="dxa"/>
            <w:gridSpan w:val="3"/>
          </w:tcPr>
          <w:p w:rsidR="00F928E8" w:rsidRDefault="00F928E8" w:rsidP="00230E7E">
            <w:r>
              <w:lastRenderedPageBreak/>
              <w:t>Przyszłe zagrożenia klimatyczne</w:t>
            </w:r>
          </w:p>
        </w:tc>
        <w:tc>
          <w:tcPr>
            <w:tcW w:w="1647" w:type="dxa"/>
          </w:tcPr>
          <w:p w:rsidR="00F928E8" w:rsidRDefault="00122253" w:rsidP="00230E7E">
            <w:r>
              <w:t>NIE</w:t>
            </w:r>
          </w:p>
        </w:tc>
        <w:tc>
          <w:tcPr>
            <w:tcW w:w="5387" w:type="dxa"/>
          </w:tcPr>
          <w:p w:rsidR="000A33F8" w:rsidRPr="00D856BA" w:rsidRDefault="009342CF" w:rsidP="009B2A2C">
            <w:pPr>
              <w:autoSpaceDE w:val="0"/>
              <w:autoSpaceDN w:val="0"/>
              <w:adjustRightInd w:val="0"/>
              <w:rPr>
                <w:rFonts w:eastAsia="BookmanOldStyle" w:cs="BookmanOldStyle"/>
              </w:rPr>
            </w:pPr>
            <w:r>
              <w:rPr>
                <w:rFonts w:eastAsia="BookmanOldStyle" w:cs="BookmanOldStyle"/>
              </w:rPr>
              <w:t xml:space="preserve">W </w:t>
            </w:r>
            <w:r w:rsidR="009B2A2C">
              <w:rPr>
                <w:rFonts w:eastAsia="BookmanOldStyle" w:cs="BookmanOldStyle"/>
              </w:rPr>
              <w:t xml:space="preserve">SW </w:t>
            </w:r>
            <w:r>
              <w:rPr>
                <w:rFonts w:eastAsia="BookmanOldStyle" w:cs="BookmanOldStyle"/>
              </w:rPr>
              <w:t xml:space="preserve">powołano się na </w:t>
            </w:r>
            <w:r w:rsidRPr="009342CF">
              <w:rPr>
                <w:rFonts w:eastAsia="BookmanOldStyle" w:cs="BookmanOldStyle"/>
              </w:rPr>
              <w:t>Strategiczny plan adaptacji dla sektorów i obszarów wrażliwych na zmiany klimatu do roku 2020 z perspektywą do roku 2030</w:t>
            </w:r>
            <w:r w:rsidR="009B2A2C">
              <w:rPr>
                <w:rFonts w:eastAsia="BookmanOldStyle" w:cs="BookmanOldStyle"/>
              </w:rPr>
              <w:t>, ale nie dokonano  analizy pod kątem przyszłych zagrożeń klimatycznych</w:t>
            </w:r>
          </w:p>
        </w:tc>
      </w:tr>
      <w:tr w:rsidR="00F928E8" w:rsidTr="00CC643A">
        <w:tc>
          <w:tcPr>
            <w:tcW w:w="13975" w:type="dxa"/>
            <w:gridSpan w:val="5"/>
            <w:shd w:val="clear" w:color="auto" w:fill="00B0F0"/>
          </w:tcPr>
          <w:p w:rsidR="00F928E8" w:rsidRPr="00E7407F" w:rsidRDefault="00E7407F" w:rsidP="00230E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683FB6">
              <w:rPr>
                <w:b/>
                <w:sz w:val="20"/>
                <w:szCs w:val="20"/>
              </w:rPr>
              <w:t>RADNIKA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auto"/>
          </w:tcPr>
          <w:p w:rsidR="009342CF" w:rsidRDefault="009342CF" w:rsidP="008F0AE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Wnioskowanie dotyczące </w:t>
            </w:r>
            <w:proofErr w:type="spellStart"/>
            <w:r>
              <w:rPr>
                <w:rFonts w:cs="Times New Roman"/>
              </w:rPr>
              <w:t>ryzyk</w:t>
            </w:r>
            <w:proofErr w:type="spellEnd"/>
            <w:r>
              <w:rPr>
                <w:rFonts w:cs="Times New Roman"/>
              </w:rPr>
              <w:t xml:space="preserve"> klimatycznych miało raczej ogólny charakter. </w:t>
            </w:r>
            <w:r w:rsidRPr="00BA7F7A">
              <w:rPr>
                <w:rFonts w:eastAsia="BookmanOldStyle" w:cs="BookmanOldStyle"/>
              </w:rPr>
              <w:t>Wnioskodawca</w:t>
            </w:r>
            <w:r>
              <w:rPr>
                <w:rFonts w:eastAsia="BookmanOldStyle" w:cs="BookmanOldStyle"/>
              </w:rPr>
              <w:t xml:space="preserve"> dokonał oceny wrażliwości dla wybranych czynników klimatycznych, oszacował stopień ryzyka i prze</w:t>
            </w:r>
            <w:r w:rsidR="00463FDB">
              <w:rPr>
                <w:rFonts w:eastAsia="BookmanOldStyle" w:cs="BookmanOldStyle"/>
              </w:rPr>
              <w:t>dstawił działania zapobiegawcze (rozdz. 7.4.1. SW)</w:t>
            </w:r>
            <w:r w:rsidR="00B4622F">
              <w:rPr>
                <w:rFonts w:eastAsia="BookmanOldStyle" w:cs="BookmanOldStyle"/>
              </w:rPr>
              <w:t xml:space="preserve">. W rozdziale dot. analizy ryzyka (SW, s. 211, rozdz. </w:t>
            </w:r>
            <w:r w:rsidR="00B4622F" w:rsidRPr="00B4622F">
              <w:rPr>
                <w:rFonts w:eastAsia="BookmanOldStyle" w:cs="BookmanOldStyle"/>
              </w:rPr>
              <w:t>12.2 Jakościowa analiza ryzyka</w:t>
            </w:r>
            <w:r w:rsidR="00B4622F">
              <w:rPr>
                <w:rFonts w:eastAsia="BookmanOldStyle" w:cs="BookmanOldStyle"/>
              </w:rPr>
              <w:t xml:space="preserve">) umieścił </w:t>
            </w:r>
            <w:r w:rsidR="00B4622F">
              <w:rPr>
                <w:rFonts w:cs="Times New Roman"/>
              </w:rPr>
              <w:t>matrycę</w:t>
            </w:r>
            <w:r w:rsidR="00B4622F" w:rsidRPr="007923D6">
              <w:rPr>
                <w:rFonts w:cs="Times New Roman"/>
              </w:rPr>
              <w:t xml:space="preserve"> </w:t>
            </w:r>
            <w:proofErr w:type="spellStart"/>
            <w:r w:rsidR="00B4622F">
              <w:rPr>
                <w:rFonts w:cs="Times New Roman"/>
              </w:rPr>
              <w:t>ryzyk</w:t>
            </w:r>
            <w:proofErr w:type="spellEnd"/>
            <w:r w:rsidR="00B4622F">
              <w:rPr>
                <w:rFonts w:cs="Times New Roman"/>
              </w:rPr>
              <w:t xml:space="preserve"> dla projektu, w tym ryzyka</w:t>
            </w:r>
            <w:r w:rsidR="00B4622F" w:rsidRPr="007923D6">
              <w:rPr>
                <w:rFonts w:cs="Times New Roman"/>
              </w:rPr>
              <w:t xml:space="preserve"> zwi</w:t>
            </w:r>
            <w:r w:rsidR="00B4622F" w:rsidRPr="007923D6">
              <w:rPr>
                <w:rFonts w:eastAsia="TimesNewRoman" w:cs="TimesNewRoman"/>
              </w:rPr>
              <w:t>ą</w:t>
            </w:r>
            <w:r w:rsidR="00B4622F">
              <w:rPr>
                <w:rFonts w:cs="Times New Roman"/>
              </w:rPr>
              <w:t xml:space="preserve">zanego z klimatem - </w:t>
            </w:r>
            <w:r w:rsidR="009B2A2C">
              <w:rPr>
                <w:rFonts w:cs="Times New Roman"/>
              </w:rPr>
              <w:t xml:space="preserve">jednakże </w:t>
            </w:r>
            <w:r w:rsidR="00B4622F">
              <w:rPr>
                <w:rFonts w:cs="Times New Roman"/>
              </w:rPr>
              <w:t>ryzyka klimatyczne zostały potraktowane łącznie.</w:t>
            </w:r>
          </w:p>
          <w:p w:rsidR="00CC643A" w:rsidRPr="008F0AED" w:rsidRDefault="008F0AED" w:rsidP="00B4622F">
            <w:pPr>
              <w:autoSpaceDE w:val="0"/>
              <w:autoSpaceDN w:val="0"/>
              <w:adjustRightInd w:val="0"/>
            </w:pPr>
            <w:r>
              <w:rPr>
                <w:rFonts w:eastAsia="BookmanOldStyle" w:cs="BookmanOldStyle"/>
              </w:rPr>
              <w:t xml:space="preserve">Zastosowane podejście </w:t>
            </w:r>
            <w:r w:rsidR="00B4622F">
              <w:rPr>
                <w:rFonts w:eastAsia="BookmanOldStyle" w:cs="BookmanOldStyle"/>
              </w:rPr>
              <w:t xml:space="preserve">ogólnie </w:t>
            </w:r>
            <w:r>
              <w:rPr>
                <w:rFonts w:cs="Times New Roman"/>
              </w:rPr>
              <w:t>zgodn</w:t>
            </w:r>
            <w:r w:rsidR="006F7D28" w:rsidRPr="009E2DB4">
              <w:rPr>
                <w:rFonts w:cs="Times New Roman"/>
              </w:rPr>
              <w:t xml:space="preserve">e </w:t>
            </w:r>
            <w:r>
              <w:rPr>
                <w:rFonts w:cs="Times New Roman"/>
              </w:rPr>
              <w:t xml:space="preserve">jest </w:t>
            </w:r>
            <w:r w:rsidR="006F7D28" w:rsidRPr="009E2DB4">
              <w:rPr>
                <w:rFonts w:cs="Times New Roman"/>
              </w:rPr>
              <w:t xml:space="preserve">z </w:t>
            </w:r>
            <w:r>
              <w:rPr>
                <w:rFonts w:cs="Times New Roman"/>
              </w:rPr>
              <w:t>podejściem opisanym w „Poradniku</w:t>
            </w:r>
            <w:r w:rsidR="006F7D28">
              <w:rPr>
                <w:rFonts w:cs="Times New Roman"/>
              </w:rPr>
              <w:t xml:space="preserve"> p</w:t>
            </w:r>
            <w:r w:rsidR="006F7D28" w:rsidRPr="009E2DB4">
              <w:rPr>
                <w:rFonts w:cs="Times New Roman"/>
              </w:rPr>
              <w:t>rzygotowania Inwestycji z uwzgl</w:t>
            </w:r>
            <w:r w:rsidR="006F7D28" w:rsidRPr="009E2DB4">
              <w:rPr>
                <w:rFonts w:eastAsia="TimesNewRoman" w:cs="TimesNewRoman"/>
              </w:rPr>
              <w:t>ę</w:t>
            </w:r>
            <w:r w:rsidR="006F7D28" w:rsidRPr="009E2DB4">
              <w:rPr>
                <w:rFonts w:cs="Times New Roman"/>
              </w:rPr>
              <w:t>dnieniem zmian klimatu, ich łago</w:t>
            </w:r>
            <w:r w:rsidR="006F7D28">
              <w:rPr>
                <w:rFonts w:cs="Times New Roman"/>
              </w:rPr>
              <w:t xml:space="preserve">dzenia i przystosowania do tych </w:t>
            </w:r>
            <w:r w:rsidR="006F7D28" w:rsidRPr="009E2DB4">
              <w:rPr>
                <w:rFonts w:cs="Times New Roman"/>
              </w:rPr>
              <w:t>zmian oraz odporno</w:t>
            </w:r>
            <w:r w:rsidR="006F7D28" w:rsidRPr="009E2DB4">
              <w:rPr>
                <w:rFonts w:eastAsia="TimesNewRoman" w:cs="TimesNewRoman"/>
              </w:rPr>
              <w:t>ś</w:t>
            </w:r>
            <w:r w:rsidR="006F7D28" w:rsidRPr="009E2DB4">
              <w:rPr>
                <w:rFonts w:cs="Times New Roman"/>
              </w:rPr>
              <w:t>ci na kl</w:t>
            </w:r>
            <w:r w:rsidR="006F7D28" w:rsidRPr="009E2DB4">
              <w:rPr>
                <w:rFonts w:eastAsia="TimesNewRoman" w:cs="TimesNewRoman"/>
              </w:rPr>
              <w:t>ę</w:t>
            </w:r>
            <w:r w:rsidR="006F7D28" w:rsidRPr="009E2DB4">
              <w:rPr>
                <w:rFonts w:cs="Times New Roman"/>
              </w:rPr>
              <w:t xml:space="preserve">ski </w:t>
            </w:r>
            <w:r w:rsidR="006F7D28" w:rsidRPr="009E2DB4">
              <w:rPr>
                <w:rFonts w:eastAsia="TimesNewRoman" w:cs="TimesNewRoman"/>
              </w:rPr>
              <w:t>ż</w:t>
            </w:r>
            <w:r w:rsidR="006F7D28" w:rsidRPr="009E2DB4">
              <w:rPr>
                <w:rFonts w:cs="Times New Roman"/>
              </w:rPr>
              <w:t>ywiołowe”</w:t>
            </w:r>
            <w:r w:rsidR="006F7D28">
              <w:rPr>
                <w:rFonts w:cs="Times New Roman"/>
              </w:rPr>
              <w:t xml:space="preserve">, </w:t>
            </w:r>
            <w:r w:rsidR="006F7D28">
              <w:t>wydanym przez Ministerstwo Środowiska, Departament Zrównoważ</w:t>
            </w:r>
            <w:r>
              <w:t>onego Rozwoju.</w:t>
            </w:r>
            <w:r w:rsidR="006F7D28">
              <w:t xml:space="preserve"> </w:t>
            </w:r>
            <w:r w:rsidR="00824E30" w:rsidRPr="00D856BA">
              <w:rPr>
                <w:i/>
              </w:rPr>
              <w:t xml:space="preserve">(aczkolwiek </w:t>
            </w:r>
            <w:r>
              <w:rPr>
                <w:i/>
              </w:rPr>
              <w:t xml:space="preserve">analiza przedstawiona przez Wnioskodawcę została wykonana </w:t>
            </w:r>
            <w:r w:rsidR="00824E30" w:rsidRPr="00D856BA">
              <w:rPr>
                <w:i/>
              </w:rPr>
              <w:t>w sposób</w:t>
            </w:r>
            <w:r>
              <w:rPr>
                <w:i/>
              </w:rPr>
              <w:t xml:space="preserve"> uproszczony</w:t>
            </w:r>
            <w:r w:rsidR="00824E30" w:rsidRPr="00D856BA">
              <w:rPr>
                <w:i/>
              </w:rPr>
              <w:t xml:space="preserve">; nie analizowano np. </w:t>
            </w:r>
            <w:proofErr w:type="spellStart"/>
            <w:r w:rsidR="00824E30" w:rsidRPr="00D856BA">
              <w:rPr>
                <w:i/>
              </w:rPr>
              <w:t>ryzyk</w:t>
            </w:r>
            <w:proofErr w:type="spellEnd"/>
            <w:r w:rsidR="00824E30" w:rsidRPr="00D856BA">
              <w:rPr>
                <w:i/>
              </w:rPr>
              <w:t xml:space="preserve"> </w:t>
            </w:r>
            <w:r w:rsidR="005C1F1C" w:rsidRPr="00D856BA">
              <w:rPr>
                <w:i/>
              </w:rPr>
              <w:t>w kontekście kolejnych faz "życia" inwestycji</w:t>
            </w:r>
            <w:r w:rsidR="00BA7F7A">
              <w:rPr>
                <w:i/>
              </w:rPr>
              <w:t xml:space="preserve">, </w:t>
            </w:r>
            <w:r>
              <w:rPr>
                <w:i/>
              </w:rPr>
              <w:t xml:space="preserve">nie odniesiono się do przyszłych </w:t>
            </w:r>
            <w:r w:rsidR="00B4622F">
              <w:rPr>
                <w:i/>
              </w:rPr>
              <w:t>zagrożeń</w:t>
            </w:r>
            <w:r>
              <w:rPr>
                <w:i/>
              </w:rPr>
              <w:t xml:space="preserve"> klimatycznych)</w:t>
            </w:r>
            <w:r w:rsidR="00BA7F7A">
              <w:rPr>
                <w:i/>
              </w:rPr>
              <w:t xml:space="preserve"> </w:t>
            </w:r>
          </w:p>
        </w:tc>
      </w:tr>
      <w:tr w:rsidR="004002EE" w:rsidTr="00CC643A">
        <w:tc>
          <w:tcPr>
            <w:tcW w:w="13975" w:type="dxa"/>
            <w:gridSpan w:val="5"/>
            <w:shd w:val="clear" w:color="auto" w:fill="00B0F0"/>
          </w:tcPr>
          <w:p w:rsidR="004002EE" w:rsidRPr="004D43D1" w:rsidRDefault="00E7407F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F928E8" w:rsidTr="00CC643A">
        <w:tc>
          <w:tcPr>
            <w:tcW w:w="13975" w:type="dxa"/>
            <w:gridSpan w:val="5"/>
          </w:tcPr>
          <w:p w:rsidR="009C4F1D" w:rsidRPr="00B5313A" w:rsidRDefault="00604C64" w:rsidP="00B5313A">
            <w:p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 w:rsidRPr="003074CB">
              <w:t>D</w:t>
            </w:r>
            <w:r w:rsidR="00E7407F" w:rsidRPr="003074CB">
              <w:t xml:space="preserve">la </w:t>
            </w:r>
            <w:proofErr w:type="spellStart"/>
            <w:r w:rsidR="00E7407F" w:rsidRPr="003074CB">
              <w:t>ryzyk</w:t>
            </w:r>
            <w:proofErr w:type="spellEnd"/>
            <w:r w:rsidR="00E7407F" w:rsidRPr="003074CB">
              <w:t xml:space="preserve"> </w:t>
            </w:r>
            <w:r w:rsidR="009C4F1D">
              <w:t xml:space="preserve">które zidentyfikowano </w:t>
            </w:r>
            <w:r w:rsidR="00C71CFF">
              <w:t xml:space="preserve">(wykazano </w:t>
            </w:r>
            <w:r w:rsidR="008F0AED">
              <w:t>co najwyżej niski poziom ryzyka</w:t>
            </w:r>
            <w:r w:rsidR="00C71CFF">
              <w:t xml:space="preserve">) </w:t>
            </w:r>
            <w:r w:rsidR="003074CB" w:rsidRPr="003074CB">
              <w:t>wskazano</w:t>
            </w:r>
            <w:r w:rsidR="00E7407F" w:rsidRPr="003074CB">
              <w:t xml:space="preserve"> adekwatne opcje adaptacyjne</w:t>
            </w:r>
            <w:r w:rsidR="009C4F1D">
              <w:t xml:space="preserve">; </w:t>
            </w:r>
            <w:r w:rsidR="00B5313A">
              <w:t xml:space="preserve">chociaż - jak mi się wydaje - standardowo wykorzystywane przy tego typu inwestycjach </w:t>
            </w:r>
            <w:r w:rsidR="00B5313A" w:rsidRPr="00B5313A">
              <w:t>(</w:t>
            </w:r>
            <w:r w:rsidR="00B5313A" w:rsidRPr="00B5313A">
              <w:rPr>
                <w:rFonts w:eastAsia="TT78Fo00" w:cs="TT78Fo00"/>
              </w:rPr>
              <w:t>wykorzystanie materiałów o odpowiedniej wytrzymałości i plastyczności, układanie rur poniżej strefy przemarzania, zastosowanie wodoszczelnych materiałów budowlanych do budowy zbiorników na terenie oczyszczalni)</w:t>
            </w: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54047B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54047B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9E7D85" w:rsidRPr="00716DDA" w:rsidRDefault="007623D9" w:rsidP="007623D9">
            <w:pPr>
              <w:autoSpaceDE w:val="0"/>
              <w:autoSpaceDN w:val="0"/>
              <w:adjustRightInd w:val="0"/>
              <w:rPr>
                <w:rFonts w:eastAsia="TT78Fo00" w:cs="TT78Fo00"/>
              </w:rPr>
            </w:pPr>
            <w:r>
              <w:rPr>
                <w:rFonts w:eastAsia="BookmanOldStyle" w:cs="BookmanOldStyle"/>
              </w:rPr>
              <w:t>- zmiana</w:t>
            </w:r>
            <w:r w:rsidRPr="000A47B7">
              <w:rPr>
                <w:rFonts w:eastAsia="BookmanOldStyle" w:cs="BookmanOldStyle"/>
              </w:rPr>
              <w:t xml:space="preserve"> technologii przeróbki osadów</w:t>
            </w:r>
            <w:r>
              <w:rPr>
                <w:rFonts w:eastAsia="BookmanOldStyle" w:cs="BookmanOldStyle"/>
              </w:rPr>
              <w:t xml:space="preserve"> </w:t>
            </w:r>
            <w:r w:rsidR="00716DDA">
              <w:rPr>
                <w:rFonts w:eastAsia="BookmanOldStyle" w:cs="BookmanOldStyle"/>
              </w:rPr>
              <w:t xml:space="preserve">w </w:t>
            </w:r>
            <w:r w:rsidR="00716DDA">
              <w:rPr>
                <w:rFonts w:eastAsia="TT78Fo00" w:cs="TT78Fo00"/>
              </w:rPr>
              <w:t xml:space="preserve">celu </w:t>
            </w:r>
            <w:r w:rsidR="00716DDA" w:rsidRPr="00FE5A92">
              <w:rPr>
                <w:rFonts w:eastAsia="TT78Fo00" w:cs="TT78Fo00"/>
              </w:rPr>
              <w:t>poprawy właściwości energetycznych osadów ściekowych pozwalających na ich</w:t>
            </w:r>
            <w:r w:rsidR="00716DDA">
              <w:rPr>
                <w:rFonts w:eastAsia="TT78Fo00" w:cs="TT78Fo00"/>
              </w:rPr>
              <w:t xml:space="preserve"> </w:t>
            </w:r>
            <w:r w:rsidR="00716DDA" w:rsidRPr="00FE5A92">
              <w:rPr>
                <w:rFonts w:eastAsia="TT78Fo00" w:cs="TT78Fo00"/>
              </w:rPr>
              <w:t>skierowanie do biogazowni</w:t>
            </w:r>
            <w:r w:rsidR="00716DDA">
              <w:rPr>
                <w:rFonts w:eastAsia="TT78Fo00" w:cs="TT78Fo00"/>
              </w:rPr>
              <w:t xml:space="preserve"> (</w:t>
            </w:r>
            <w:r w:rsidR="00070938">
              <w:rPr>
                <w:rFonts w:eastAsia="BookmanOldStyle" w:cs="BookmanOldStyle"/>
              </w:rPr>
              <w:t>zmniejszenie</w:t>
            </w:r>
            <w:r w:rsidR="00070938" w:rsidRPr="0024749C">
              <w:rPr>
                <w:rFonts w:eastAsia="BookmanOldStyle" w:cs="BookmanOldStyle"/>
              </w:rPr>
              <w:t xml:space="preserve"> emisji gazów cieplarnianych</w:t>
            </w:r>
            <w:r w:rsidR="00716DDA">
              <w:rPr>
                <w:rFonts w:eastAsia="BookmanOldStyle" w:cs="BookmanOldStyle"/>
              </w:rPr>
              <w:t>)</w:t>
            </w:r>
          </w:p>
          <w:p w:rsidR="004D43D1" w:rsidRPr="00716DDA" w:rsidRDefault="00070938" w:rsidP="00716DDA">
            <w:p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>
              <w:rPr>
                <w:rFonts w:eastAsia="BookmanOldStyle" w:cs="BookmanOldStyle"/>
              </w:rPr>
              <w:t>-</w:t>
            </w:r>
            <w:r w:rsidR="00716DDA">
              <w:rPr>
                <w:rFonts w:eastAsia="BookmanOldStyle" w:cs="BookmanOldStyle"/>
              </w:rPr>
              <w:t xml:space="preserve"> montaż </w:t>
            </w:r>
            <w:r w:rsidR="00716DDA">
              <w:rPr>
                <w:rFonts w:eastAsia="TT78Fo00" w:cs="TT78Fo00"/>
              </w:rPr>
              <w:t>instalacji</w:t>
            </w:r>
            <w:r w:rsidR="00716DDA" w:rsidRPr="00716DDA">
              <w:rPr>
                <w:rFonts w:eastAsia="TT78Fo00" w:cs="TT78Fo00"/>
              </w:rPr>
              <w:t xml:space="preserve"> fotowol</w:t>
            </w:r>
            <w:r w:rsidR="00716DDA">
              <w:rPr>
                <w:rFonts w:eastAsia="TT78Fo00" w:cs="TT78Fo00"/>
              </w:rPr>
              <w:t>taicznej</w:t>
            </w:r>
            <w:r w:rsidR="00716DDA" w:rsidRPr="00716DDA">
              <w:rPr>
                <w:rFonts w:eastAsia="TT78Fo00" w:cs="TT78Fo00"/>
              </w:rPr>
              <w:t xml:space="preserve"> na terenie oczyszczalni ścieków o rocznej produkcji energii do 20900</w:t>
            </w:r>
            <w:r w:rsidR="00716DDA">
              <w:rPr>
                <w:rFonts w:eastAsia="TT78Fo00" w:cs="TT78Fo00"/>
              </w:rPr>
              <w:t xml:space="preserve"> </w:t>
            </w:r>
            <w:r w:rsidR="00716DDA" w:rsidRPr="00716DDA">
              <w:rPr>
                <w:rFonts w:eastAsia="TT78Fo00" w:cs="TT78Fo00"/>
              </w:rPr>
              <w:t>kWh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54047B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RPr="007D4675" w:rsidTr="00CC643A">
        <w:tc>
          <w:tcPr>
            <w:tcW w:w="13975" w:type="dxa"/>
            <w:gridSpan w:val="5"/>
          </w:tcPr>
          <w:p w:rsidR="009B2A2C" w:rsidRPr="009B2A2C" w:rsidRDefault="009B2A2C" w:rsidP="009B2A2C">
            <w:p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>
              <w:t xml:space="preserve">są to zmiany w dobrym kierunku, wskazywane jako dobre praktyki w innych projektach. </w:t>
            </w:r>
            <w:r w:rsidR="007C60EA">
              <w:t>W</w:t>
            </w:r>
            <w:r>
              <w:t>yliczenia emisji jakie przedstawiono</w:t>
            </w:r>
            <w:r w:rsidR="007C60EA">
              <w:t xml:space="preserve"> wskazują na następujący </w:t>
            </w:r>
            <w:r>
              <w:t xml:space="preserve">efekt wprowadzenia tych zmian w kontekście łagodzenia zmian klimatu </w:t>
            </w:r>
            <w:r w:rsidR="007C60EA">
              <w:t>- "</w:t>
            </w:r>
            <w:r>
              <w:t>uniknięta</w:t>
            </w:r>
            <w:r w:rsidR="007C60EA">
              <w:t>"</w:t>
            </w:r>
            <w:r>
              <w:t xml:space="preserve"> </w:t>
            </w:r>
            <w:r w:rsidRPr="009B2A2C">
              <w:rPr>
                <w:rFonts w:eastAsia="TT78Fo00" w:cs="TT78Fo00"/>
                <w:sz w:val="20"/>
                <w:szCs w:val="20"/>
              </w:rPr>
              <w:t>wielkość emisji</w:t>
            </w:r>
            <w:r w:rsidR="007C60EA">
              <w:rPr>
                <w:rFonts w:eastAsia="TT78Fo00" w:cs="TT78Fo00"/>
                <w:sz w:val="20"/>
                <w:szCs w:val="20"/>
              </w:rPr>
              <w:t xml:space="preserve"> w wyniku zastosowania instalacji fotowoltaicznej - </w:t>
            </w:r>
          </w:p>
          <w:p w:rsidR="006A2AF0" w:rsidRPr="009B2A2C" w:rsidRDefault="009B2A2C" w:rsidP="009B2A2C">
            <w:pPr>
              <w:autoSpaceDE w:val="0"/>
              <w:autoSpaceDN w:val="0"/>
              <w:adjustRightInd w:val="0"/>
              <w:rPr>
                <w:rFonts w:eastAsia="TT78Fo00" w:cs="TT78Fo00"/>
                <w:sz w:val="20"/>
                <w:szCs w:val="20"/>
              </w:rPr>
            </w:pPr>
            <w:r>
              <w:rPr>
                <w:rFonts w:eastAsia="TT78Fo00" w:cs="TT78Fo00"/>
                <w:sz w:val="20"/>
                <w:szCs w:val="20"/>
              </w:rPr>
              <w:t xml:space="preserve"> około</w:t>
            </w:r>
            <w:r w:rsidRPr="009B2A2C">
              <w:rPr>
                <w:rFonts w:eastAsia="TT78Fo00" w:cs="TT78Fo00"/>
                <w:sz w:val="20"/>
                <w:szCs w:val="20"/>
              </w:rPr>
              <w:t xml:space="preserve"> 20 tys. MgCO</w:t>
            </w:r>
            <w:r w:rsidRPr="009B2A2C">
              <w:rPr>
                <w:rFonts w:eastAsia="TT78Fo00" w:cs="TT797o00"/>
                <w:sz w:val="13"/>
                <w:szCs w:val="13"/>
              </w:rPr>
              <w:t>2</w:t>
            </w:r>
            <w:r w:rsidRPr="009B2A2C">
              <w:rPr>
                <w:rFonts w:eastAsia="TT78Fo00" w:cs="TT78Fo00"/>
                <w:sz w:val="20"/>
                <w:szCs w:val="20"/>
              </w:rPr>
              <w:t xml:space="preserve">-e/rok </w:t>
            </w:r>
            <w:r>
              <w:rPr>
                <w:rFonts w:eastAsia="TT78Fo00" w:cs="TT78Fo00"/>
                <w:sz w:val="20"/>
                <w:szCs w:val="20"/>
              </w:rPr>
              <w:t xml:space="preserve"> </w:t>
            </w:r>
            <w:r w:rsidR="007C60EA">
              <w:rPr>
                <w:rFonts w:eastAsia="TT78Fo00" w:cs="TT78Fo00"/>
                <w:sz w:val="20"/>
                <w:szCs w:val="20"/>
              </w:rPr>
              <w:t>(</w:t>
            </w:r>
            <w:r>
              <w:rPr>
                <w:rFonts w:eastAsia="TT78Fo00" w:cs="TT78Fo00"/>
                <w:sz w:val="20"/>
                <w:szCs w:val="20"/>
              </w:rPr>
              <w:t xml:space="preserve">obliczona zgodnie z wskazówkami  </w:t>
            </w:r>
            <w:r w:rsidRPr="009B2A2C">
              <w:rPr>
                <w:rFonts w:eastAsia="TT78Fo00" w:cs="TT78Fo00"/>
                <w:sz w:val="20"/>
                <w:szCs w:val="20"/>
              </w:rPr>
              <w:t>w opracowaniu „</w:t>
            </w:r>
            <w:proofErr w:type="spellStart"/>
            <w:r w:rsidRPr="009B2A2C">
              <w:rPr>
                <w:rFonts w:eastAsia="TT78Fo00" w:cs="TT78Fo00"/>
                <w:sz w:val="20"/>
                <w:szCs w:val="20"/>
              </w:rPr>
              <w:t>Meth</w:t>
            </w:r>
            <w:r>
              <w:rPr>
                <w:rFonts w:eastAsia="TT78Fo00" w:cs="TT78Fo00"/>
                <w:sz w:val="20"/>
                <w:szCs w:val="20"/>
              </w:rPr>
              <w:t>odologies</w:t>
            </w:r>
            <w:proofErr w:type="spellEnd"/>
            <w:r>
              <w:rPr>
                <w:rFonts w:eastAsia="TT78Fo00" w:cs="TT78Fo00"/>
                <w:sz w:val="20"/>
                <w:szCs w:val="20"/>
              </w:rPr>
              <w:t xml:space="preserve"> for the </w:t>
            </w:r>
            <w:proofErr w:type="spellStart"/>
            <w:r>
              <w:rPr>
                <w:rFonts w:eastAsia="TT78Fo00" w:cs="TT78Fo00"/>
                <w:sz w:val="20"/>
                <w:szCs w:val="20"/>
              </w:rPr>
              <w:t>Assesement</w:t>
            </w:r>
            <w:proofErr w:type="spellEnd"/>
            <w:r>
              <w:rPr>
                <w:rFonts w:eastAsia="TT78Fo00" w:cs="TT78Fo00"/>
                <w:sz w:val="20"/>
                <w:szCs w:val="20"/>
              </w:rPr>
              <w:t xml:space="preserve"> of </w:t>
            </w:r>
            <w:r w:rsidRPr="009B2A2C">
              <w:rPr>
                <w:rFonts w:eastAsia="TT78Fo00" w:cs="TT78Fo00"/>
                <w:sz w:val="20"/>
                <w:szCs w:val="20"/>
              </w:rPr>
              <w:t xml:space="preserve">Project GHG </w:t>
            </w:r>
            <w:proofErr w:type="spellStart"/>
            <w:r w:rsidRPr="009B2A2C">
              <w:rPr>
                <w:rFonts w:eastAsia="TT78Fo00" w:cs="TT78Fo00"/>
                <w:sz w:val="20"/>
                <w:szCs w:val="20"/>
              </w:rPr>
              <w:t>Emissions</w:t>
            </w:r>
            <w:proofErr w:type="spellEnd"/>
            <w:r w:rsidRPr="009B2A2C">
              <w:rPr>
                <w:rFonts w:eastAsia="TT78Fo00" w:cs="TT78Fo00"/>
                <w:sz w:val="20"/>
                <w:szCs w:val="20"/>
              </w:rPr>
              <w:t xml:space="preserve"> and </w:t>
            </w:r>
            <w:proofErr w:type="spellStart"/>
            <w:r w:rsidRPr="009B2A2C">
              <w:rPr>
                <w:rFonts w:eastAsia="TT78Fo00" w:cs="TT78Fo00"/>
                <w:sz w:val="20"/>
                <w:szCs w:val="20"/>
              </w:rPr>
              <w:t>Emission</w:t>
            </w:r>
            <w:proofErr w:type="spellEnd"/>
            <w:r w:rsidRPr="009B2A2C">
              <w:rPr>
                <w:rFonts w:eastAsia="TT78Fo00" w:cs="TT78Fo00"/>
                <w:sz w:val="20"/>
                <w:szCs w:val="20"/>
              </w:rPr>
              <w:t xml:space="preserve"> </w:t>
            </w:r>
            <w:proofErr w:type="spellStart"/>
            <w:r w:rsidRPr="009B2A2C">
              <w:rPr>
                <w:rFonts w:eastAsia="TT78Fo00" w:cs="TT78Fo00"/>
                <w:sz w:val="20"/>
                <w:szCs w:val="20"/>
              </w:rPr>
              <w:t>Variations</w:t>
            </w:r>
            <w:proofErr w:type="spellEnd"/>
            <w:r w:rsidRPr="009B2A2C">
              <w:rPr>
                <w:rFonts w:eastAsia="TT78Fo00" w:cs="TT78Fo00"/>
                <w:sz w:val="20"/>
                <w:szCs w:val="20"/>
              </w:rPr>
              <w:t>”</w:t>
            </w:r>
            <w:r>
              <w:rPr>
                <w:rFonts w:eastAsia="TT78Fo00" w:cs="TT78Fo00"/>
                <w:sz w:val="20"/>
                <w:szCs w:val="20"/>
              </w:rPr>
              <w:t xml:space="preserve"> </w:t>
            </w:r>
            <w:r w:rsidRPr="009B2A2C">
              <w:rPr>
                <w:rFonts w:eastAsia="TT78Fo00" w:cs="TT78Fo00"/>
                <w:sz w:val="20"/>
                <w:szCs w:val="20"/>
              </w:rPr>
              <w:t>Europejski Bank Inwestycyjny</w:t>
            </w:r>
            <w:r>
              <w:rPr>
                <w:rFonts w:eastAsia="TT78Fo00" w:cs="TT78Fo00"/>
                <w:sz w:val="20"/>
                <w:szCs w:val="20"/>
              </w:rPr>
              <w:t>)</w:t>
            </w:r>
          </w:p>
        </w:tc>
      </w:tr>
      <w:tr w:rsidR="004D43D1" w:rsidTr="00CC643A">
        <w:tc>
          <w:tcPr>
            <w:tcW w:w="13975" w:type="dxa"/>
            <w:gridSpan w:val="5"/>
            <w:shd w:val="clear" w:color="auto" w:fill="4472C4" w:themeFill="accent1"/>
          </w:tcPr>
          <w:p w:rsidR="004D43D1" w:rsidRDefault="004D43D1" w:rsidP="0054047B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54047B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Default="00604C64" w:rsidP="0054047B">
            <w:pPr>
              <w:rPr>
                <w:b/>
              </w:rPr>
            </w:pPr>
            <w:r>
              <w:t>b</w:t>
            </w:r>
            <w:r w:rsidRPr="00604C64">
              <w:t>rak rozwiązań</w:t>
            </w:r>
          </w:p>
          <w:p w:rsidR="004D43D1" w:rsidRDefault="004D43D1" w:rsidP="0054047B">
            <w:pPr>
              <w:rPr>
                <w:b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5404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CHARAKTER ODDZIAŁYWANIA</w:t>
            </w:r>
          </w:p>
        </w:tc>
      </w:tr>
      <w:tr w:rsidR="004D43D1" w:rsidRPr="00F928E8" w:rsidTr="00CC643A">
        <w:tc>
          <w:tcPr>
            <w:tcW w:w="13975" w:type="dxa"/>
            <w:gridSpan w:val="5"/>
          </w:tcPr>
          <w:p w:rsidR="004D43D1" w:rsidRPr="00604C64" w:rsidRDefault="00604C64" w:rsidP="00CC643A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  <w:p w:rsidR="00CC643A" w:rsidRPr="00CC643A" w:rsidRDefault="00CC643A" w:rsidP="00CC643A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4D43D1" w:rsidRPr="00F928E8" w:rsidTr="00CC643A">
        <w:tc>
          <w:tcPr>
            <w:tcW w:w="13975" w:type="dxa"/>
            <w:gridSpan w:val="5"/>
            <w:shd w:val="clear" w:color="auto" w:fill="00B0F0"/>
          </w:tcPr>
          <w:p w:rsidR="004D43D1" w:rsidRPr="00F928E8" w:rsidRDefault="004D43D1" w:rsidP="0054047B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Tr="00CC643A">
        <w:tc>
          <w:tcPr>
            <w:tcW w:w="13975" w:type="dxa"/>
            <w:gridSpan w:val="5"/>
          </w:tcPr>
          <w:p w:rsidR="004D43D1" w:rsidRPr="00604C64" w:rsidRDefault="00604C64" w:rsidP="0054047B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  <w:p w:rsidR="004D43D1" w:rsidRPr="00CC643A" w:rsidRDefault="004D43D1" w:rsidP="0054047B">
            <w:pPr>
              <w:rPr>
                <w:i/>
              </w:rPr>
            </w:pPr>
          </w:p>
        </w:tc>
      </w:tr>
    </w:tbl>
    <w:p w:rsidR="00B95F15" w:rsidRPr="00683FB6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REGIONALNE LUB PONADREGIONALNEODDZIAŁYWANIE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7A4A0C" w:rsidRDefault="007A4A0C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6C44E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C44ED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54047B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AB32BC" w:rsidRDefault="002F6113" w:rsidP="00AB32BC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70CF5">
              <w:rPr>
                <w:rFonts w:cstheme="minorHAnsi"/>
                <w:lang w:eastAsia="pl-PL"/>
              </w:rPr>
              <w:t>ponoszon</w:t>
            </w:r>
            <w:r w:rsidR="00670CF5" w:rsidRPr="00670CF5">
              <w:rPr>
                <w:rFonts w:cstheme="minorHAnsi"/>
                <w:lang w:eastAsia="pl-PL"/>
              </w:rPr>
              <w:t>ych</w:t>
            </w:r>
            <w:r w:rsidR="0015763D" w:rsidRPr="00670CF5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3083D">
              <w:rPr>
                <w:rFonts w:cstheme="minorHAnsi"/>
                <w:lang w:eastAsia="pl-PL"/>
              </w:rPr>
              <w:t>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</w:t>
            </w:r>
            <w:r w:rsidR="00AB32BC">
              <w:rPr>
                <w:rFonts w:cstheme="minorHAnsi"/>
                <w:lang w:eastAsia="pl-PL"/>
              </w:rPr>
              <w:t xml:space="preserve">mian klimatu w fazie realizacji (w kontekście łagodzenia zmian klimatu - w SW znalazło się zestawienie, w którego wynika, że </w:t>
            </w:r>
            <w:r w:rsidR="00AB32BC" w:rsidRPr="00AB32BC">
              <w:rPr>
                <w:rFonts w:cstheme="minorHAnsi"/>
                <w:lang w:eastAsia="pl-PL"/>
              </w:rPr>
              <w:t xml:space="preserve">szacunkowa cena instalacji </w:t>
            </w:r>
            <w:r w:rsidR="00AB32BC">
              <w:rPr>
                <w:rFonts w:cstheme="minorHAnsi"/>
                <w:lang w:eastAsia="pl-PL"/>
              </w:rPr>
              <w:t>fotowoltaicznej to 177 000</w:t>
            </w:r>
            <w:r w:rsidR="00AB32BC" w:rsidRPr="00AB32BC">
              <w:rPr>
                <w:rFonts w:cstheme="minorHAnsi"/>
                <w:lang w:eastAsia="pl-PL"/>
              </w:rPr>
              <w:t xml:space="preserve"> zł</w:t>
            </w:r>
            <w:r w:rsidR="00AB32BC">
              <w:rPr>
                <w:rFonts w:cstheme="minorHAnsi"/>
                <w:lang w:eastAsia="pl-PL"/>
              </w:rPr>
              <w:t>)</w:t>
            </w:r>
          </w:p>
          <w:p w:rsidR="00BE5DB2" w:rsidRPr="00670CF5" w:rsidRDefault="00BE5DB2" w:rsidP="00AB32BC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 xml:space="preserve">Analiza przeprowadzona w SW (w tym analiza wariantów) odnosi się </w:t>
            </w:r>
            <w:r>
              <w:rPr>
                <w:rFonts w:cstheme="minorHAnsi"/>
                <w:lang w:eastAsia="pl-PL"/>
              </w:rPr>
              <w:t>kosztu</w:t>
            </w:r>
            <w:r w:rsidRPr="00F1705D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inwestycji w zależności od przyjętego wariantu (zakres prac, zastosowana technologia</w:t>
            </w:r>
            <w:r w:rsidR="00CF1B3E">
              <w:rPr>
                <w:rFonts w:cstheme="minorHAnsi"/>
                <w:lang w:eastAsia="pl-PL"/>
              </w:rPr>
              <w:t xml:space="preserve">, </w:t>
            </w:r>
            <w:r w:rsidR="00AB32BC">
              <w:rPr>
                <w:rFonts w:cstheme="minorHAnsi"/>
                <w:lang w:eastAsia="pl-PL"/>
              </w:rPr>
              <w:t>wysokości emisji gazów CO2</w:t>
            </w:r>
            <w:r>
              <w:rPr>
                <w:rFonts w:cstheme="minorHAnsi"/>
                <w:lang w:eastAsia="pl-PL"/>
              </w:rPr>
              <w:t>)</w:t>
            </w:r>
            <w:r w:rsidR="00CF1B3E">
              <w:rPr>
                <w:rFonts w:cstheme="minorHAnsi"/>
                <w:lang w:eastAsia="pl-PL"/>
              </w:rPr>
              <w:t>,</w:t>
            </w:r>
            <w:r w:rsidRPr="00F1705D">
              <w:rPr>
                <w:rFonts w:cstheme="minorHAnsi"/>
                <w:lang w:eastAsia="pl-PL"/>
              </w:rPr>
              <w:t xml:space="preserve"> jednak nie </w:t>
            </w:r>
            <w:r>
              <w:rPr>
                <w:rFonts w:cstheme="minorHAnsi"/>
                <w:lang w:eastAsia="pl-PL"/>
              </w:rPr>
              <w:t>odwołuje się ona</w:t>
            </w:r>
            <w:r w:rsidRPr="00F1705D">
              <w:rPr>
                <w:rFonts w:cstheme="minorHAnsi"/>
                <w:lang w:eastAsia="pl-PL"/>
              </w:rPr>
              <w:t xml:space="preserve"> do kosztów </w:t>
            </w:r>
            <w:r>
              <w:rPr>
                <w:rFonts w:cstheme="minorHAnsi"/>
                <w:lang w:eastAsia="pl-PL"/>
              </w:rPr>
              <w:t xml:space="preserve">związanych ze </w:t>
            </w:r>
            <w:r w:rsidRPr="00670CF5">
              <w:rPr>
                <w:rFonts w:cstheme="minorHAnsi"/>
                <w:lang w:eastAsia="pl-PL"/>
              </w:rPr>
              <w:t>zwiększanie</w:t>
            </w:r>
            <w:r>
              <w:rPr>
                <w:rFonts w:cstheme="minorHAnsi"/>
                <w:lang w:eastAsia="pl-PL"/>
              </w:rPr>
              <w:t>m</w:t>
            </w:r>
            <w:r w:rsidRPr="00670CF5">
              <w:rPr>
                <w:rFonts w:cstheme="minorHAnsi"/>
                <w:lang w:eastAsia="pl-PL"/>
              </w:rPr>
              <w:t xml:space="preserve"> odporności inwestycji na zmiany klimatu</w:t>
            </w:r>
            <w:r>
              <w:rPr>
                <w:rFonts w:cstheme="minorHAnsi"/>
                <w:lang w:eastAsia="pl-PL"/>
              </w:rPr>
              <w:t>. Może wynikać to z trudności z wyodrębnieniem tego rodzaju kosztów oraz podejścia do analizy wariantów, w</w:t>
            </w:r>
            <w:r w:rsidR="00447995">
              <w:rPr>
                <w:rFonts w:cstheme="minorHAnsi"/>
                <w:lang w:eastAsia="pl-PL"/>
              </w:rPr>
              <w:t xml:space="preserve"> której przedmiotem różnicowania</w:t>
            </w:r>
            <w:r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lastRenderedPageBreak/>
              <w:t>był przede wszystkim zakres projektu</w:t>
            </w:r>
            <w:r w:rsidR="004B46EC">
              <w:rPr>
                <w:rFonts w:cstheme="minorHAnsi"/>
                <w:lang w:eastAsia="pl-PL"/>
              </w:rPr>
              <w:t>, koszty (inwestycyjne oraz eksploatacyjne)</w:t>
            </w:r>
            <w:r w:rsidR="00447995">
              <w:rPr>
                <w:rFonts w:cstheme="minorHAnsi"/>
                <w:lang w:eastAsia="pl-PL"/>
              </w:rPr>
              <w:t xml:space="preserve"> oraz jak najmniejsz</w:t>
            </w:r>
            <w:r w:rsidR="00CF1B3E">
              <w:rPr>
                <w:rFonts w:cstheme="minorHAnsi"/>
                <w:lang w:eastAsia="pl-PL"/>
              </w:rPr>
              <w:t xml:space="preserve">a </w:t>
            </w:r>
            <w:r w:rsidR="00AB32BC">
              <w:rPr>
                <w:rFonts w:cstheme="minorHAnsi"/>
                <w:lang w:eastAsia="pl-PL"/>
              </w:rPr>
              <w:t>emisja CO2</w:t>
            </w:r>
            <w:r w:rsidR="00CF1B3E">
              <w:rPr>
                <w:rFonts w:cstheme="minorHAnsi"/>
                <w:lang w:eastAsia="pl-PL"/>
              </w:rPr>
              <w:t>.</w:t>
            </w:r>
            <w:r w:rsidR="00AB32BC">
              <w:rPr>
                <w:rFonts w:cstheme="minorHAnsi"/>
                <w:lang w:eastAsia="pl-PL"/>
              </w:rPr>
              <w:t xml:space="preserve"> Może to też wynikać ze skali i charakteru przedsięwzięcia.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A4A0C" w:rsidRDefault="00670CF5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670CF5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7A4A0C" w:rsidRPr="00670CF5" w:rsidRDefault="007A4A0C" w:rsidP="00CA3E10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54047B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670CF5" w:rsidRPr="00F1705D" w:rsidRDefault="00670CF5" w:rsidP="00670CF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BE5DB2">
              <w:rPr>
                <w:rFonts w:cstheme="minorHAnsi"/>
                <w:lang w:eastAsia="pl-PL"/>
              </w:rPr>
              <w:t>mi lub katastrofami naturalnymi,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zmian klimatu w fazie eksploatacji.</w:t>
            </w:r>
          </w:p>
          <w:p w:rsidR="00F1705D" w:rsidRPr="00BE5DB2" w:rsidRDefault="00F1705D" w:rsidP="00BE5DB2">
            <w:pPr>
              <w:rPr>
                <w:rFonts w:cstheme="minorHAnsi"/>
                <w:lang w:eastAsia="pl-PL"/>
              </w:rPr>
            </w:pPr>
          </w:p>
        </w:tc>
      </w:tr>
      <w:tr w:rsidR="00AC3866" w:rsidTr="008615EE">
        <w:tc>
          <w:tcPr>
            <w:tcW w:w="3498" w:type="dxa"/>
          </w:tcPr>
          <w:p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AC3866" w:rsidRPr="007A4A0C" w:rsidRDefault="00AC3866" w:rsidP="00AC3866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TAK/NIE</w:t>
            </w:r>
          </w:p>
        </w:tc>
      </w:tr>
      <w:tr w:rsidR="007A4A0C" w:rsidTr="0054047B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54047B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AB32BC" w:rsidRDefault="00670CF5" w:rsidP="00AB32BC">
            <w:pPr>
              <w:autoSpaceDE w:val="0"/>
              <w:autoSpaceDN w:val="0"/>
              <w:adjustRightInd w:val="0"/>
              <w:rPr>
                <w:rFonts w:eastAsia="TT78Fo00" w:cs="TT78Fo00"/>
              </w:rPr>
            </w:pPr>
            <w:r w:rsidRPr="00670CF5">
              <w:rPr>
                <w:rFonts w:cstheme="minorHAnsi"/>
                <w:lang w:eastAsia="pl-PL"/>
              </w:rPr>
              <w:t>Nie określono</w:t>
            </w:r>
            <w:r w:rsidR="00D86DD6" w:rsidRPr="00670CF5">
              <w:rPr>
                <w:rFonts w:cstheme="minorHAnsi"/>
                <w:lang w:eastAsia="pl-PL"/>
              </w:rPr>
              <w:t xml:space="preserve"> korzyści ekonomiczn</w:t>
            </w:r>
            <w:r w:rsidRPr="00670CF5">
              <w:rPr>
                <w:rFonts w:cstheme="minorHAnsi"/>
                <w:lang w:eastAsia="pl-PL"/>
              </w:rPr>
              <w:t>ych</w:t>
            </w:r>
            <w:r w:rsidR="00652EB6">
              <w:rPr>
                <w:rFonts w:cstheme="minorHAnsi"/>
                <w:lang w:eastAsia="pl-PL"/>
              </w:rPr>
              <w:t xml:space="preserve"> </w:t>
            </w:r>
            <w:r w:rsidR="00DE2465" w:rsidRPr="00670CF5">
              <w:rPr>
                <w:rFonts w:cstheme="minorHAnsi"/>
                <w:lang w:eastAsia="pl-PL"/>
              </w:rPr>
              <w:t>lub koszt</w:t>
            </w:r>
            <w:r w:rsidRPr="00670CF5">
              <w:rPr>
                <w:rFonts w:cstheme="minorHAnsi"/>
                <w:lang w:eastAsia="pl-PL"/>
              </w:rPr>
              <w:t>ów</w:t>
            </w:r>
            <w:r w:rsidR="00DE2465" w:rsidRPr="00670CF5">
              <w:rPr>
                <w:rFonts w:cstheme="minorHAnsi"/>
                <w:lang w:eastAsia="pl-PL"/>
              </w:rPr>
              <w:t xml:space="preserve"> unikniętych strat </w:t>
            </w:r>
            <w:r w:rsidR="00D86DD6" w:rsidRPr="00670CF5">
              <w:rPr>
                <w:rFonts w:cstheme="minorHAnsi"/>
                <w:lang w:eastAsia="pl-PL"/>
              </w:rPr>
              <w:t>wynikając</w:t>
            </w:r>
            <w:r w:rsidR="00AC3866">
              <w:rPr>
                <w:rFonts w:cstheme="minorHAnsi"/>
                <w:lang w:eastAsia="pl-PL"/>
              </w:rPr>
              <w:t>ych</w:t>
            </w:r>
            <w:r w:rsidR="00D86DD6" w:rsidRPr="00670CF5">
              <w:rPr>
                <w:rFonts w:cstheme="minorHAnsi"/>
                <w:lang w:eastAsia="pl-PL"/>
              </w:rPr>
              <w:t xml:space="preserve"> z ujęcia zagadnień klimatycznych</w:t>
            </w:r>
            <w:r w:rsidR="005F75C7">
              <w:rPr>
                <w:rFonts w:cstheme="minorHAnsi"/>
                <w:lang w:eastAsia="pl-PL"/>
              </w:rPr>
              <w:t xml:space="preserve">, jednak odniesiono się do </w:t>
            </w:r>
            <w:r w:rsidR="00AB32BC">
              <w:rPr>
                <w:rFonts w:cstheme="minorHAnsi"/>
                <w:lang w:eastAsia="pl-PL"/>
              </w:rPr>
              <w:t>"</w:t>
            </w:r>
            <w:r w:rsidR="005F75C7">
              <w:rPr>
                <w:rFonts w:cstheme="minorHAnsi"/>
                <w:lang w:eastAsia="pl-PL"/>
              </w:rPr>
              <w:t>zaoszczędzonej energii</w:t>
            </w:r>
            <w:r w:rsidR="00AB32BC">
              <w:rPr>
                <w:rFonts w:cstheme="minorHAnsi"/>
                <w:lang w:eastAsia="pl-PL"/>
              </w:rPr>
              <w:t xml:space="preserve">" - </w:t>
            </w:r>
            <w:r w:rsidR="005F75C7">
              <w:rPr>
                <w:rFonts w:cstheme="minorHAnsi"/>
                <w:lang w:eastAsia="pl-PL"/>
              </w:rPr>
              <w:t xml:space="preserve">energia produkowana </w:t>
            </w:r>
            <w:r w:rsidR="00AB32BC">
              <w:rPr>
                <w:rFonts w:cstheme="minorHAnsi"/>
                <w:lang w:eastAsia="pl-PL"/>
              </w:rPr>
              <w:t xml:space="preserve">z </w:t>
            </w:r>
            <w:proofErr w:type="spellStart"/>
            <w:r w:rsidR="00AB32BC">
              <w:rPr>
                <w:rFonts w:cstheme="minorHAnsi"/>
                <w:lang w:eastAsia="pl-PL"/>
              </w:rPr>
              <w:t>fotowoltaiki</w:t>
            </w:r>
            <w:proofErr w:type="spellEnd"/>
            <w:r w:rsidR="00AB32BC">
              <w:rPr>
                <w:rFonts w:cstheme="minorHAnsi"/>
                <w:lang w:eastAsia="pl-PL"/>
              </w:rPr>
              <w:t xml:space="preserve"> to średnio 20900 kWh rocznie - </w:t>
            </w:r>
            <w:r w:rsidR="00AB32BC" w:rsidRPr="00F40CE0">
              <w:rPr>
                <w:rFonts w:eastAsia="TT78Fo00" w:cs="TT78Fo00"/>
              </w:rPr>
              <w:t xml:space="preserve">zastosowanie paneli fotowoltaicznych na oczyszczalni </w:t>
            </w:r>
            <w:proofErr w:type="spellStart"/>
            <w:r w:rsidR="00AB32BC" w:rsidRPr="00F40CE0">
              <w:rPr>
                <w:rFonts w:eastAsia="TT78Fo00" w:cs="TT78Fo00"/>
              </w:rPr>
              <w:t>ściekow</w:t>
            </w:r>
            <w:proofErr w:type="spellEnd"/>
            <w:r w:rsidR="00AB32BC" w:rsidRPr="00F40CE0">
              <w:rPr>
                <w:rFonts w:eastAsia="TT78Fo00" w:cs="TT78Fo00"/>
              </w:rPr>
              <w:t xml:space="preserve"> Mnich </w:t>
            </w:r>
            <w:r w:rsidR="00AB32BC">
              <w:rPr>
                <w:rFonts w:eastAsia="TT78Fo00" w:cs="TT78Fo00"/>
              </w:rPr>
              <w:t xml:space="preserve"> </w:t>
            </w:r>
            <w:r w:rsidR="00AB32BC" w:rsidRPr="00F40CE0">
              <w:rPr>
                <w:rFonts w:eastAsia="TT78Fo00" w:cs="TT78Fo00"/>
              </w:rPr>
              <w:t>pozwoli na ograniczenie emisji CO</w:t>
            </w:r>
            <w:r w:rsidR="00AB32BC" w:rsidRPr="00F40CE0">
              <w:rPr>
                <w:rFonts w:eastAsia="TT78Fo00" w:cs="TT797o00"/>
              </w:rPr>
              <w:t xml:space="preserve">2 </w:t>
            </w:r>
            <w:r w:rsidR="00AB32BC" w:rsidRPr="00F40CE0">
              <w:rPr>
                <w:rFonts w:eastAsia="TT78Fo00" w:cs="TT78Fo00"/>
              </w:rPr>
              <w:t>powstają</w:t>
            </w:r>
            <w:r w:rsidR="00AB32BC">
              <w:rPr>
                <w:rFonts w:eastAsia="TT78Fo00" w:cs="TT78Fo00"/>
              </w:rPr>
              <w:t xml:space="preserve">cego </w:t>
            </w:r>
            <w:r w:rsidR="00AB32BC" w:rsidRPr="00F40CE0">
              <w:rPr>
                <w:rFonts w:eastAsia="TT78Fo00" w:cs="TT78Fo00"/>
              </w:rPr>
              <w:t>wskutek spalania paliw kopalnianych w elektrowniach konwencjonalnych.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:rsidR="0015763D" w:rsidRPr="007A4A0C" w:rsidRDefault="005F75C7" w:rsidP="00BE5DB2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  <w:r w:rsidR="00AC3866" w:rsidRPr="00670CF5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DE2465" w:rsidTr="0054047B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AC3866" w:rsidRDefault="00DE2465" w:rsidP="005F75C7">
            <w:pPr>
              <w:rPr>
                <w:rFonts w:cstheme="minorHAnsi"/>
                <w:color w:val="4472C4" w:themeColor="accent1"/>
                <w:lang w:eastAsia="pl-PL"/>
              </w:rPr>
            </w:pP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683FB6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54047B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1B3B4D" w:rsidRDefault="001B3B4D" w:rsidP="001B3B4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AC3866" w:rsidRPr="00A700B8" w:rsidRDefault="00AC3866" w:rsidP="00AC3866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A700B8">
              <w:rPr>
                <w:rFonts w:cstheme="minorHAnsi"/>
                <w:lang w:eastAsia="pl-PL"/>
              </w:rPr>
              <w:t>mi lub katastrofami naturalnymi, ani kosztów związanych z emisją gazów cieplarnianych.</w:t>
            </w:r>
          </w:p>
          <w:p w:rsidR="001B3B4D" w:rsidRPr="00A700B8" w:rsidRDefault="001B3B4D" w:rsidP="00A700B8">
            <w:pPr>
              <w:autoSpaceDE w:val="0"/>
              <w:autoSpaceDN w:val="0"/>
              <w:adjustRightInd w:val="0"/>
            </w:pPr>
          </w:p>
        </w:tc>
      </w:tr>
      <w:tr w:rsidR="001B3B4D" w:rsidTr="0054047B">
        <w:tc>
          <w:tcPr>
            <w:tcW w:w="6996" w:type="dxa"/>
            <w:gridSpan w:val="2"/>
          </w:tcPr>
          <w:p w:rsidR="001B3B4D" w:rsidRPr="004E4D11" w:rsidRDefault="001B3B4D" w:rsidP="004E4D11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:rsidR="000A33F8" w:rsidRPr="000A33F8" w:rsidRDefault="005A492C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RPr="007E2A75" w:rsidTr="0054047B">
        <w:tc>
          <w:tcPr>
            <w:tcW w:w="6996" w:type="dxa"/>
            <w:gridSpan w:val="2"/>
          </w:tcPr>
          <w:p w:rsidR="00482AFF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683FB6">
              <w:rPr>
                <w:rFonts w:cstheme="minorHAnsi"/>
                <w:b/>
                <w:lang w:eastAsia="pl-PL"/>
              </w:rPr>
              <w:t>Ś</w:t>
            </w:r>
            <w:bookmarkStart w:id="0" w:name="_GoBack"/>
            <w:bookmarkEnd w:id="0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7070B6" w:rsidRPr="004E4D11" w:rsidRDefault="007070B6" w:rsidP="00482AFF">
            <w:pPr>
              <w:rPr>
                <w:rFonts w:cstheme="minorHAnsi"/>
                <w:b/>
                <w:lang w:eastAsia="pl-PL"/>
              </w:rPr>
            </w:pPr>
          </w:p>
        </w:tc>
        <w:tc>
          <w:tcPr>
            <w:tcW w:w="6998" w:type="dxa"/>
            <w:gridSpan w:val="2"/>
          </w:tcPr>
          <w:p w:rsidR="001B3B4D" w:rsidRDefault="007228C7" w:rsidP="0015763D">
            <w:pPr>
              <w:rPr>
                <w:rFonts w:cstheme="minorHAnsi"/>
                <w:lang w:eastAsia="pl-PL"/>
              </w:rPr>
            </w:pPr>
            <w:r w:rsidRPr="007228C7">
              <w:rPr>
                <w:rFonts w:cstheme="minorHAnsi"/>
                <w:lang w:eastAsia="pl-PL"/>
              </w:rPr>
              <w:t>TAK</w:t>
            </w:r>
            <w:r w:rsidR="00652EB6">
              <w:rPr>
                <w:rFonts w:cstheme="minorHAnsi"/>
                <w:lang w:eastAsia="pl-PL"/>
              </w:rPr>
              <w:t>;</w:t>
            </w:r>
          </w:p>
          <w:p w:rsidR="00CC0514" w:rsidRPr="00CC0514" w:rsidRDefault="00053F4F" w:rsidP="00CC0514">
            <w:pPr>
              <w:autoSpaceDE w:val="0"/>
              <w:autoSpaceDN w:val="0"/>
              <w:adjustRightInd w:val="0"/>
            </w:pPr>
            <w:r>
              <w:t xml:space="preserve">Obliczenia wysokości emisji </w:t>
            </w:r>
            <w:r w:rsidR="007E2A75">
              <w:t>oraz zużycia energii wykonano dla stan</w:t>
            </w:r>
            <w:r w:rsidR="00CC0514">
              <w:t xml:space="preserve">u istniejącego oraz przyszłego </w:t>
            </w:r>
            <w:r>
              <w:t xml:space="preserve">(SW </w:t>
            </w:r>
            <w:r w:rsidR="00652EB6">
              <w:t xml:space="preserve">rozdz. </w:t>
            </w:r>
            <w:r w:rsidR="007E2A75">
              <w:rPr>
                <w:rFonts w:eastAsia="BookmanOldStyle" w:cs="BookmanOldStyle"/>
              </w:rPr>
              <w:t>7.4.2</w:t>
            </w:r>
            <w:r w:rsidR="00652EB6">
              <w:t>)</w:t>
            </w:r>
            <w:r w:rsidR="00652EB6" w:rsidRPr="00A700B8">
              <w:t>.</w:t>
            </w:r>
            <w:r w:rsidR="00652EB6">
              <w:t xml:space="preserve"> Uwzględniono emisję bezpośrednią oraz </w:t>
            </w:r>
            <w:r w:rsidR="00CC0514">
              <w:t xml:space="preserve">pośrednią: </w:t>
            </w:r>
            <w:r w:rsidR="00CC0514" w:rsidRPr="00CC0514">
              <w:t>e</w:t>
            </w:r>
            <w:r w:rsidR="00CC0514">
              <w:t>misję</w:t>
            </w:r>
            <w:r w:rsidR="00CC0514" w:rsidRPr="00CC0514">
              <w:t xml:space="preserve"> związana z eksploatacją oczyszczalni </w:t>
            </w:r>
            <w:r w:rsidR="00CC0514" w:rsidRPr="00CC0514">
              <w:lastRenderedPageBreak/>
              <w:t>ścieków, eksploatacją kanalizacji sanitarnej (pompownie sieciowe i przydomowe)</w:t>
            </w:r>
            <w:r w:rsidR="00CC0514">
              <w:t xml:space="preserve">, </w:t>
            </w:r>
            <w:r w:rsidR="00CC0514" w:rsidRPr="00CC0514">
              <w:t>dowozem ścieków z terenów nieskanalizowanych na</w:t>
            </w:r>
          </w:p>
          <w:p w:rsidR="00652EB6" w:rsidRPr="00CC0514" w:rsidRDefault="00CC0514" w:rsidP="00D90BDF">
            <w:pPr>
              <w:autoSpaceDE w:val="0"/>
              <w:autoSpaceDN w:val="0"/>
              <w:adjustRightInd w:val="0"/>
            </w:pPr>
            <w:r w:rsidRPr="00CC0514">
              <w:t>oczyszczalnię ścieków oraz emisję związaną z wywozem osadu do instalacji produkcji biogazu</w:t>
            </w:r>
            <w:r>
              <w:t>.</w:t>
            </w:r>
          </w:p>
          <w:p w:rsidR="00D90BDF" w:rsidRPr="00CC0514" w:rsidRDefault="00CC0514" w:rsidP="00CC051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514">
              <w:t>Projekt nie przewiduje zmiany sposobu użytkowania gruntów które mogą prowadzić do zwiększenia emisji gazów cieplarnianych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615EE" w:rsidRPr="007E2A75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392A" w:rsidRPr="0023392A" w:rsidRDefault="0023392A" w:rsidP="0023392A">
      <w:pPr>
        <w:suppressAutoHyphens/>
        <w:rPr>
          <w:rFonts w:ascii="Calibri" w:eastAsia="SimSun" w:hAnsi="Calibri" w:cs="Calibri"/>
          <w:lang w:eastAsia="ar-SA"/>
        </w:rPr>
      </w:pPr>
      <w:r w:rsidRPr="0023392A">
        <w:rPr>
          <w:rFonts w:ascii="Calibri" w:eastAsia="SimSun" w:hAnsi="Calibri" w:cs="font433"/>
          <w:b/>
          <w:lang w:eastAsia="ar-SA"/>
        </w:rPr>
        <w:t>IDENTYFIKACJA DOBRYCH PRAKTYK</w:t>
      </w:r>
    </w:p>
    <w:p w:rsidR="0023392A" w:rsidRPr="0023392A" w:rsidRDefault="0023392A" w:rsidP="0023392A">
      <w:pPr>
        <w:suppressAutoHyphens/>
        <w:jc w:val="both"/>
        <w:rPr>
          <w:rFonts w:ascii="Calibri" w:eastAsia="SimSun" w:hAnsi="Calibri" w:cs="Calibri"/>
          <w:lang w:eastAsia="ar-SA"/>
        </w:rPr>
      </w:pPr>
      <w:r w:rsidRPr="0023392A">
        <w:rPr>
          <w:rFonts w:ascii="Calibri" w:eastAsia="SimSun" w:hAnsi="Calibri" w:cs="Calibri"/>
          <w:lang w:eastAsia="ar-SA"/>
        </w:rPr>
        <w:t xml:space="preserve">Dobre praktyki: </w:t>
      </w:r>
    </w:p>
    <w:p w:rsidR="0023392A" w:rsidRPr="0023392A" w:rsidRDefault="0023392A" w:rsidP="0023392A">
      <w:pPr>
        <w:suppressAutoHyphens/>
        <w:jc w:val="both"/>
        <w:rPr>
          <w:rFonts w:ascii="Calibri" w:eastAsia="BookmanOldStyle" w:hAnsi="Calibri" w:cs="BookmanOldStyle"/>
          <w:lang w:eastAsia="ar-SA"/>
        </w:rPr>
      </w:pPr>
      <w:r w:rsidRPr="0023392A">
        <w:rPr>
          <w:rFonts w:ascii="Calibri" w:eastAsia="SimSun" w:hAnsi="Calibri" w:cs="Calibri"/>
          <w:lang w:eastAsia="ar-SA"/>
        </w:rPr>
        <w:t xml:space="preserve">- </w:t>
      </w:r>
      <w:r w:rsidRPr="0023392A">
        <w:rPr>
          <w:rFonts w:ascii="Calibri" w:eastAsia="BookmanOldStyle" w:hAnsi="Calibri" w:cs="BookmanOldStyle"/>
          <w:lang w:eastAsia="ar-SA"/>
        </w:rPr>
        <w:t xml:space="preserve">zmiana technologii przeróbki osadów - poprawienie właściwości energetycznych osadów ściekowych, umożliwiających jego efektywne wtórne wykorzystanie tj. skierowanie osadu ściekowego do instalacji produkcji biogazu. </w:t>
      </w:r>
      <w:r w:rsidRPr="0023392A">
        <w:rPr>
          <w:rFonts w:ascii="Calibri" w:eastAsia="SimSun" w:hAnsi="Calibri" w:cs="Calibri"/>
          <w:lang w:eastAsia="ar-SA"/>
        </w:rPr>
        <w:t>Przedstawione rozwiązanie ma charakter uniwersalny i  mogą być zastosowane w projektach o podobnym charakterze.</w:t>
      </w:r>
    </w:p>
    <w:p w:rsidR="0023392A" w:rsidRPr="0023392A" w:rsidRDefault="0023392A" w:rsidP="0023392A">
      <w:pPr>
        <w:suppressAutoHyphens/>
        <w:spacing w:after="0" w:line="100" w:lineRule="atLeast"/>
        <w:jc w:val="both"/>
        <w:rPr>
          <w:rFonts w:ascii="Calibri" w:eastAsia="TT78Fo00" w:hAnsi="Calibri" w:cs="TT78Fo00"/>
          <w:lang w:eastAsia="ar-SA"/>
        </w:rPr>
      </w:pPr>
      <w:r w:rsidRPr="0023392A">
        <w:rPr>
          <w:rFonts w:ascii="Calibri" w:eastAsia="BookmanOldStyle" w:hAnsi="Calibri" w:cs="BookmanOldStyle"/>
          <w:lang w:eastAsia="ar-SA"/>
        </w:rPr>
        <w:t xml:space="preserve">- </w:t>
      </w:r>
      <w:r w:rsidRPr="0023392A">
        <w:rPr>
          <w:rFonts w:ascii="Calibri" w:eastAsia="TT78Fo00" w:hAnsi="Calibri" w:cs="TT78Fo00"/>
          <w:lang w:eastAsia="ar-SA"/>
        </w:rPr>
        <w:t xml:space="preserve">zastosowanie paneli fotowoltaicznych na oczyszczalni ścieków Mnich jako źródło energii elektrycznej - tu mam pewne wątpliwości. Bardziej uzasadnione wydaje się zastosowanie kogeneracji przy spalaniu biogazu, ale ta oczyszczalnia nie korzysta z tego rozwiązania, jest za mała. </w:t>
      </w:r>
      <w:proofErr w:type="spellStart"/>
      <w:r w:rsidRPr="0023392A">
        <w:rPr>
          <w:rFonts w:ascii="Calibri" w:eastAsia="TT78Fo00" w:hAnsi="Calibri" w:cs="TT78Fo00"/>
          <w:lang w:eastAsia="ar-SA"/>
        </w:rPr>
        <w:t>Fotowoltaika</w:t>
      </w:r>
      <w:proofErr w:type="spellEnd"/>
      <w:r w:rsidRPr="0023392A">
        <w:rPr>
          <w:rFonts w:ascii="Calibri" w:eastAsia="TT78Fo00" w:hAnsi="Calibri" w:cs="TT78Fo00"/>
          <w:lang w:eastAsia="ar-SA"/>
        </w:rPr>
        <w:t xml:space="preserve"> budzi moje wątpliwości, bo z danych z SW wynika, że:</w:t>
      </w:r>
    </w:p>
    <w:p w:rsidR="0023392A" w:rsidRPr="0023392A" w:rsidRDefault="0023392A" w:rsidP="0023392A">
      <w:pPr>
        <w:suppressAutoHyphens/>
        <w:spacing w:after="0" w:line="100" w:lineRule="atLeast"/>
        <w:jc w:val="both"/>
        <w:rPr>
          <w:rFonts w:ascii="Calibri" w:eastAsia="TT78Fo00" w:hAnsi="Calibri" w:cs="TT78Fo00"/>
          <w:lang w:eastAsia="ar-SA"/>
        </w:rPr>
      </w:pPr>
      <w:r w:rsidRPr="0023392A">
        <w:rPr>
          <w:rFonts w:ascii="Calibri" w:eastAsia="TT78Fo00" w:hAnsi="Calibri" w:cs="TT78Fo00"/>
          <w:lang w:eastAsia="ar-SA"/>
        </w:rPr>
        <w:t xml:space="preserve">- koszt zakupu instalacji - 177 </w:t>
      </w:r>
      <w:proofErr w:type="spellStart"/>
      <w:r w:rsidRPr="0023392A">
        <w:rPr>
          <w:rFonts w:ascii="Calibri" w:eastAsia="TT78Fo00" w:hAnsi="Calibri" w:cs="TT78Fo00"/>
          <w:lang w:eastAsia="ar-SA"/>
        </w:rPr>
        <w:t>tys</w:t>
      </w:r>
      <w:proofErr w:type="spellEnd"/>
      <w:r w:rsidRPr="0023392A">
        <w:rPr>
          <w:rFonts w:ascii="Calibri" w:eastAsia="TT78Fo00" w:hAnsi="Calibri" w:cs="TT78Fo00"/>
          <w:lang w:eastAsia="ar-SA"/>
        </w:rPr>
        <w:t xml:space="preserve"> zł; wytworzona średniorocznie energia - 20900 KWh; przyjmując średnią cenę kWh w 2018 r. jako 0,52 zł i czas eksploatacji paneli 15 lat (ponoć te najlepsze, japońskie, mają taki okres  żywotności), to w czasie 15 lat instalacja ta wyprodukuje energię za równowartość ok 160 </w:t>
      </w:r>
      <w:proofErr w:type="spellStart"/>
      <w:r w:rsidRPr="0023392A">
        <w:rPr>
          <w:rFonts w:ascii="Calibri" w:eastAsia="TT78Fo00" w:hAnsi="Calibri" w:cs="TT78Fo00"/>
          <w:lang w:eastAsia="ar-SA"/>
        </w:rPr>
        <w:t>tys</w:t>
      </w:r>
      <w:proofErr w:type="spellEnd"/>
      <w:r w:rsidRPr="0023392A">
        <w:rPr>
          <w:rFonts w:ascii="Calibri" w:eastAsia="TT78Fo00" w:hAnsi="Calibri" w:cs="TT78Fo00"/>
          <w:lang w:eastAsia="ar-SA"/>
        </w:rPr>
        <w:t xml:space="preserve"> zł - to nawet nie pokrywa kosztów zakupu, nie mówiąc o montażu, kosztach eksploatacji i utylizacji po demontażu.... (podejrzewam,  ze gdyby mieli płacić za to tylko z własnych środków, to by nie zakupili tej instalacji) to takie proste wyliczenie, z wykorzystaniem cen za energię elektryczną konwencjonalną, gdzie oczywiście nie mam mowy o wliczeniu w jej cenę kosztów zewnętrznych ;)</w:t>
      </w:r>
    </w:p>
    <w:p w:rsidR="0023392A" w:rsidRPr="0023392A" w:rsidRDefault="0023392A" w:rsidP="0023392A">
      <w:pPr>
        <w:suppressAutoHyphens/>
        <w:rPr>
          <w:rFonts w:ascii="Calibri" w:eastAsia="SimSun" w:hAnsi="Calibri" w:cs="Calibri"/>
          <w:lang w:eastAsia="ar-SA"/>
        </w:rPr>
      </w:pPr>
    </w:p>
    <w:p w:rsidR="0023392A" w:rsidRPr="0023392A" w:rsidRDefault="0023392A" w:rsidP="0023392A">
      <w:pPr>
        <w:suppressAutoHyphens/>
        <w:rPr>
          <w:rFonts w:ascii="Calibri" w:eastAsia="SimSun" w:hAnsi="Calibri" w:cs="font433"/>
          <w:b/>
          <w:lang w:eastAsia="ar-SA"/>
        </w:rPr>
      </w:pPr>
      <w:r w:rsidRPr="0023392A">
        <w:rPr>
          <w:rFonts w:ascii="Calibri" w:eastAsia="SimSun" w:hAnsi="Calibri" w:cs="font433"/>
          <w:b/>
          <w:lang w:eastAsia="ar-SA"/>
        </w:rPr>
        <w:t>CZYNNIKI OGRANICZAJĄCE ZASTOSOWANIE PORODNIKA PRZEZ BENEFICJENTÓW</w:t>
      </w:r>
    </w:p>
    <w:p w:rsidR="0023392A" w:rsidRPr="0023392A" w:rsidRDefault="0023392A" w:rsidP="0023392A">
      <w:pPr>
        <w:suppressAutoHyphens/>
        <w:rPr>
          <w:rFonts w:ascii="Calibri" w:eastAsia="SimSun" w:hAnsi="Calibri" w:cs="font433"/>
          <w:i/>
          <w:color w:val="4472C4"/>
          <w:lang w:eastAsia="ar-SA"/>
        </w:rPr>
      </w:pPr>
      <w:r w:rsidRPr="0023392A">
        <w:rPr>
          <w:rFonts w:ascii="Calibri" w:eastAsia="SimSun" w:hAnsi="Calibri" w:cs="font433"/>
          <w:b/>
          <w:lang w:eastAsia="ar-SA"/>
        </w:rPr>
        <w:t>(na podstawie TDI)</w:t>
      </w:r>
    </w:p>
    <w:p w:rsidR="0023392A" w:rsidRPr="0023392A" w:rsidRDefault="0023392A" w:rsidP="0023392A">
      <w:pPr>
        <w:suppressAutoHyphens/>
        <w:rPr>
          <w:rFonts w:ascii="Calibri" w:eastAsia="SimSun" w:hAnsi="Calibri" w:cs="font433"/>
          <w:b/>
          <w:lang w:eastAsia="ar-SA"/>
        </w:rPr>
      </w:pPr>
      <w:r w:rsidRPr="0023392A">
        <w:rPr>
          <w:rFonts w:ascii="Calibri" w:eastAsia="SimSun" w:hAnsi="Calibri" w:cs="font433"/>
          <w:i/>
          <w:color w:val="800000"/>
          <w:lang w:eastAsia="ar-SA"/>
        </w:rPr>
        <w:t>W opinii Beneficjenta firma zewnętrzna sporządzająca wniosek korzystała z „Poradnika...”</w:t>
      </w:r>
    </w:p>
    <w:p w:rsidR="0023392A" w:rsidRPr="0023392A" w:rsidRDefault="0023392A" w:rsidP="0023392A">
      <w:pPr>
        <w:suppressAutoHyphens/>
        <w:rPr>
          <w:rFonts w:ascii="Calibri" w:eastAsia="SimSun" w:hAnsi="Calibri" w:cs="font433"/>
          <w:i/>
          <w:color w:val="4472C4"/>
          <w:lang w:eastAsia="ar-SA"/>
        </w:rPr>
      </w:pPr>
      <w:r w:rsidRPr="0023392A">
        <w:rPr>
          <w:rFonts w:ascii="Calibri" w:eastAsia="SimSun" w:hAnsi="Calibri" w:cs="font433"/>
          <w:b/>
          <w:lang w:eastAsia="ar-SA"/>
        </w:rPr>
        <w:t>INNE MATERIAŁY WYKORZYSTYWANE NA ETAPIE PRZYGOTOWANIA PROJEKTÓW</w:t>
      </w:r>
    </w:p>
    <w:p w:rsidR="0023392A" w:rsidRPr="0023392A" w:rsidRDefault="0023392A" w:rsidP="0023392A">
      <w:pPr>
        <w:suppressAutoHyphens/>
        <w:rPr>
          <w:rFonts w:ascii="Calibri" w:eastAsia="SimSun" w:hAnsi="Calibri" w:cs="font433"/>
          <w:b/>
          <w:lang w:eastAsia="ar-SA"/>
        </w:rPr>
      </w:pPr>
      <w:r w:rsidRPr="0023392A">
        <w:rPr>
          <w:rFonts w:ascii="Calibri" w:eastAsia="SimSun" w:hAnsi="Calibri" w:cs="font433"/>
          <w:i/>
          <w:color w:val="800000"/>
          <w:lang w:eastAsia="ar-SA"/>
        </w:rPr>
        <w:t>Beneficjent nie był w stanie odpowiedzieć na to pytanie, ze względu na to, że wniosek przygotowywała firma zewnętrzna.</w:t>
      </w:r>
    </w:p>
    <w:p w:rsidR="0023392A" w:rsidRPr="0023392A" w:rsidRDefault="0023392A" w:rsidP="0023392A">
      <w:pPr>
        <w:suppressAutoHyphens/>
        <w:rPr>
          <w:rFonts w:ascii="Calibri" w:eastAsia="SimSun" w:hAnsi="Calibri" w:cs="font433"/>
          <w:b/>
          <w:lang w:eastAsia="ar-SA"/>
        </w:rPr>
      </w:pPr>
      <w:r w:rsidRPr="0023392A">
        <w:rPr>
          <w:rFonts w:ascii="Calibri" w:eastAsia="SimSun" w:hAnsi="Calibri" w:cs="font433"/>
          <w:b/>
          <w:lang w:eastAsia="ar-SA"/>
        </w:rPr>
        <w:lastRenderedPageBreak/>
        <w:t>CZYNNIKI OGRANICZAJĄCE ZASTOSOWANIE ROZWIĄZAŃ ZWIĄZANYCH ZE ZMIANAMI KLIMATU, ICH ŁAGODZENIEM I PRZYSTOSOWANIEM DO TYCH ZMIAN ORAZ ODPORNOŚCI NA KLĘSKI ŻYWIOŁOWE</w:t>
      </w:r>
    </w:p>
    <w:p w:rsidR="0023392A" w:rsidRPr="0023392A" w:rsidRDefault="0023392A" w:rsidP="0023392A">
      <w:pPr>
        <w:suppressAutoHyphens/>
        <w:rPr>
          <w:rFonts w:ascii="Calibri" w:eastAsia="SimSun" w:hAnsi="Calibri" w:cs="font433"/>
          <w:b/>
          <w:lang w:eastAsia="ar-SA"/>
        </w:rPr>
      </w:pPr>
      <w:r w:rsidRPr="0023392A">
        <w:rPr>
          <w:rFonts w:ascii="Calibri" w:eastAsia="SimSun" w:hAnsi="Calibri" w:cs="Calibri"/>
          <w:i/>
          <w:color w:val="800000"/>
          <w:lang w:eastAsia="ar-SA"/>
        </w:rPr>
        <w:t>Beneficjent nie był w stanie odpowiedzieć na to pytanie, ze względu na to, że wniosek przygotowywała firma zewnętrzna.</w:t>
      </w:r>
    </w:p>
    <w:p w:rsidR="0023392A" w:rsidRPr="0023392A" w:rsidRDefault="0023392A" w:rsidP="0023392A">
      <w:pPr>
        <w:suppressAutoHyphens/>
        <w:rPr>
          <w:rFonts w:ascii="Calibri" w:eastAsia="SimSun" w:hAnsi="Calibri" w:cs="font433"/>
          <w:b/>
          <w:lang w:eastAsia="ar-SA"/>
        </w:rPr>
      </w:pPr>
      <w:r w:rsidRPr="0023392A">
        <w:rPr>
          <w:rFonts w:ascii="Calibri" w:eastAsia="SimSun" w:hAnsi="Calibri" w:cs="font433"/>
          <w:b/>
          <w:lang w:eastAsia="ar-SA"/>
        </w:rPr>
        <w:t>ZAKRES OPCJI KLIMATYCZNYCH STOSOWANYCH W PROJEKTACH FINANSOWANYCH Z INNYCH ŹRÓDEŁ</w:t>
      </w:r>
    </w:p>
    <w:p w:rsidR="000A33F8" w:rsidRPr="000A33F8" w:rsidRDefault="000A33F8" w:rsidP="0023392A">
      <w:pPr>
        <w:rPr>
          <w:rFonts w:cstheme="minorHAnsi"/>
          <w:color w:val="FF0000"/>
          <w:lang w:eastAsia="pl-PL"/>
        </w:rPr>
      </w:pPr>
    </w:p>
    <w:sectPr w:rsidR="000A33F8" w:rsidRPr="000A33F8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166" w:rsidRDefault="00855166" w:rsidP="00AB32BC">
      <w:pPr>
        <w:spacing w:after="0" w:line="240" w:lineRule="auto"/>
      </w:pPr>
      <w:r>
        <w:separator/>
      </w:r>
    </w:p>
  </w:endnote>
  <w:endnote w:type="continuationSeparator" w:id="0">
    <w:p w:rsidR="00855166" w:rsidRDefault="00855166" w:rsidP="00AB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78Fo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797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33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166" w:rsidRDefault="00855166" w:rsidP="00AB32BC">
      <w:pPr>
        <w:spacing w:after="0" w:line="240" w:lineRule="auto"/>
      </w:pPr>
      <w:r>
        <w:separator/>
      </w:r>
    </w:p>
  </w:footnote>
  <w:footnote w:type="continuationSeparator" w:id="0">
    <w:p w:rsidR="00855166" w:rsidRDefault="00855166" w:rsidP="00AB3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636C"/>
    <w:multiLevelType w:val="hybridMultilevel"/>
    <w:tmpl w:val="F628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341E"/>
    <w:multiLevelType w:val="hybridMultilevel"/>
    <w:tmpl w:val="AA261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4" w15:restartNumberingAfterBreak="0">
    <w:nsid w:val="13027A48"/>
    <w:multiLevelType w:val="hybridMultilevel"/>
    <w:tmpl w:val="97C29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6399B"/>
    <w:multiLevelType w:val="hybridMultilevel"/>
    <w:tmpl w:val="40DC9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21088"/>
    <w:multiLevelType w:val="hybridMultilevel"/>
    <w:tmpl w:val="8732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207B5"/>
    <w:multiLevelType w:val="hybridMultilevel"/>
    <w:tmpl w:val="9D66D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1F18"/>
    <w:multiLevelType w:val="hybridMultilevel"/>
    <w:tmpl w:val="27601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E4A"/>
    <w:multiLevelType w:val="hybridMultilevel"/>
    <w:tmpl w:val="D6203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14" w15:restartNumberingAfterBreak="0">
    <w:nsid w:val="61666258"/>
    <w:multiLevelType w:val="hybridMultilevel"/>
    <w:tmpl w:val="33F244BA"/>
    <w:lvl w:ilvl="0" w:tplc="0415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0"/>
  </w:num>
  <w:num w:numId="5">
    <w:abstractNumId w:val="12"/>
  </w:num>
  <w:num w:numId="6">
    <w:abstractNumId w:val="8"/>
  </w:num>
  <w:num w:numId="7">
    <w:abstractNumId w:val="6"/>
  </w:num>
  <w:num w:numId="8">
    <w:abstractNumId w:val="11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4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4299F"/>
    <w:rsid w:val="00053F4F"/>
    <w:rsid w:val="00062CE1"/>
    <w:rsid w:val="00070938"/>
    <w:rsid w:val="00090896"/>
    <w:rsid w:val="00092AE3"/>
    <w:rsid w:val="000A33F8"/>
    <w:rsid w:val="000D3CD2"/>
    <w:rsid w:val="000D411A"/>
    <w:rsid w:val="000E07D0"/>
    <w:rsid w:val="00113D54"/>
    <w:rsid w:val="00122253"/>
    <w:rsid w:val="0013530B"/>
    <w:rsid w:val="0015763D"/>
    <w:rsid w:val="0019543D"/>
    <w:rsid w:val="001A0D0D"/>
    <w:rsid w:val="001B3B4D"/>
    <w:rsid w:val="001B3E52"/>
    <w:rsid w:val="001E5D9B"/>
    <w:rsid w:val="00201D77"/>
    <w:rsid w:val="002231EE"/>
    <w:rsid w:val="00230E7E"/>
    <w:rsid w:val="0023392A"/>
    <w:rsid w:val="002418FC"/>
    <w:rsid w:val="00247CCE"/>
    <w:rsid w:val="002D7FF4"/>
    <w:rsid w:val="002F54E6"/>
    <w:rsid w:val="002F6113"/>
    <w:rsid w:val="003074CB"/>
    <w:rsid w:val="003272F3"/>
    <w:rsid w:val="0034669A"/>
    <w:rsid w:val="00361A74"/>
    <w:rsid w:val="003719E6"/>
    <w:rsid w:val="0038570D"/>
    <w:rsid w:val="00397430"/>
    <w:rsid w:val="003B0376"/>
    <w:rsid w:val="003D020D"/>
    <w:rsid w:val="003D6A83"/>
    <w:rsid w:val="003F0DEE"/>
    <w:rsid w:val="004002EE"/>
    <w:rsid w:val="00422164"/>
    <w:rsid w:val="00436F2A"/>
    <w:rsid w:val="0044652E"/>
    <w:rsid w:val="00447995"/>
    <w:rsid w:val="0045075D"/>
    <w:rsid w:val="00457898"/>
    <w:rsid w:val="00463FDB"/>
    <w:rsid w:val="004662BE"/>
    <w:rsid w:val="0048086C"/>
    <w:rsid w:val="00482AFF"/>
    <w:rsid w:val="004B46EC"/>
    <w:rsid w:val="004D3E4E"/>
    <w:rsid w:val="004D43D1"/>
    <w:rsid w:val="004E4D11"/>
    <w:rsid w:val="004E68FB"/>
    <w:rsid w:val="004F08E8"/>
    <w:rsid w:val="004F40E6"/>
    <w:rsid w:val="004F5599"/>
    <w:rsid w:val="00501740"/>
    <w:rsid w:val="0053468D"/>
    <w:rsid w:val="0054047B"/>
    <w:rsid w:val="0056579D"/>
    <w:rsid w:val="0059040C"/>
    <w:rsid w:val="005A1CBC"/>
    <w:rsid w:val="005A492C"/>
    <w:rsid w:val="005B3BF0"/>
    <w:rsid w:val="005C1F1C"/>
    <w:rsid w:val="005F75C7"/>
    <w:rsid w:val="00600253"/>
    <w:rsid w:val="00604C64"/>
    <w:rsid w:val="00624993"/>
    <w:rsid w:val="0063083D"/>
    <w:rsid w:val="00635B82"/>
    <w:rsid w:val="00652EB6"/>
    <w:rsid w:val="00670CF5"/>
    <w:rsid w:val="00675B8E"/>
    <w:rsid w:val="00683FB6"/>
    <w:rsid w:val="006A0215"/>
    <w:rsid w:val="006A2AF0"/>
    <w:rsid w:val="006C44ED"/>
    <w:rsid w:val="006D6EC3"/>
    <w:rsid w:val="006E3C60"/>
    <w:rsid w:val="006F7D28"/>
    <w:rsid w:val="007070B6"/>
    <w:rsid w:val="00716DDA"/>
    <w:rsid w:val="007228C7"/>
    <w:rsid w:val="007425E1"/>
    <w:rsid w:val="007623D9"/>
    <w:rsid w:val="007923D6"/>
    <w:rsid w:val="007A4A0C"/>
    <w:rsid w:val="007B08A4"/>
    <w:rsid w:val="007C60EA"/>
    <w:rsid w:val="007D3586"/>
    <w:rsid w:val="007D4675"/>
    <w:rsid w:val="007E2A75"/>
    <w:rsid w:val="007F1A3F"/>
    <w:rsid w:val="0080161A"/>
    <w:rsid w:val="008155B8"/>
    <w:rsid w:val="0081711D"/>
    <w:rsid w:val="0082304F"/>
    <w:rsid w:val="00824E30"/>
    <w:rsid w:val="00855166"/>
    <w:rsid w:val="008615EE"/>
    <w:rsid w:val="00862552"/>
    <w:rsid w:val="00865462"/>
    <w:rsid w:val="008A51F8"/>
    <w:rsid w:val="008B3383"/>
    <w:rsid w:val="008C26BF"/>
    <w:rsid w:val="008F0AED"/>
    <w:rsid w:val="008F30C8"/>
    <w:rsid w:val="0091713A"/>
    <w:rsid w:val="009342CF"/>
    <w:rsid w:val="009567FA"/>
    <w:rsid w:val="009633DB"/>
    <w:rsid w:val="009B2A2C"/>
    <w:rsid w:val="009C4F1D"/>
    <w:rsid w:val="009E7D85"/>
    <w:rsid w:val="00A0178C"/>
    <w:rsid w:val="00A0291F"/>
    <w:rsid w:val="00A12FAD"/>
    <w:rsid w:val="00A34900"/>
    <w:rsid w:val="00A700B8"/>
    <w:rsid w:val="00A9370C"/>
    <w:rsid w:val="00A9785B"/>
    <w:rsid w:val="00AB21A8"/>
    <w:rsid w:val="00AB32BC"/>
    <w:rsid w:val="00AC3866"/>
    <w:rsid w:val="00AE05D2"/>
    <w:rsid w:val="00B15F0C"/>
    <w:rsid w:val="00B4622F"/>
    <w:rsid w:val="00B5313A"/>
    <w:rsid w:val="00B6351B"/>
    <w:rsid w:val="00B8203D"/>
    <w:rsid w:val="00B95F15"/>
    <w:rsid w:val="00BA2D24"/>
    <w:rsid w:val="00BA7F7A"/>
    <w:rsid w:val="00BE5DB2"/>
    <w:rsid w:val="00C12CEC"/>
    <w:rsid w:val="00C45BDB"/>
    <w:rsid w:val="00C71CFF"/>
    <w:rsid w:val="00C76E2A"/>
    <w:rsid w:val="00C83EC3"/>
    <w:rsid w:val="00CA3E10"/>
    <w:rsid w:val="00CA630C"/>
    <w:rsid w:val="00CB2DA1"/>
    <w:rsid w:val="00CC0514"/>
    <w:rsid w:val="00CC643A"/>
    <w:rsid w:val="00CF1B3E"/>
    <w:rsid w:val="00D32025"/>
    <w:rsid w:val="00D45C33"/>
    <w:rsid w:val="00D6105C"/>
    <w:rsid w:val="00D74E49"/>
    <w:rsid w:val="00D856BA"/>
    <w:rsid w:val="00D86DD6"/>
    <w:rsid w:val="00D90BDF"/>
    <w:rsid w:val="00DC0BC9"/>
    <w:rsid w:val="00DD0CC0"/>
    <w:rsid w:val="00DE2465"/>
    <w:rsid w:val="00DF473C"/>
    <w:rsid w:val="00DF55C9"/>
    <w:rsid w:val="00E20452"/>
    <w:rsid w:val="00E24F1E"/>
    <w:rsid w:val="00E55CA2"/>
    <w:rsid w:val="00E7407F"/>
    <w:rsid w:val="00E844BD"/>
    <w:rsid w:val="00E93311"/>
    <w:rsid w:val="00EC3B49"/>
    <w:rsid w:val="00EE5091"/>
    <w:rsid w:val="00F1705D"/>
    <w:rsid w:val="00F54AB3"/>
    <w:rsid w:val="00F91B34"/>
    <w:rsid w:val="00F928BA"/>
    <w:rsid w:val="00F928E8"/>
    <w:rsid w:val="00FC3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5050"/>
  <w15:docId w15:val="{72C44F4F-6C2E-4810-AEC6-FF9925C0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D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8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3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32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32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2044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4</cp:revision>
  <dcterms:created xsi:type="dcterms:W3CDTF">2018-10-22T06:51:00Z</dcterms:created>
  <dcterms:modified xsi:type="dcterms:W3CDTF">2018-11-16T00:21:00Z</dcterms:modified>
</cp:coreProperties>
</file>