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82" w:rsidRDefault="00072206" w:rsidP="00486E30">
      <w:pPr>
        <w:tabs>
          <w:tab w:val="left" w:pos="2534"/>
          <w:tab w:val="left" w:pos="7371"/>
        </w:tabs>
        <w:spacing w:line="260" w:lineRule="exact"/>
        <w:jc w:val="right"/>
        <w:outlineLvl w:val="0"/>
        <w:rPr>
          <w:rFonts w:ascii="Arial" w:hAnsi="Arial" w:cs="Arial"/>
          <w:sz w:val="20"/>
          <w:szCs w:val="20"/>
        </w:rPr>
      </w:pPr>
    </w:p>
    <w:p w:rsidR="00486E30" w:rsidRPr="009A221A" w:rsidRDefault="00C779C3" w:rsidP="00E34B19">
      <w:pPr>
        <w:tabs>
          <w:tab w:val="left" w:pos="5387"/>
          <w:tab w:val="left" w:pos="5669"/>
          <w:tab w:val="right" w:pos="5954"/>
          <w:tab w:val="left" w:pos="6096"/>
          <w:tab w:val="right" w:pos="6237"/>
        </w:tabs>
        <w:spacing w:line="260" w:lineRule="exact"/>
        <w:ind w:left="5165" w:right="1134"/>
        <w:outlineLvl w:val="0"/>
        <w:rPr>
          <w:rFonts w:ascii="Arial" w:hAnsi="Arial" w:cs="Arial"/>
          <w:sz w:val="20"/>
          <w:szCs w:val="20"/>
        </w:rPr>
      </w:pPr>
      <w:r>
        <w:rPr>
          <w:rFonts w:ascii="Arial" w:hAnsi="Arial" w:cs="Arial"/>
          <w:sz w:val="20"/>
          <w:szCs w:val="20"/>
        </w:rPr>
        <w:t xml:space="preserve">Data: </w:t>
      </w:r>
      <w:bookmarkStart w:id="0" w:name="ezdDataPodpisu"/>
      <w:bookmarkEnd w:id="0"/>
    </w:p>
    <w:p w:rsidR="00420AC6" w:rsidRDefault="00C779C3" w:rsidP="00E34B19">
      <w:pPr>
        <w:tabs>
          <w:tab w:val="left" w:pos="5387"/>
          <w:tab w:val="left" w:pos="5670"/>
          <w:tab w:val="left" w:pos="5812"/>
          <w:tab w:val="right" w:pos="6096"/>
        </w:tabs>
        <w:spacing w:line="260" w:lineRule="exact"/>
        <w:ind w:left="4451" w:right="1134"/>
        <w:outlineLvl w:val="0"/>
        <w:rPr>
          <w:rFonts w:ascii="Arial" w:hAnsi="Arial" w:cs="Arial"/>
          <w:sz w:val="20"/>
          <w:szCs w:val="20"/>
        </w:rPr>
      </w:pPr>
      <w:r>
        <w:rPr>
          <w:rFonts w:ascii="Arial" w:hAnsi="Arial" w:cs="Arial"/>
          <w:sz w:val="20"/>
          <w:szCs w:val="20"/>
        </w:rPr>
        <w:t xml:space="preserve">Znak sprawy: </w:t>
      </w:r>
      <w:bookmarkStart w:id="1" w:name="ezdSprawaZnak"/>
      <w:r>
        <w:rPr>
          <w:rFonts w:ascii="Arial" w:hAnsi="Arial" w:cs="Arial"/>
          <w:sz w:val="20"/>
          <w:szCs w:val="20"/>
        </w:rPr>
        <w:t>DM-II.</w:t>
      </w:r>
      <w:r w:rsidR="00DB1BD2">
        <w:rPr>
          <w:rFonts w:ascii="Arial" w:hAnsi="Arial" w:cs="Arial"/>
          <w:sz w:val="20"/>
          <w:szCs w:val="20"/>
        </w:rPr>
        <w:t>053.1</w:t>
      </w:r>
      <w:r>
        <w:rPr>
          <w:rFonts w:ascii="Arial" w:hAnsi="Arial" w:cs="Arial"/>
          <w:sz w:val="20"/>
          <w:szCs w:val="20"/>
        </w:rPr>
        <w:t>.2020</w:t>
      </w:r>
      <w:bookmarkEnd w:id="1"/>
      <w:r w:rsidR="00DB1BD2">
        <w:rPr>
          <w:rFonts w:ascii="Arial" w:hAnsi="Arial" w:cs="Arial"/>
          <w:sz w:val="20"/>
          <w:szCs w:val="20"/>
        </w:rPr>
        <w:t>.AK</w:t>
      </w:r>
    </w:p>
    <w:p w:rsidR="00AC6F29" w:rsidRDefault="00072206" w:rsidP="005547A6">
      <w:pPr>
        <w:spacing w:line="260" w:lineRule="exact"/>
        <w:jc w:val="right"/>
        <w:outlineLvl w:val="0"/>
        <w:rPr>
          <w:rFonts w:ascii="Arial" w:hAnsi="Arial" w:cs="Arial"/>
          <w:sz w:val="20"/>
          <w:szCs w:val="20"/>
        </w:rPr>
      </w:pPr>
    </w:p>
    <w:p w:rsidR="00257A7E" w:rsidRDefault="00072206" w:rsidP="005547A6">
      <w:pPr>
        <w:spacing w:line="260" w:lineRule="exact"/>
        <w:jc w:val="right"/>
        <w:outlineLvl w:val="0"/>
        <w:rPr>
          <w:rFonts w:ascii="Arial" w:hAnsi="Arial" w:cs="Arial"/>
          <w:sz w:val="20"/>
          <w:szCs w:val="20"/>
        </w:rPr>
      </w:pPr>
    </w:p>
    <w:p w:rsidR="00257A7E" w:rsidRDefault="00072206" w:rsidP="005547A6">
      <w:pPr>
        <w:spacing w:line="260" w:lineRule="exact"/>
        <w:jc w:val="right"/>
        <w:outlineLvl w:val="0"/>
        <w:rPr>
          <w:rFonts w:ascii="Arial" w:hAnsi="Arial" w:cs="Arial"/>
          <w:sz w:val="20"/>
          <w:szCs w:val="20"/>
        </w:rPr>
      </w:pPr>
    </w:p>
    <w:p w:rsidR="00AC6F29" w:rsidRPr="009A221A" w:rsidRDefault="00072206" w:rsidP="005547A6">
      <w:pPr>
        <w:spacing w:line="260" w:lineRule="exact"/>
        <w:jc w:val="right"/>
        <w:outlineLvl w:val="0"/>
        <w:rPr>
          <w:rFonts w:ascii="Arial" w:hAnsi="Arial" w:cs="Arial"/>
          <w:sz w:val="20"/>
          <w:szCs w:val="20"/>
        </w:rPr>
      </w:pPr>
    </w:p>
    <w:p w:rsidR="00CA395F" w:rsidRDefault="00072206" w:rsidP="00CA395F">
      <w:pPr>
        <w:tabs>
          <w:tab w:val="center" w:pos="1848"/>
          <w:tab w:val="left" w:pos="5273"/>
        </w:tabs>
        <w:spacing w:line="260" w:lineRule="exact"/>
        <w:outlineLvl w:val="0"/>
        <w:rPr>
          <w:rFonts w:ascii="Arial" w:hAnsi="Arial" w:cs="Arial"/>
          <w:sz w:val="20"/>
          <w:szCs w:val="20"/>
        </w:rPr>
      </w:pPr>
    </w:p>
    <w:p w:rsidR="009653A2" w:rsidRDefault="00072206" w:rsidP="00CA395F">
      <w:pPr>
        <w:tabs>
          <w:tab w:val="center" w:pos="1848"/>
          <w:tab w:val="left" w:pos="5273"/>
        </w:tabs>
        <w:spacing w:line="260" w:lineRule="exact"/>
        <w:outlineLvl w:val="0"/>
        <w:rPr>
          <w:rFonts w:ascii="Arial" w:hAnsi="Arial" w:cs="Arial"/>
          <w:sz w:val="20"/>
          <w:szCs w:val="20"/>
        </w:rPr>
      </w:pPr>
    </w:p>
    <w:p w:rsidR="00D12A92" w:rsidRDefault="00072206" w:rsidP="00D12A92">
      <w:pPr>
        <w:jc w:val="both"/>
        <w:rPr>
          <w:rFonts w:ascii="Arial" w:hAnsi="Arial" w:cs="Arial"/>
          <w:bCs/>
          <w:sz w:val="20"/>
          <w:szCs w:val="20"/>
        </w:rPr>
      </w:pPr>
    </w:p>
    <w:p w:rsidR="005B492B" w:rsidRDefault="00072206" w:rsidP="005B492B">
      <w:pPr>
        <w:tabs>
          <w:tab w:val="center" w:pos="1980"/>
          <w:tab w:val="left" w:pos="5273"/>
        </w:tabs>
        <w:spacing w:line="260" w:lineRule="exact"/>
        <w:outlineLvl w:val="0"/>
        <w:rPr>
          <w:rFonts w:ascii="Arial" w:hAnsi="Arial" w:cs="Arial"/>
          <w:sz w:val="22"/>
          <w:szCs w:val="22"/>
        </w:rPr>
      </w:pPr>
    </w:p>
    <w:p w:rsidR="00970839" w:rsidRDefault="00DB1BD2" w:rsidP="00C639FC">
      <w:pPr>
        <w:tabs>
          <w:tab w:val="center" w:pos="1470"/>
        </w:tabs>
        <w:spacing w:after="120" w:line="240" w:lineRule="exact"/>
        <w:ind w:left="5670"/>
        <w:outlineLvl w:val="0"/>
        <w:rPr>
          <w:rFonts w:ascii="Arial" w:hAnsi="Arial" w:cs="Arial"/>
          <w:b/>
          <w:spacing w:val="4"/>
          <w:sz w:val="20"/>
          <w:szCs w:val="20"/>
        </w:rPr>
      </w:pPr>
      <w:r>
        <w:rPr>
          <w:rFonts w:ascii="Arial" w:hAnsi="Arial" w:cs="Arial"/>
          <w:b/>
          <w:spacing w:val="4"/>
          <w:sz w:val="20"/>
          <w:szCs w:val="20"/>
        </w:rPr>
        <w:t>Pani</w:t>
      </w:r>
    </w:p>
    <w:p w:rsidR="00290E66" w:rsidRDefault="00072206" w:rsidP="00E34B19">
      <w:pPr>
        <w:tabs>
          <w:tab w:val="center" w:pos="1470"/>
          <w:tab w:val="left" w:pos="5334"/>
        </w:tabs>
        <w:spacing w:after="120" w:line="240" w:lineRule="exact"/>
        <w:ind w:left="5670"/>
        <w:outlineLvl w:val="0"/>
        <w:rPr>
          <w:rFonts w:ascii="Arial" w:hAnsi="Arial" w:cs="Arial"/>
          <w:spacing w:val="4"/>
          <w:sz w:val="20"/>
          <w:szCs w:val="20"/>
        </w:rPr>
      </w:pPr>
      <w:bookmarkStart w:id="2" w:name="_GoBack"/>
      <w:bookmarkEnd w:id="2"/>
    </w:p>
    <w:p w:rsidR="00BC0D8D" w:rsidRPr="00521BDE" w:rsidRDefault="00DB1BD2" w:rsidP="00521BDE">
      <w:pPr>
        <w:tabs>
          <w:tab w:val="center" w:pos="1848"/>
          <w:tab w:val="left" w:pos="5273"/>
        </w:tabs>
        <w:spacing w:before="600" w:after="600" w:line="360" w:lineRule="auto"/>
        <w:jc w:val="center"/>
        <w:outlineLvl w:val="0"/>
        <w:rPr>
          <w:rFonts w:ascii="Arial" w:hAnsi="Arial" w:cs="Arial"/>
          <w:b/>
          <w:sz w:val="20"/>
          <w:szCs w:val="20"/>
        </w:rPr>
      </w:pPr>
      <w:r>
        <w:rPr>
          <w:rFonts w:ascii="Arial" w:hAnsi="Arial" w:cs="Arial"/>
          <w:b/>
          <w:sz w:val="20"/>
          <w:szCs w:val="20"/>
        </w:rPr>
        <w:t>ZAWIADOMIENIE O SPOSOBIE ZAŁATWIENIA PETYCJI</w:t>
      </w:r>
    </w:p>
    <w:p w:rsidR="000F3CC1" w:rsidRDefault="000F3CC1" w:rsidP="00BC0D8D">
      <w:pPr>
        <w:spacing w:before="120" w:after="120" w:line="360" w:lineRule="auto"/>
        <w:rPr>
          <w:rFonts w:ascii="Arial" w:hAnsi="Arial" w:cs="Arial"/>
          <w:sz w:val="20"/>
          <w:szCs w:val="20"/>
        </w:rPr>
      </w:pPr>
      <w:r>
        <w:rPr>
          <w:rFonts w:ascii="Arial" w:hAnsi="Arial" w:cs="Arial"/>
          <w:sz w:val="20"/>
          <w:szCs w:val="20"/>
        </w:rPr>
        <w:t>d</w:t>
      </w:r>
      <w:r w:rsidR="00DB1BD2">
        <w:rPr>
          <w:rFonts w:ascii="Arial" w:hAnsi="Arial" w:cs="Arial"/>
          <w:sz w:val="20"/>
          <w:szCs w:val="20"/>
        </w:rPr>
        <w:t xml:space="preserve">ziałając na podstawie art. 13 </w:t>
      </w:r>
      <w:r w:rsidR="00DB1BD2">
        <w:rPr>
          <w:rFonts w:ascii="Arial" w:hAnsi="Arial" w:cs="Arial"/>
          <w:i/>
          <w:sz w:val="20"/>
          <w:szCs w:val="20"/>
        </w:rPr>
        <w:t>ustawy z dnia 11 lipca 2014 r. o petycjach (Dz. U. z 2018 r.</w:t>
      </w:r>
      <w:r>
        <w:rPr>
          <w:rFonts w:ascii="Arial" w:hAnsi="Arial" w:cs="Arial"/>
          <w:i/>
          <w:sz w:val="20"/>
          <w:szCs w:val="20"/>
        </w:rPr>
        <w:t xml:space="preserve">, poz. 870) </w:t>
      </w:r>
      <w:r>
        <w:rPr>
          <w:rFonts w:ascii="Arial" w:hAnsi="Arial" w:cs="Arial"/>
          <w:sz w:val="20"/>
          <w:szCs w:val="20"/>
        </w:rPr>
        <w:t>informuję, że Pani petycja z dnia 7 października 2019 r. (przekazana zgodnie z właściwością przy piśmie Kancelarii Prezesa Rady Ministrów, znak: DSO.ZAJN.571.641.2019.AC z dnia 12 listopada oraz przy piśmie Ministerstwa Finansów, znak: PG7.057.27.2019 z dnia 18 listopada 2019 r.) dotycząc</w:t>
      </w:r>
      <w:r w:rsidR="00521BDE">
        <w:rPr>
          <w:rFonts w:ascii="Arial" w:hAnsi="Arial" w:cs="Arial"/>
          <w:sz w:val="20"/>
          <w:szCs w:val="20"/>
        </w:rPr>
        <w:t xml:space="preserve">a sytuacji osób </w:t>
      </w:r>
      <w:r>
        <w:rPr>
          <w:rFonts w:ascii="Arial" w:hAnsi="Arial" w:cs="Arial"/>
          <w:i/>
          <w:sz w:val="20"/>
          <w:szCs w:val="20"/>
        </w:rPr>
        <w:t>„zadłużonych kredytami z Krajowego Funduszu Mieszkaniowego”</w:t>
      </w:r>
      <w:r>
        <w:rPr>
          <w:rFonts w:ascii="Arial" w:hAnsi="Arial" w:cs="Arial"/>
          <w:sz w:val="20"/>
          <w:szCs w:val="20"/>
        </w:rPr>
        <w:t>, została rozpatrzona negatywnie.</w:t>
      </w:r>
    </w:p>
    <w:p w:rsidR="00521BDE" w:rsidRDefault="00521BDE" w:rsidP="00BC0D8D">
      <w:pPr>
        <w:spacing w:before="120" w:after="120" w:line="360" w:lineRule="auto"/>
        <w:rPr>
          <w:rFonts w:ascii="Arial" w:hAnsi="Arial" w:cs="Arial"/>
          <w:sz w:val="20"/>
          <w:szCs w:val="20"/>
        </w:rPr>
      </w:pPr>
    </w:p>
    <w:p w:rsidR="00521BDE" w:rsidRDefault="000F3CC1" w:rsidP="00521BDE">
      <w:pPr>
        <w:spacing w:before="120" w:after="120" w:line="360" w:lineRule="auto"/>
        <w:jc w:val="center"/>
        <w:rPr>
          <w:rFonts w:ascii="Arial" w:hAnsi="Arial" w:cs="Arial"/>
          <w:b/>
          <w:sz w:val="20"/>
          <w:szCs w:val="20"/>
        </w:rPr>
      </w:pPr>
      <w:r w:rsidRPr="000F3CC1">
        <w:rPr>
          <w:rFonts w:ascii="Arial" w:hAnsi="Arial" w:cs="Arial"/>
          <w:b/>
          <w:sz w:val="20"/>
          <w:szCs w:val="20"/>
        </w:rPr>
        <w:t>UZASADNIENIE</w:t>
      </w:r>
    </w:p>
    <w:p w:rsidR="00521BDE" w:rsidRPr="000F3CC1" w:rsidRDefault="00521BDE" w:rsidP="00521BDE">
      <w:pPr>
        <w:spacing w:before="120" w:after="120" w:line="360" w:lineRule="auto"/>
        <w:jc w:val="center"/>
        <w:rPr>
          <w:rFonts w:ascii="Arial" w:hAnsi="Arial" w:cs="Arial"/>
          <w:b/>
          <w:sz w:val="20"/>
          <w:szCs w:val="20"/>
        </w:rPr>
      </w:pPr>
    </w:p>
    <w:p w:rsidR="000F3CC1" w:rsidRPr="00521BDE" w:rsidRDefault="000F3CC1" w:rsidP="00BC0D8D">
      <w:pPr>
        <w:spacing w:before="120" w:after="120" w:line="360" w:lineRule="auto"/>
        <w:rPr>
          <w:rFonts w:ascii="Arial" w:hAnsi="Arial" w:cs="Arial"/>
          <w:sz w:val="20"/>
          <w:szCs w:val="20"/>
        </w:rPr>
      </w:pPr>
      <w:r w:rsidRPr="00521BDE">
        <w:rPr>
          <w:rFonts w:ascii="Arial" w:hAnsi="Arial" w:cs="Arial"/>
          <w:sz w:val="20"/>
          <w:szCs w:val="20"/>
        </w:rPr>
        <w:t xml:space="preserve">W petycji porusza Pani problem </w:t>
      </w:r>
      <w:r w:rsidR="00521BDE" w:rsidRPr="00521BDE">
        <w:rPr>
          <w:rFonts w:ascii="Arial" w:hAnsi="Arial" w:cs="Arial"/>
          <w:sz w:val="20"/>
          <w:szCs w:val="20"/>
        </w:rPr>
        <w:t>spłaty kredytów mieszkaniowych, jakie w przeszłości zaciągnęły spółdzielnie mieszkaniowe ze środków byłego Krajowego Funduszu Mieszkaniowego (KFM) ulokowanego w Banku Gospodarstwa Krajowego.</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 xml:space="preserve">Informuję, że zasady spłaty kredytów na przedsięwzięcia inwestycyjno-budowlane zostały określone w </w:t>
      </w:r>
      <w:r w:rsidRPr="00521BDE">
        <w:rPr>
          <w:rFonts w:ascii="Arial" w:hAnsi="Arial" w:cs="Arial"/>
          <w:i/>
          <w:sz w:val="20"/>
          <w:szCs w:val="20"/>
        </w:rPr>
        <w:t xml:space="preserve">ustawie z dnia 26 października 1995 r. o niektórych formach popierania budownictwa mieszkaniowego </w:t>
      </w:r>
      <w:r w:rsidRPr="00521BDE">
        <w:rPr>
          <w:rFonts w:ascii="Arial" w:hAnsi="Arial" w:cs="Arial"/>
          <w:i/>
          <w:sz w:val="20"/>
          <w:szCs w:val="20"/>
        </w:rPr>
        <w:br/>
        <w:t>(Dz. U. z 2019 r. poz. 2195)</w:t>
      </w:r>
      <w:r w:rsidRPr="00521BDE">
        <w:rPr>
          <w:rFonts w:ascii="Arial" w:hAnsi="Arial" w:cs="Arial"/>
          <w:sz w:val="20"/>
          <w:szCs w:val="20"/>
        </w:rPr>
        <w:t xml:space="preserve"> oraz przepisach wykonawczych do ustawy. Zapisy umów kredytu w zakresie wysokości oprocentowania kredytów i zasad ich spłaty odzwierciedlają postanowienia zewnętrznych aktów prawnych.</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Bank w początkowym okresie funkcjonowania KFM wielokrotnie zwracał uwagę na konstrukcję spłaty tych kredytów, w szczególności:</w:t>
      </w:r>
    </w:p>
    <w:p w:rsidR="00521BDE" w:rsidRPr="00521BDE" w:rsidRDefault="00521BDE" w:rsidP="00521BDE">
      <w:pPr>
        <w:pStyle w:val="Akapitzlist"/>
        <w:numPr>
          <w:ilvl w:val="0"/>
          <w:numId w:val="5"/>
        </w:numPr>
        <w:autoSpaceDE w:val="0"/>
        <w:autoSpaceDN w:val="0"/>
        <w:adjustRightInd w:val="0"/>
        <w:spacing w:line="360" w:lineRule="auto"/>
        <w:ind w:left="714" w:hanging="357"/>
        <w:contextualSpacing w:val="0"/>
        <w:rPr>
          <w:rFonts w:ascii="Arial" w:hAnsi="Arial" w:cs="Arial"/>
          <w:sz w:val="20"/>
          <w:szCs w:val="20"/>
        </w:rPr>
      </w:pPr>
      <w:r w:rsidRPr="00521BDE">
        <w:rPr>
          <w:rFonts w:ascii="Arial" w:hAnsi="Arial" w:cs="Arial"/>
          <w:sz w:val="20"/>
          <w:szCs w:val="20"/>
        </w:rPr>
        <w:t>karencję w spłacie odsetek w okresie realizacji inwestycji,</w:t>
      </w:r>
    </w:p>
    <w:p w:rsidR="00521BDE" w:rsidRPr="00521BDE" w:rsidRDefault="00521BDE" w:rsidP="00521BDE">
      <w:pPr>
        <w:pStyle w:val="Akapitzlist"/>
        <w:numPr>
          <w:ilvl w:val="0"/>
          <w:numId w:val="5"/>
        </w:numPr>
        <w:autoSpaceDE w:val="0"/>
        <w:autoSpaceDN w:val="0"/>
        <w:adjustRightInd w:val="0"/>
        <w:spacing w:line="360" w:lineRule="auto"/>
        <w:ind w:left="714" w:hanging="357"/>
        <w:contextualSpacing w:val="0"/>
        <w:rPr>
          <w:rFonts w:ascii="Arial" w:hAnsi="Arial" w:cs="Arial"/>
          <w:sz w:val="20"/>
          <w:szCs w:val="20"/>
        </w:rPr>
      </w:pPr>
      <w:r w:rsidRPr="00521BDE">
        <w:rPr>
          <w:rFonts w:ascii="Arial" w:hAnsi="Arial" w:cs="Arial"/>
          <w:sz w:val="20"/>
          <w:szCs w:val="20"/>
        </w:rPr>
        <w:t>wysokość początkowej spłaty kredytu, niższą niż wysokość należnych odsetek (wysokość spłaty od 0,24% do 0,33% salda kwoty kredytu wobec miesięcznych odsetek należnych w wysokości 0,3675% salda zadłużenia, czyli kredytu powiększonego o odsetki naliczone w okresie karencji),</w:t>
      </w:r>
    </w:p>
    <w:p w:rsidR="00521BDE" w:rsidRPr="00521BDE" w:rsidRDefault="00521BDE" w:rsidP="00521BDE">
      <w:pPr>
        <w:pStyle w:val="Akapitzlist"/>
        <w:numPr>
          <w:ilvl w:val="0"/>
          <w:numId w:val="5"/>
        </w:numPr>
        <w:autoSpaceDE w:val="0"/>
        <w:autoSpaceDN w:val="0"/>
        <w:adjustRightInd w:val="0"/>
        <w:spacing w:after="120" w:line="360" w:lineRule="auto"/>
        <w:contextualSpacing w:val="0"/>
        <w:rPr>
          <w:rFonts w:ascii="Arial" w:hAnsi="Arial" w:cs="Arial"/>
          <w:sz w:val="20"/>
          <w:szCs w:val="20"/>
        </w:rPr>
      </w:pPr>
      <w:r w:rsidRPr="00521BDE">
        <w:rPr>
          <w:rFonts w:ascii="Arial" w:hAnsi="Arial" w:cs="Arial"/>
          <w:sz w:val="20"/>
          <w:szCs w:val="20"/>
        </w:rPr>
        <w:t>brak wymuszonej indeksacji spłat kredytów w okresach minimalnych wzrostów, stagnacji lub spadków cen produkcji budowlano-montażowej,</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 xml:space="preserve">co w efekcie prowadziło do wydłużania się okresu spłaty kredytów. </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lastRenderedPageBreak/>
        <w:t xml:space="preserve">Przepisy </w:t>
      </w:r>
      <w:r w:rsidRPr="00521BDE">
        <w:rPr>
          <w:rFonts w:ascii="Arial" w:hAnsi="Arial" w:cs="Arial"/>
          <w:i/>
          <w:sz w:val="20"/>
          <w:szCs w:val="20"/>
        </w:rPr>
        <w:t xml:space="preserve">rozporządzenia z dnia 6 kwietnia 2004 r. zmieniającego rozporządzenie w sprawie warunków i trybu udzielania kredytów i pożyczek ze środków Krajowego Funduszu Mieszkaniowego oraz niektórych wymagań dotyczących lokali i budynków finansowanych przy udziale tych środków (Dz. U. z 2004 r. nr 86 poz. 803) </w:t>
      </w:r>
      <w:r w:rsidRPr="00521BDE">
        <w:rPr>
          <w:rFonts w:ascii="Arial" w:hAnsi="Arial" w:cs="Arial"/>
          <w:sz w:val="20"/>
          <w:szCs w:val="20"/>
        </w:rPr>
        <w:t>wprowadziły możliwość zawierania umów zmieniających, umożliwiających przejście na nowe warunki spłaty kredytów (§ 5 ust. 2 ww. rozporządzenia).</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 xml:space="preserve">Powyższe rozporządzenie zostało uchylone przepisami </w:t>
      </w:r>
      <w:r w:rsidRPr="00521BDE">
        <w:rPr>
          <w:rFonts w:ascii="Arial" w:hAnsi="Arial" w:cs="Arial"/>
          <w:i/>
          <w:sz w:val="20"/>
          <w:szCs w:val="20"/>
        </w:rPr>
        <w:t>rozporządzenia Rady Ministrów z dnia 7 listopada 2007 r. w sprawie warunków i trybu udzielania kredytów i pożyczek ze środków Krajowego Funduszu Mieszkaniowego oraz niektórych wymagań dotyczących lokali i budynków finansowanych przy udziale tych środków (Dz. U. z 2007 r. nr 212 poz. 1556)</w:t>
      </w:r>
      <w:r w:rsidRPr="00521BDE">
        <w:rPr>
          <w:rFonts w:ascii="Arial" w:hAnsi="Arial" w:cs="Arial"/>
          <w:sz w:val="20"/>
          <w:szCs w:val="20"/>
        </w:rPr>
        <w:t>, w którego treści nie pozostawiono już możliwości zawierania umów zmieniających.</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 xml:space="preserve">W dniu 31 maja 2009 r. nastąpiła likwidacja Krajowego Funduszu Mieszkaniowego – art. 15 ust. 1 </w:t>
      </w:r>
      <w:r w:rsidRPr="00521BDE">
        <w:rPr>
          <w:rFonts w:ascii="Arial" w:hAnsi="Arial" w:cs="Arial"/>
          <w:i/>
          <w:sz w:val="20"/>
          <w:szCs w:val="20"/>
        </w:rPr>
        <w:t xml:space="preserve">ustawy z dnia 2 kwietnia 2009 r. o zmianie ustawy o poręczeniach i gwarancjach udzielanych przez Skarb Państwa oraz niektóre osoby prawne, ustawy o Banku Gospodarstwa Krajowego oraz niektórych innych ustaw (Dz. U. z 2009 r. nr 65 poz. 545 z </w:t>
      </w:r>
      <w:proofErr w:type="spellStart"/>
      <w:r w:rsidRPr="00521BDE">
        <w:rPr>
          <w:rFonts w:ascii="Arial" w:hAnsi="Arial" w:cs="Arial"/>
          <w:i/>
          <w:sz w:val="20"/>
          <w:szCs w:val="20"/>
        </w:rPr>
        <w:t>późn</w:t>
      </w:r>
      <w:proofErr w:type="spellEnd"/>
      <w:r w:rsidRPr="00521BDE">
        <w:rPr>
          <w:rFonts w:ascii="Arial" w:hAnsi="Arial" w:cs="Arial"/>
          <w:i/>
          <w:sz w:val="20"/>
          <w:szCs w:val="20"/>
        </w:rPr>
        <w:t>. zm.)</w:t>
      </w:r>
      <w:r w:rsidRPr="00521BDE">
        <w:rPr>
          <w:rFonts w:ascii="Arial" w:hAnsi="Arial" w:cs="Arial"/>
          <w:sz w:val="20"/>
          <w:szCs w:val="20"/>
        </w:rPr>
        <w:t xml:space="preserve">. W związku z powyższym do kredytów udzielonych przed dniem likwidacji KFM zastosowanie mają przepisy wykonawcze w brzmieniu obowiązującym przed wejściem w życie </w:t>
      </w:r>
      <w:r w:rsidRPr="00521BDE">
        <w:rPr>
          <w:rFonts w:ascii="Arial" w:hAnsi="Arial" w:cs="Arial"/>
          <w:i/>
          <w:sz w:val="20"/>
          <w:szCs w:val="20"/>
        </w:rPr>
        <w:t>ustawy z dnia z dnia 2 kwietnia 2009 r.</w:t>
      </w:r>
      <w:r w:rsidRPr="00521BDE">
        <w:rPr>
          <w:rFonts w:ascii="Arial" w:hAnsi="Arial" w:cs="Arial"/>
          <w:sz w:val="20"/>
          <w:szCs w:val="20"/>
        </w:rPr>
        <w:t xml:space="preserve"> – art. 17 ust. 6. </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Z informacji przekazanych przez Bank Gospodarstwa Krajowego</w:t>
      </w:r>
      <w:r w:rsidR="00D60E2B">
        <w:rPr>
          <w:rFonts w:ascii="Arial" w:hAnsi="Arial" w:cs="Arial"/>
          <w:sz w:val="20"/>
          <w:szCs w:val="20"/>
        </w:rPr>
        <w:t xml:space="preserve"> </w:t>
      </w:r>
      <w:r w:rsidRPr="00521BDE">
        <w:rPr>
          <w:rFonts w:ascii="Arial" w:hAnsi="Arial" w:cs="Arial"/>
          <w:sz w:val="20"/>
          <w:szCs w:val="20"/>
        </w:rPr>
        <w:t>wynika, że</w:t>
      </w:r>
      <w:r w:rsidR="00D60E2B">
        <w:rPr>
          <w:rFonts w:ascii="Arial" w:hAnsi="Arial" w:cs="Arial"/>
          <w:sz w:val="20"/>
          <w:szCs w:val="20"/>
        </w:rPr>
        <w:t xml:space="preserve"> </w:t>
      </w:r>
      <w:r w:rsidRPr="00521BDE">
        <w:rPr>
          <w:rFonts w:ascii="Arial" w:hAnsi="Arial" w:cs="Arial"/>
          <w:sz w:val="20"/>
          <w:szCs w:val="20"/>
        </w:rPr>
        <w:t>:</w:t>
      </w:r>
    </w:p>
    <w:p w:rsidR="00521BDE" w:rsidRPr="00521BDE" w:rsidRDefault="00521BDE" w:rsidP="00521BDE">
      <w:pPr>
        <w:pStyle w:val="Akapitzlist"/>
        <w:numPr>
          <w:ilvl w:val="0"/>
          <w:numId w:val="6"/>
        </w:numPr>
        <w:autoSpaceDE w:val="0"/>
        <w:autoSpaceDN w:val="0"/>
        <w:adjustRightInd w:val="0"/>
        <w:spacing w:after="120" w:line="360" w:lineRule="auto"/>
        <w:ind w:left="426" w:hanging="426"/>
        <w:rPr>
          <w:rFonts w:ascii="Arial" w:hAnsi="Arial" w:cs="Arial"/>
          <w:sz w:val="20"/>
          <w:szCs w:val="20"/>
        </w:rPr>
      </w:pPr>
      <w:r w:rsidRPr="00521BDE">
        <w:rPr>
          <w:rFonts w:ascii="Arial" w:hAnsi="Arial" w:cs="Arial"/>
          <w:sz w:val="20"/>
          <w:szCs w:val="20"/>
        </w:rPr>
        <w:t xml:space="preserve">na 375 umów kredytu zawartych ze spółdzielniami mieszkaniowymi w okresie od początku 1999 r. do maja 2004 r. w 220 przypadkach doszło do zawarcia umów zmieniających, na mocy których klienci przeszli na nowe zasady spłaty z oprocentowaniem w wysokości połowy stopy redyskonta weksli w NBP, jednak nie niższej niż 3,5% i wymuszoną minimalną indeksacją kwartalną bieżących spłat w wysokości 0,3%. </w:t>
      </w:r>
    </w:p>
    <w:p w:rsidR="00521BDE" w:rsidRPr="00521BDE" w:rsidRDefault="00521BDE" w:rsidP="00521BDE">
      <w:pPr>
        <w:pStyle w:val="Akapitzlist"/>
        <w:numPr>
          <w:ilvl w:val="0"/>
          <w:numId w:val="6"/>
        </w:numPr>
        <w:autoSpaceDE w:val="0"/>
        <w:autoSpaceDN w:val="0"/>
        <w:adjustRightInd w:val="0"/>
        <w:spacing w:after="120" w:line="360" w:lineRule="auto"/>
        <w:ind w:left="426" w:hanging="426"/>
        <w:rPr>
          <w:rFonts w:ascii="Arial" w:hAnsi="Arial" w:cs="Arial"/>
          <w:sz w:val="20"/>
          <w:szCs w:val="20"/>
        </w:rPr>
      </w:pPr>
      <w:r w:rsidRPr="00521BDE">
        <w:rPr>
          <w:rFonts w:ascii="Arial" w:hAnsi="Arial" w:cs="Arial"/>
          <w:sz w:val="20"/>
          <w:szCs w:val="20"/>
        </w:rPr>
        <w:t xml:space="preserve">okres spłaty kredytów, w przypadku których zawarto umowy zmieniające, uległ znacznemu skróceniu. Obecnie wynosi on przeciętnie 16,5 roku, dla 60 kredytów jest dłuższy niż 20 lat, a maksymalnie wynosi 31 lat. </w:t>
      </w:r>
    </w:p>
    <w:p w:rsidR="00521BDE" w:rsidRPr="00521BDE" w:rsidRDefault="00521BDE" w:rsidP="00521BDE">
      <w:pPr>
        <w:pStyle w:val="Akapitzlist"/>
        <w:numPr>
          <w:ilvl w:val="0"/>
          <w:numId w:val="6"/>
        </w:numPr>
        <w:autoSpaceDE w:val="0"/>
        <w:autoSpaceDN w:val="0"/>
        <w:adjustRightInd w:val="0"/>
        <w:spacing w:after="120" w:line="360" w:lineRule="auto"/>
        <w:ind w:left="426" w:hanging="426"/>
        <w:rPr>
          <w:rFonts w:ascii="Arial" w:hAnsi="Arial" w:cs="Arial"/>
          <w:sz w:val="20"/>
          <w:szCs w:val="20"/>
        </w:rPr>
      </w:pPr>
      <w:r w:rsidRPr="00521BDE">
        <w:rPr>
          <w:rFonts w:ascii="Arial" w:hAnsi="Arial" w:cs="Arial"/>
          <w:sz w:val="20"/>
          <w:szCs w:val="20"/>
        </w:rPr>
        <w:t>w przypadku 155 umów kredytobiorcy nie zawarli umów zmieniających i pozostali przy pierwotnych warunkach spłaty. Przeciętny szacunkowy okres zapadalności tych kredytów jest dłuższy i wynosi ok. 23 lata, przy czym w przypadku 34 umów kredytu przekracza 35 lat (a w dwóch przypadkach nawet 50 lat).</w:t>
      </w:r>
    </w:p>
    <w:p w:rsidR="00521BDE" w:rsidRPr="00521BDE" w:rsidRDefault="00521BDE" w:rsidP="00521BDE">
      <w:pPr>
        <w:spacing w:after="120" w:line="360" w:lineRule="auto"/>
        <w:rPr>
          <w:rFonts w:ascii="Arial" w:hAnsi="Arial" w:cs="Arial"/>
          <w:sz w:val="20"/>
          <w:szCs w:val="20"/>
        </w:rPr>
      </w:pPr>
      <w:r w:rsidRPr="00521BDE">
        <w:rPr>
          <w:rFonts w:ascii="Arial" w:hAnsi="Arial" w:cs="Arial"/>
          <w:sz w:val="20"/>
          <w:szCs w:val="20"/>
        </w:rPr>
        <w:t xml:space="preserve">Jeżeli chodzi o możliwość aneksowania umów kredytu w zakresie wysokości miesięcznych spłat, to już przepisami rozporządzenia RM z dnia 4 września 2001 r. (Dz. U. nr 116, poz. 1234) wprowadzono możliwość wnoszenia miesięcznych bieżących spłat kredytu w kwocie wyższej niż wynikająca z zasad określonych w przepisach wykonawczych do ustawy – § 11 ust. 2 otrzymał brzmienie: </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„Kwotę pierwszej miesięcznej spłaty zadłużenia, o którym mowa w ust. 1, ustala się w wysokości od 0,24% do 0,35% kwoty udzielonego kredytu. Kwoty kolejnych spłat zadłużenia w pozostałym okresie spłaty podlegają, w okresach kwartalnych, zwiększeniu o 85% kwartalnego wzrostu cen produkcji budowlano-montażowej, ustalonego na podstawie ostatnio ogłoszonego kwartalnego wskaźnika cen produkcji budowlano-montażowej w stosunku do kwartału poprzedniego. Kredytobiorca może wnosić spłaty wyższe od ustalonych w umowie kredytu.”.</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lastRenderedPageBreak/>
        <w:t xml:space="preserve">Wnoszenie spłat w dowolnej wysokości (wyższej niż określona na podstawie umowy kredytu i zasad indeksacji) nie wymaga zawarcia aneksu do umowy kredytu. Wystarczy, że kredytobiorca poinformuje Bank, że kwota takiej wpłaty ma zostać zaksięgowana na poczet spłaty zadłużenia. Spłaty te można wnosić regularnie lub doraźnie. Bank służy kredytobiorcom pomocą w oszacowaniu wpływu wnoszenia wyższych spłat (niż określone zgodnie z wymogami przepisów wykonawczych do ustawy) na skrócenie okresu spłaty kredytu. </w:t>
      </w:r>
    </w:p>
    <w:p w:rsidR="00521BDE" w:rsidRPr="00521BDE" w:rsidRDefault="00521BDE" w:rsidP="00521BDE">
      <w:pPr>
        <w:autoSpaceDE w:val="0"/>
        <w:autoSpaceDN w:val="0"/>
        <w:adjustRightInd w:val="0"/>
        <w:spacing w:after="120" w:line="360" w:lineRule="auto"/>
        <w:rPr>
          <w:rFonts w:ascii="Arial" w:hAnsi="Arial" w:cs="Arial"/>
          <w:sz w:val="20"/>
          <w:szCs w:val="20"/>
        </w:rPr>
      </w:pPr>
      <w:r w:rsidRPr="00521BDE">
        <w:rPr>
          <w:rFonts w:ascii="Arial" w:hAnsi="Arial" w:cs="Arial"/>
          <w:sz w:val="20"/>
          <w:szCs w:val="20"/>
        </w:rPr>
        <w:t xml:space="preserve">Nie można zgodzić się z poglądem, że w przypadku kredytów b. KFM mamy do czynienia z lichwą przy udziale banku państwowego. Bank pełni rolę operatora programu rządowego, co oznacza, że nie może dowolnie kształtować warunków spłaty zadłużenia. Oprocentowanie kredytów ze środków b. KFM określone w ustawie i przepisach wykonawczych było zawsze niższe niż w przypadku kredytów udzielanych przez banki komercyjne, w tym w szczególności kredytów hipotecznych dla osób fizycznych. </w:t>
      </w:r>
    </w:p>
    <w:p w:rsidR="00521BDE" w:rsidRDefault="00D60E2B" w:rsidP="00521BDE">
      <w:pPr>
        <w:autoSpaceDE w:val="0"/>
        <w:autoSpaceDN w:val="0"/>
        <w:adjustRightInd w:val="0"/>
        <w:spacing w:after="120" w:line="360" w:lineRule="auto"/>
        <w:rPr>
          <w:rFonts w:ascii="Arial" w:hAnsi="Arial" w:cs="Arial"/>
          <w:sz w:val="20"/>
          <w:szCs w:val="20"/>
        </w:rPr>
      </w:pPr>
      <w:r>
        <w:rPr>
          <w:rFonts w:ascii="Arial" w:hAnsi="Arial" w:cs="Arial"/>
          <w:sz w:val="20"/>
          <w:szCs w:val="20"/>
        </w:rPr>
        <w:t xml:space="preserve">Mając na uwadze powyższe wyjaśnienia, informuję że waga przedmiotowego zagadnienia </w:t>
      </w:r>
      <w:r w:rsidR="00817E89">
        <w:rPr>
          <w:rFonts w:ascii="Arial" w:hAnsi="Arial" w:cs="Arial"/>
          <w:sz w:val="20"/>
          <w:szCs w:val="20"/>
        </w:rPr>
        <w:t>jest znana Ministerstwu Rozwoju, które we współpracy z Bankiem Gospodarstwa Krajowego bieżąco informuje kredytobiorców o przewidzianych prawem rozwiązaniach pozwalających na uiszczanie spłat z tytułu zaciągniętego w przeszłości kredytu w dowolnej (wyższej niż wynikająca z zawartej umowy) wysokości.</w:t>
      </w:r>
    </w:p>
    <w:p w:rsidR="00D60E2B" w:rsidRPr="00521BDE" w:rsidRDefault="00D60E2B" w:rsidP="00521BDE">
      <w:pPr>
        <w:autoSpaceDE w:val="0"/>
        <w:autoSpaceDN w:val="0"/>
        <w:adjustRightInd w:val="0"/>
        <w:spacing w:after="120" w:line="360" w:lineRule="auto"/>
        <w:rPr>
          <w:rFonts w:ascii="Arial" w:hAnsi="Arial" w:cs="Arial"/>
          <w:sz w:val="20"/>
          <w:szCs w:val="20"/>
        </w:rPr>
      </w:pPr>
    </w:p>
    <w:p w:rsidR="000F3CC1" w:rsidRDefault="000F3CC1" w:rsidP="000F3CC1">
      <w:pPr>
        <w:spacing w:before="120" w:after="120" w:line="360" w:lineRule="auto"/>
        <w:jc w:val="center"/>
        <w:rPr>
          <w:rFonts w:ascii="Arial" w:hAnsi="Arial" w:cs="Arial"/>
          <w:b/>
          <w:sz w:val="20"/>
          <w:szCs w:val="20"/>
        </w:rPr>
      </w:pPr>
      <w:r w:rsidRPr="000F3CC1">
        <w:rPr>
          <w:rFonts w:ascii="Arial" w:hAnsi="Arial" w:cs="Arial"/>
          <w:b/>
          <w:sz w:val="20"/>
          <w:szCs w:val="20"/>
        </w:rPr>
        <w:t>POUCZENIE</w:t>
      </w:r>
    </w:p>
    <w:p w:rsidR="00521BDE" w:rsidRPr="000F3CC1" w:rsidRDefault="00521BDE" w:rsidP="000F3CC1">
      <w:pPr>
        <w:spacing w:before="120" w:after="120" w:line="360" w:lineRule="auto"/>
        <w:jc w:val="center"/>
        <w:rPr>
          <w:rFonts w:ascii="Arial" w:hAnsi="Arial" w:cs="Arial"/>
          <w:b/>
          <w:sz w:val="20"/>
          <w:szCs w:val="20"/>
        </w:rPr>
      </w:pPr>
    </w:p>
    <w:p w:rsidR="000F3CC1" w:rsidRPr="000F3CC1" w:rsidRDefault="000F3CC1" w:rsidP="000F3CC1">
      <w:pPr>
        <w:spacing w:before="120" w:after="120" w:line="360" w:lineRule="auto"/>
        <w:rPr>
          <w:rFonts w:ascii="Arial" w:hAnsi="Arial" w:cs="Arial"/>
          <w:sz w:val="20"/>
          <w:szCs w:val="20"/>
        </w:rPr>
      </w:pPr>
      <w:r w:rsidRPr="000F3CC1">
        <w:rPr>
          <w:rFonts w:ascii="Arial" w:hAnsi="Arial" w:cs="Arial"/>
          <w:sz w:val="20"/>
          <w:szCs w:val="20"/>
        </w:rPr>
        <w:t xml:space="preserve">Zgodnie z art. 13 ust. 2 </w:t>
      </w:r>
      <w:r w:rsidRPr="0067745A">
        <w:rPr>
          <w:rFonts w:ascii="Arial" w:hAnsi="Arial" w:cs="Arial"/>
          <w:i/>
          <w:sz w:val="20"/>
          <w:szCs w:val="20"/>
        </w:rPr>
        <w:t>ustawy o petycjach</w:t>
      </w:r>
      <w:r w:rsidRPr="000F3CC1">
        <w:rPr>
          <w:rFonts w:ascii="Arial" w:hAnsi="Arial" w:cs="Arial"/>
          <w:sz w:val="20"/>
          <w:szCs w:val="20"/>
        </w:rPr>
        <w:t xml:space="preserve">: </w:t>
      </w:r>
      <w:r w:rsidRPr="000F3CC1">
        <w:rPr>
          <w:rFonts w:ascii="Arial" w:hAnsi="Arial" w:cs="Arial"/>
          <w:i/>
          <w:sz w:val="20"/>
          <w:szCs w:val="20"/>
        </w:rPr>
        <w:t xml:space="preserve">„Sposób załatwienia </w:t>
      </w:r>
      <w:bookmarkStart w:id="3" w:name="highlightHit_6"/>
      <w:bookmarkEnd w:id="3"/>
      <w:r w:rsidRPr="000F3CC1">
        <w:rPr>
          <w:rFonts w:ascii="Arial" w:hAnsi="Arial" w:cs="Arial"/>
          <w:i/>
          <w:sz w:val="20"/>
          <w:szCs w:val="20"/>
        </w:rPr>
        <w:t>petycji nie może być przedmiotem skargi.”</w:t>
      </w:r>
      <w:r w:rsidRPr="000F3CC1">
        <w:rPr>
          <w:rFonts w:ascii="Arial" w:hAnsi="Arial" w:cs="Arial"/>
          <w:sz w:val="20"/>
          <w:szCs w:val="20"/>
        </w:rPr>
        <w:t>.</w:t>
      </w:r>
    </w:p>
    <w:p w:rsidR="00BC0D8D" w:rsidRDefault="00072206" w:rsidP="002D2733">
      <w:pPr>
        <w:spacing w:before="120" w:after="120" w:line="360" w:lineRule="auto"/>
        <w:rPr>
          <w:rFonts w:ascii="Arial" w:hAnsi="Arial" w:cs="Arial"/>
          <w:sz w:val="20"/>
          <w:szCs w:val="20"/>
        </w:rPr>
      </w:pPr>
    </w:p>
    <w:p w:rsidR="007C7814" w:rsidRPr="002D2733" w:rsidRDefault="00072206" w:rsidP="002D2733">
      <w:pPr>
        <w:spacing w:before="120" w:after="120" w:line="360" w:lineRule="auto"/>
        <w:rPr>
          <w:rFonts w:ascii="Arial" w:hAnsi="Arial" w:cs="Arial"/>
          <w:sz w:val="20"/>
          <w:szCs w:val="20"/>
        </w:rPr>
      </w:pPr>
    </w:p>
    <w:p w:rsidR="002D2733" w:rsidRPr="002D2733" w:rsidRDefault="00072206" w:rsidP="002D2733">
      <w:pPr>
        <w:spacing w:before="120" w:after="120" w:line="360" w:lineRule="auto"/>
        <w:rPr>
          <w:rFonts w:ascii="Arial" w:hAnsi="Arial" w:cs="Arial"/>
          <w:sz w:val="20"/>
          <w:szCs w:val="20"/>
        </w:rPr>
      </w:pPr>
    </w:p>
    <w:p w:rsidR="0095045A" w:rsidRPr="00055135" w:rsidRDefault="00072206" w:rsidP="00055135">
      <w:pPr>
        <w:spacing w:before="120" w:after="120" w:line="360" w:lineRule="auto"/>
        <w:rPr>
          <w:rFonts w:ascii="Arial" w:hAnsi="Arial" w:cs="Arial"/>
          <w:b/>
          <w:sz w:val="20"/>
          <w:szCs w:val="20"/>
        </w:rPr>
      </w:pPr>
    </w:p>
    <w:p w:rsidR="00A47044" w:rsidRDefault="00072206" w:rsidP="00C23FC8">
      <w:pPr>
        <w:rPr>
          <w:rFonts w:ascii="Arial" w:hAnsi="Arial" w:cs="Arial"/>
          <w:sz w:val="20"/>
          <w:szCs w:val="20"/>
        </w:rPr>
      </w:pPr>
      <w:bookmarkStart w:id="4" w:name="ezdPracownikNazwa"/>
      <w:bookmarkStart w:id="5" w:name="ezdPracownikStanowisko"/>
      <w:bookmarkEnd w:id="4"/>
      <w:bookmarkEnd w:id="5"/>
    </w:p>
    <w:p w:rsidR="002C7FC9" w:rsidRDefault="00072206" w:rsidP="002C7FC9">
      <w:pPr>
        <w:rPr>
          <w:rFonts w:ascii="Arial" w:hAnsi="Arial" w:cs="Arial"/>
          <w:sz w:val="20"/>
          <w:szCs w:val="20"/>
        </w:rPr>
      </w:pPr>
    </w:p>
    <w:p w:rsidR="002C7FC9" w:rsidRDefault="00C779C3" w:rsidP="002C7FC9">
      <w:pPr>
        <w:spacing w:line="360" w:lineRule="auto"/>
        <w:rPr>
          <w:rFonts w:ascii="Arial" w:hAnsi="Arial" w:cs="Arial"/>
          <w:b/>
          <w:sz w:val="20"/>
          <w:szCs w:val="20"/>
        </w:rPr>
      </w:pPr>
      <w:r>
        <w:rPr>
          <w:rFonts w:ascii="Arial" w:hAnsi="Arial" w:cs="Arial"/>
          <w:b/>
          <w:sz w:val="20"/>
          <w:szCs w:val="20"/>
        </w:rPr>
        <w:t>Do wiadomości:</w:t>
      </w:r>
    </w:p>
    <w:p w:rsidR="002C7FC9" w:rsidRDefault="00DB1BD2" w:rsidP="002C7FC9">
      <w:pPr>
        <w:numPr>
          <w:ilvl w:val="0"/>
          <w:numId w:val="2"/>
        </w:numPr>
        <w:spacing w:line="360" w:lineRule="auto"/>
        <w:rPr>
          <w:rFonts w:ascii="Arial" w:hAnsi="Arial" w:cs="Arial"/>
          <w:sz w:val="20"/>
          <w:szCs w:val="20"/>
        </w:rPr>
      </w:pPr>
      <w:r>
        <w:rPr>
          <w:rFonts w:ascii="Arial" w:hAnsi="Arial" w:cs="Arial"/>
          <w:sz w:val="20"/>
          <w:szCs w:val="20"/>
        </w:rPr>
        <w:t>Departament Wspierania Polityk Gospodarczych, Ministerstwo Finansów</w:t>
      </w:r>
    </w:p>
    <w:p w:rsidR="004A36F0" w:rsidRDefault="00072206" w:rsidP="004A36F0">
      <w:pPr>
        <w:spacing w:line="360" w:lineRule="auto"/>
        <w:rPr>
          <w:rFonts w:ascii="Arial" w:hAnsi="Arial" w:cs="Arial"/>
          <w:sz w:val="20"/>
          <w:szCs w:val="20"/>
        </w:rPr>
      </w:pPr>
    </w:p>
    <w:p w:rsidR="00DB1BD2" w:rsidRDefault="00DB1BD2" w:rsidP="004A36F0">
      <w:pPr>
        <w:spacing w:line="360" w:lineRule="auto"/>
        <w:rPr>
          <w:rFonts w:ascii="Arial" w:hAnsi="Arial" w:cs="Arial"/>
          <w:sz w:val="20"/>
          <w:szCs w:val="20"/>
        </w:rPr>
      </w:pPr>
    </w:p>
    <w:p w:rsidR="006E0C19" w:rsidRDefault="006E0C19" w:rsidP="004A36F0">
      <w:pPr>
        <w:spacing w:line="360" w:lineRule="auto"/>
        <w:rPr>
          <w:rFonts w:ascii="Arial" w:hAnsi="Arial" w:cs="Arial"/>
          <w:sz w:val="20"/>
          <w:szCs w:val="20"/>
        </w:rPr>
      </w:pPr>
    </w:p>
    <w:p w:rsidR="006E0C19" w:rsidRDefault="006E0C19" w:rsidP="004A36F0">
      <w:pPr>
        <w:spacing w:line="360" w:lineRule="auto"/>
        <w:rPr>
          <w:rFonts w:ascii="Arial" w:hAnsi="Arial" w:cs="Arial"/>
          <w:sz w:val="20"/>
          <w:szCs w:val="20"/>
        </w:rPr>
      </w:pPr>
    </w:p>
    <w:p w:rsidR="006E0C19" w:rsidRDefault="006E0C19" w:rsidP="004A36F0">
      <w:pPr>
        <w:spacing w:line="360" w:lineRule="auto"/>
        <w:rPr>
          <w:rFonts w:ascii="Arial" w:hAnsi="Arial" w:cs="Arial"/>
          <w:sz w:val="20"/>
          <w:szCs w:val="20"/>
        </w:rPr>
      </w:pPr>
    </w:p>
    <w:p w:rsidR="00DB1BD2" w:rsidRDefault="00DB1BD2" w:rsidP="004A36F0">
      <w:pPr>
        <w:spacing w:line="360" w:lineRule="auto"/>
        <w:rPr>
          <w:rFonts w:ascii="Arial" w:hAnsi="Arial" w:cs="Arial"/>
          <w:sz w:val="20"/>
          <w:szCs w:val="20"/>
        </w:rPr>
      </w:pPr>
    </w:p>
    <w:p w:rsidR="004A36F0" w:rsidRPr="00697B2B" w:rsidRDefault="00C779C3" w:rsidP="004A36F0">
      <w:pPr>
        <w:spacing w:line="360" w:lineRule="auto"/>
        <w:rPr>
          <w:rFonts w:ascii="Arial" w:hAnsi="Arial" w:cs="Arial"/>
          <w:sz w:val="16"/>
          <w:szCs w:val="16"/>
        </w:rPr>
      </w:pPr>
      <w:r>
        <w:rPr>
          <w:rFonts w:ascii="Arial" w:hAnsi="Arial" w:cs="Arial"/>
          <w:sz w:val="16"/>
          <w:szCs w:val="16"/>
        </w:rPr>
        <w:t>Sprawę prowadzi</w:t>
      </w:r>
      <w:r w:rsidRPr="00697B2B">
        <w:rPr>
          <w:rFonts w:ascii="Arial" w:hAnsi="Arial" w:cs="Arial"/>
          <w:sz w:val="16"/>
          <w:szCs w:val="16"/>
        </w:rPr>
        <w:t xml:space="preserve">: </w:t>
      </w:r>
      <w:bookmarkStart w:id="6" w:name="ezdAutorNazwa"/>
      <w:r w:rsidRPr="00697B2B">
        <w:rPr>
          <w:rFonts w:ascii="Arial" w:hAnsi="Arial" w:cs="Arial"/>
          <w:sz w:val="16"/>
          <w:szCs w:val="16"/>
        </w:rPr>
        <w:t>Anna Kowalczyk</w:t>
      </w:r>
      <w:bookmarkEnd w:id="6"/>
    </w:p>
    <w:p w:rsidR="008F266E" w:rsidRPr="00697B2B" w:rsidRDefault="00C779C3" w:rsidP="004A36F0">
      <w:pPr>
        <w:spacing w:line="360" w:lineRule="auto"/>
        <w:rPr>
          <w:rFonts w:ascii="Arial" w:hAnsi="Arial" w:cs="Arial"/>
          <w:sz w:val="16"/>
          <w:szCs w:val="16"/>
        </w:rPr>
      </w:pPr>
      <w:r w:rsidRPr="00697B2B">
        <w:rPr>
          <w:rFonts w:ascii="Arial" w:hAnsi="Arial" w:cs="Arial"/>
          <w:sz w:val="16"/>
          <w:szCs w:val="16"/>
        </w:rPr>
        <w:t xml:space="preserve">E-mail: </w:t>
      </w:r>
      <w:bookmarkStart w:id="7" w:name="ezdAutorEmail"/>
      <w:r w:rsidRPr="00697B2B">
        <w:rPr>
          <w:rFonts w:ascii="Arial" w:hAnsi="Arial" w:cs="Arial"/>
          <w:sz w:val="16"/>
          <w:szCs w:val="16"/>
        </w:rPr>
        <w:t>anna.kowalczyk</w:t>
      </w:r>
      <w:r w:rsidR="00F57282">
        <w:rPr>
          <w:rFonts w:ascii="Arial" w:hAnsi="Arial" w:cs="Arial"/>
          <w:sz w:val="16"/>
          <w:szCs w:val="16"/>
        </w:rPr>
        <w:t>1</w:t>
      </w:r>
      <w:r w:rsidRPr="00697B2B">
        <w:rPr>
          <w:rFonts w:ascii="Arial" w:hAnsi="Arial" w:cs="Arial"/>
          <w:sz w:val="16"/>
          <w:szCs w:val="16"/>
        </w:rPr>
        <w:t>@miir.gov.pl</w:t>
      </w:r>
      <w:bookmarkEnd w:id="7"/>
    </w:p>
    <w:p w:rsidR="00BC0D8D" w:rsidRPr="00697B2B" w:rsidRDefault="00C779C3" w:rsidP="004A36F0">
      <w:pPr>
        <w:spacing w:line="360" w:lineRule="auto"/>
        <w:rPr>
          <w:rFonts w:ascii="Arial" w:hAnsi="Arial" w:cs="Arial"/>
          <w:sz w:val="16"/>
          <w:szCs w:val="16"/>
        </w:rPr>
      </w:pPr>
      <w:r w:rsidRPr="00697B2B">
        <w:rPr>
          <w:rFonts w:ascii="Arial" w:hAnsi="Arial" w:cs="Arial"/>
          <w:sz w:val="16"/>
          <w:szCs w:val="16"/>
        </w:rPr>
        <w:t xml:space="preserve">Telefon: </w:t>
      </w:r>
      <w:r w:rsidR="00DB1BD2">
        <w:rPr>
          <w:rFonts w:ascii="Arial" w:hAnsi="Arial" w:cs="Arial"/>
          <w:sz w:val="16"/>
          <w:szCs w:val="16"/>
        </w:rPr>
        <w:t>22 630 43 14</w:t>
      </w:r>
    </w:p>
    <w:sectPr w:rsidR="00BC0D8D" w:rsidRPr="00697B2B" w:rsidSect="00E17B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06" w:rsidRDefault="00072206">
      <w:r>
        <w:separator/>
      </w:r>
    </w:p>
  </w:endnote>
  <w:endnote w:type="continuationSeparator" w:id="0">
    <w:p w:rsidR="00072206" w:rsidRDefault="0007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Default="00C779C3" w:rsidP="000E3A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AD2F91" w:rsidRDefault="000722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8D" w:rsidRPr="009946A3" w:rsidRDefault="00072206" w:rsidP="0084388D">
    <w:pPr>
      <w:pStyle w:val="Stopka"/>
      <w:pBdr>
        <w:top w:val="single" w:sz="24" w:space="5" w:color="A5A5A5" w:themeColor="accent3"/>
      </w:pBdr>
      <w:jc w:val="center"/>
      <w:rPr>
        <w:rFonts w:ascii="Arial" w:hAnsi="Arial" w:cs="Arial"/>
        <w:iCs/>
        <w:color w:val="8C8C8C" w:themeColor="background1" w:themeShade="8C"/>
        <w:sz w:val="16"/>
        <w:szCs w:val="16"/>
      </w:rPr>
    </w:pPr>
    <w:sdt>
      <w:sdtPr>
        <w:rPr>
          <w:rFonts w:ascii="Arial" w:hAnsi="Arial" w:cs="Arial"/>
          <w:iCs/>
          <w:color w:val="8C8C8C" w:themeColor="background1" w:themeShade="8C"/>
          <w:sz w:val="16"/>
          <w:szCs w:val="16"/>
        </w:rPr>
        <w:alias w:val="Firma"/>
        <w:id w:val="66386522"/>
        <w:placeholder>
          <w:docPart w:val="CC37ADE27E7E4A1097156A08E3020A3E"/>
        </w:placeholder>
        <w:dataBinding w:prefixMappings="xmlns:ns0='http://schemas.openxmlformats.org/officeDocument/2006/extended-properties'" w:xpath="/ns0:Properties[1]/ns0:Company[1]" w:storeItemID="{6668398D-A668-4E3E-A5EB-62B293D839F1}"/>
        <w:text/>
      </w:sdtPr>
      <w:sdtEndPr/>
      <w:sdtContent>
        <w:r w:rsidR="00C779C3" w:rsidRPr="009946A3">
          <w:rPr>
            <w:rFonts w:ascii="Arial" w:hAnsi="Arial" w:cs="Arial"/>
            <w:iCs/>
            <w:color w:val="8C8C8C" w:themeColor="background1" w:themeShade="8C"/>
            <w:sz w:val="16"/>
            <w:szCs w:val="16"/>
          </w:rPr>
          <w:t>M</w:t>
        </w:r>
      </w:sdtContent>
    </w:sdt>
    <w:r w:rsidR="00C779C3" w:rsidRPr="009946A3">
      <w:rPr>
        <w:rFonts w:ascii="Arial" w:hAnsi="Arial" w:cs="Arial"/>
        <w:iCs/>
        <w:color w:val="8C8C8C" w:themeColor="background1" w:themeShade="8C"/>
        <w:sz w:val="16"/>
        <w:szCs w:val="16"/>
      </w:rPr>
      <w:t>inisterstwo Rozwoju, Plac Trzech Krzyży 3/5, 00-507 Warszawa, tel. +48 22 262 90 00, www.gov.pl/rozwoj</w:t>
    </w:r>
  </w:p>
  <w:p w:rsidR="00AD2F91" w:rsidRDefault="00072206" w:rsidP="002C7FC9">
    <w:pPr>
      <w:pStyle w:val="Stopk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88D" w:rsidRPr="004A36F0" w:rsidRDefault="00072206" w:rsidP="004A36F0">
    <w:pPr>
      <w:pStyle w:val="Stopka"/>
      <w:pBdr>
        <w:top w:val="single" w:sz="24" w:space="5" w:color="A5A5A5" w:themeColor="accent3"/>
      </w:pBdr>
      <w:jc w:val="center"/>
      <w:rPr>
        <w:rFonts w:ascii="Arial" w:hAnsi="Arial" w:cs="Arial"/>
        <w:iCs/>
        <w:color w:val="8C8C8C" w:themeColor="background1" w:themeShade="8C"/>
        <w:sz w:val="16"/>
        <w:szCs w:val="16"/>
      </w:rPr>
    </w:pPr>
    <w:sdt>
      <w:sdtPr>
        <w:rPr>
          <w:rFonts w:ascii="Arial" w:hAnsi="Arial" w:cs="Arial"/>
          <w:iCs/>
          <w:color w:val="8C8C8C" w:themeColor="background1" w:themeShade="8C"/>
          <w:sz w:val="16"/>
          <w:szCs w:val="16"/>
        </w:rPr>
        <w:alias w:val="Firma"/>
        <w:id w:val="270665196"/>
        <w:placeholder>
          <w:docPart w:val="F133AE665E6B4CCB903C1C9DBBD002E5"/>
        </w:placeholder>
        <w:dataBinding w:prefixMappings="xmlns:ns0='http://schemas.openxmlformats.org/officeDocument/2006/extended-properties'" w:xpath="/ns0:Properties[1]/ns0:Company[1]" w:storeItemID="{6668398D-A668-4E3E-A5EB-62B293D839F1}"/>
        <w:text/>
      </w:sdtPr>
      <w:sdtEndPr/>
      <w:sdtContent>
        <w:r w:rsidR="00C779C3" w:rsidRPr="009946A3">
          <w:rPr>
            <w:rFonts w:ascii="Arial" w:hAnsi="Arial" w:cs="Arial"/>
            <w:iCs/>
            <w:color w:val="8C8C8C" w:themeColor="background1" w:themeShade="8C"/>
            <w:sz w:val="16"/>
            <w:szCs w:val="16"/>
          </w:rPr>
          <w:t>M</w:t>
        </w:r>
      </w:sdtContent>
    </w:sdt>
    <w:r w:rsidR="00C779C3" w:rsidRPr="009946A3">
      <w:rPr>
        <w:rFonts w:ascii="Arial" w:hAnsi="Arial" w:cs="Arial"/>
        <w:iCs/>
        <w:color w:val="8C8C8C" w:themeColor="background1" w:themeShade="8C"/>
        <w:sz w:val="16"/>
        <w:szCs w:val="16"/>
      </w:rPr>
      <w:t xml:space="preserve">inisterstwo Rozwoju, Plac Trzech Krzyży 3/5, </w:t>
    </w:r>
    <w:r w:rsidR="00C779C3">
      <w:rPr>
        <w:rFonts w:ascii="Arial" w:hAnsi="Arial" w:cs="Arial"/>
        <w:iCs/>
        <w:color w:val="8C8C8C" w:themeColor="background1" w:themeShade="8C"/>
        <w:sz w:val="16"/>
        <w:szCs w:val="16"/>
      </w:rPr>
      <w:t>00-507 Warszawa, tel. +48 22 411</w:t>
    </w:r>
    <w:r w:rsidR="00C779C3" w:rsidRPr="009946A3">
      <w:rPr>
        <w:rFonts w:ascii="Arial" w:hAnsi="Arial" w:cs="Arial"/>
        <w:iCs/>
        <w:color w:val="8C8C8C" w:themeColor="background1" w:themeShade="8C"/>
        <w:sz w:val="16"/>
        <w:szCs w:val="16"/>
      </w:rPr>
      <w:t xml:space="preserve"> 90 00, www.gov.pl/rozwoj</w:t>
    </w:r>
  </w:p>
  <w:p w:rsidR="00AD2F91" w:rsidRPr="001E25BD" w:rsidRDefault="00072206" w:rsidP="000635E1">
    <w:pPr>
      <w:pStyle w:val="Stopka"/>
      <w:rPr>
        <w:rFonts w:asciiTheme="minorHAnsi" w:hAnsiTheme="minorHAnsi"/>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06" w:rsidRDefault="00072206">
      <w:r>
        <w:separator/>
      </w:r>
    </w:p>
  </w:footnote>
  <w:footnote w:type="continuationSeparator" w:id="0">
    <w:p w:rsidR="00072206" w:rsidRDefault="00072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49" w:rsidRDefault="000722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E49" w:rsidRDefault="0007220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91" w:rsidRDefault="00C779C3" w:rsidP="00BF55D1">
    <w:pPr>
      <w:pStyle w:val="Nagwek"/>
      <w:tabs>
        <w:tab w:val="left" w:pos="3686"/>
      </w:tabs>
    </w:pPr>
    <w:r>
      <w:rPr>
        <w:noProof/>
      </w:rPr>
      <mc:AlternateContent>
        <mc:Choice Requires="wps">
          <w:drawing>
            <wp:anchor distT="0" distB="0" distL="114300" distR="114300" simplePos="0" relativeHeight="251662336" behindDoc="0" locked="0" layoutInCell="1" allowOverlap="1">
              <wp:simplePos x="0" y="0"/>
              <wp:positionH relativeFrom="column">
                <wp:posOffset>136525</wp:posOffset>
              </wp:positionH>
              <wp:positionV relativeFrom="paragraph">
                <wp:posOffset>1497330</wp:posOffset>
              </wp:positionV>
              <wp:extent cx="1555115" cy="0"/>
              <wp:effectExtent l="0" t="0" r="26035" b="19050"/>
              <wp:wrapNone/>
              <wp:docPr id="2064220490" name="Łącznik prostoliniowy 2064220490"/>
              <wp:cNvGraphicFramePr/>
              <a:graphic xmlns:a="http://schemas.openxmlformats.org/drawingml/2006/main">
                <a:graphicData uri="http://schemas.microsoft.com/office/word/2010/wordprocessingShape">
                  <wps:wsp>
                    <wps:cNvCnPr/>
                    <wps:spPr>
                      <a:xfrm>
                        <a:off x="0" y="0"/>
                        <a:ext cx="1555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Łącznik prostoliniowy 2064220490" o:spid="_x0000_s2049" style="mso-height-percent:0;mso-height-relative:margin;mso-width-percent:0;mso-width-relative:margin;mso-wrap-distance-bottom:0;mso-wrap-distance-left:9pt;mso-wrap-distance-right:9pt;mso-wrap-distance-top:0;mso-wrap-style:square;position:absolute;visibility:visible;z-index:251663360" from="10.75pt,117.9pt" to="133.2pt,117.9pt" strokecolor="black" strokeweight="0.5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-400685</wp:posOffset>
              </wp:positionH>
              <wp:positionV relativeFrom="paragraph">
                <wp:posOffset>458470</wp:posOffset>
              </wp:positionV>
              <wp:extent cx="2623820" cy="1692910"/>
              <wp:effectExtent l="0" t="0" r="5080" b="2540"/>
              <wp:wrapNone/>
              <wp:docPr id="2064220483" name="Pole tekstowe 2064220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69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E66" w:rsidRDefault="00C779C3" w:rsidP="00C639FC">
                          <w:pPr>
                            <w:jc w:val="center"/>
                            <w:rPr>
                              <w:color w:val="000000"/>
                            </w:rPr>
                          </w:pPr>
                          <w:r>
                            <w:rPr>
                              <w:noProof/>
                              <w:color w:val="000000"/>
                            </w:rPr>
                            <w:drawing>
                              <wp:inline distT="0" distB="0" distL="0" distR="0">
                                <wp:extent cx="546100" cy="546100"/>
                                <wp:effectExtent l="0" t="0" r="6350" b="6350"/>
                                <wp:docPr id="574381491"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100" cy="546100"/>
                                        </a:xfrm>
                                        <a:prstGeom prst="rect">
                                          <a:avLst/>
                                        </a:prstGeom>
                                        <a:noFill/>
                                        <a:ln>
                                          <a:noFill/>
                                        </a:ln>
                                      </pic:spPr>
                                    </pic:pic>
                                  </a:graphicData>
                                </a:graphic>
                              </wp:inline>
                            </w:drawing>
                          </w:r>
                        </w:p>
                        <w:p w:rsidR="00290E66" w:rsidRDefault="00C779C3" w:rsidP="00C639FC">
                          <w:pPr>
                            <w:jc w:val="center"/>
                            <w:rPr>
                              <w:color w:val="000000"/>
                            </w:rPr>
                          </w:pPr>
                          <w:r>
                            <w:rPr>
                              <w:color w:val="000000"/>
                            </w:rPr>
                            <w:t>MINISTERSTWO</w:t>
                          </w:r>
                        </w:p>
                        <w:p w:rsidR="00290E66" w:rsidRPr="001D3444" w:rsidRDefault="00C779C3" w:rsidP="00C639FC">
                          <w:pPr>
                            <w:jc w:val="center"/>
                            <w:rPr>
                              <w:color w:val="000000"/>
                            </w:rPr>
                          </w:pPr>
                          <w:r>
                            <w:rPr>
                              <w:color w:val="000000"/>
                            </w:rPr>
                            <w:t>ROZWOJU</w:t>
                          </w:r>
                        </w:p>
                        <w:p w:rsidR="00C639FC" w:rsidRDefault="00072206" w:rsidP="00C639FC">
                          <w:pPr>
                            <w:jc w:val="center"/>
                            <w:rPr>
                              <w:color w:val="000000" w:themeColor="text1"/>
                            </w:rPr>
                          </w:pPr>
                        </w:p>
                        <w:p w:rsidR="00FC61C1" w:rsidRDefault="00C779C3" w:rsidP="00FC61C1">
                          <w:pPr>
                            <w:jc w:val="center"/>
                            <w:rPr>
                              <w:color w:val="000000" w:themeColor="text1"/>
                            </w:rPr>
                          </w:pPr>
                          <w:r>
                            <w:rPr>
                              <w:color w:val="000000" w:themeColor="text1"/>
                            </w:rPr>
                            <w:t>PODSEKRETARZ STANU</w:t>
                          </w:r>
                        </w:p>
                        <w:p w:rsidR="00FC61C1" w:rsidRPr="009B7D61" w:rsidRDefault="00C779C3" w:rsidP="00FC61C1">
                          <w:pPr>
                            <w:jc w:val="center"/>
                            <w:rPr>
                              <w:color w:val="000000" w:themeColor="text1"/>
                            </w:rPr>
                          </w:pPr>
                          <w:r>
                            <w:rPr>
                              <w:color w:val="000000" w:themeColor="text1"/>
                            </w:rPr>
                            <w:t>ROBERT KRZYSZTOF NOWICKI</w:t>
                          </w:r>
                        </w:p>
                        <w:p w:rsidR="00A72F91" w:rsidRPr="009B7D61" w:rsidRDefault="00072206" w:rsidP="008D5E37">
                          <w:pPr>
                            <w:rPr>
                              <w:color w:val="000000" w:themeColor="text1"/>
                            </w:rPr>
                          </w:pP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064220483" o:spid="_x0000_s1026" type="#_x0000_t202" style="position:absolute;margin-left:-31.55pt;margin-top:36.1pt;width:206.6pt;height:1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" stroked="f">
              <v:textbox>
                <w:txbxContent>
                  <w:p w:rsidR="00290E66" w:rsidRDefault="00C779C3" w:rsidP="00C639FC">
                    <w:pPr>
                      <w:jc w:val="center"/>
                      <w:rPr>
                        <w:color w:val="000000"/>
                      </w:rPr>
                    </w:pPr>
                    <w:r>
                      <w:rPr>
                        <w:noProof/>
                        <w:color w:val="000000"/>
                      </w:rPr>
                      <w:drawing>
                        <wp:inline distT="0" distB="0" distL="0" distR="0">
                          <wp:extent cx="546100" cy="546100"/>
                          <wp:effectExtent l="0" t="0" r="6350" b="6350"/>
                          <wp:docPr id="574381491"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46100" cy="546100"/>
                                  </a:xfrm>
                                  <a:prstGeom prst="rect">
                                    <a:avLst/>
                                  </a:prstGeom>
                                  <a:noFill/>
                                  <a:ln>
                                    <a:noFill/>
                                  </a:ln>
                                </pic:spPr>
                              </pic:pic>
                            </a:graphicData>
                          </a:graphic>
                        </wp:inline>
                      </w:drawing>
                    </w:r>
                  </w:p>
                  <w:p w:rsidR="00290E66" w:rsidRDefault="00C779C3" w:rsidP="00C639FC">
                    <w:pPr>
                      <w:jc w:val="center"/>
                      <w:rPr>
                        <w:color w:val="000000"/>
                      </w:rPr>
                    </w:pPr>
                    <w:r>
                      <w:rPr>
                        <w:color w:val="000000"/>
                      </w:rPr>
                      <w:t>MINISTERSTWO</w:t>
                    </w:r>
                  </w:p>
                  <w:p w:rsidR="00290E66" w:rsidRPr="001D3444" w:rsidRDefault="00C779C3" w:rsidP="00C639FC">
                    <w:pPr>
                      <w:jc w:val="center"/>
                      <w:rPr>
                        <w:color w:val="000000"/>
                      </w:rPr>
                    </w:pPr>
                    <w:r>
                      <w:rPr>
                        <w:color w:val="000000"/>
                      </w:rPr>
                      <w:t>ROZWOJU</w:t>
                    </w:r>
                  </w:p>
                  <w:p w:rsidR="00C639FC" w:rsidRDefault="0032208E" w:rsidP="00C639FC">
                    <w:pPr>
                      <w:jc w:val="center"/>
                      <w:rPr>
                        <w:color w:val="000000" w:themeColor="text1"/>
                      </w:rPr>
                    </w:pPr>
                  </w:p>
                  <w:p w:rsidR="00FC61C1" w:rsidRDefault="00C779C3" w:rsidP="00FC61C1">
                    <w:pPr>
                      <w:jc w:val="center"/>
                      <w:rPr>
                        <w:color w:val="000000" w:themeColor="text1"/>
                      </w:rPr>
                    </w:pPr>
                    <w:r>
                      <w:rPr>
                        <w:color w:val="000000" w:themeColor="text1"/>
                      </w:rPr>
                      <w:t>PODSEKRETARZ STANU</w:t>
                    </w:r>
                  </w:p>
                  <w:p w:rsidR="00FC61C1" w:rsidRPr="009B7D61" w:rsidRDefault="00C779C3" w:rsidP="00FC61C1">
                    <w:pPr>
                      <w:jc w:val="center"/>
                      <w:rPr>
                        <w:color w:val="000000" w:themeColor="text1"/>
                      </w:rPr>
                    </w:pPr>
                    <w:r>
                      <w:rPr>
                        <w:color w:val="000000" w:themeColor="text1"/>
                      </w:rPr>
                      <w:t>ROBERT KRZYSZTOF NOWICKI</w:t>
                    </w:r>
                  </w:p>
                  <w:p w:rsidR="00A72F91" w:rsidRPr="009B7D61" w:rsidRDefault="0032208E" w:rsidP="008D5E37">
                    <w:pPr>
                      <w:rPr>
                        <w:color w:val="000000" w:themeColor="text1"/>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-158115</wp:posOffset>
              </wp:positionH>
              <wp:positionV relativeFrom="paragraph">
                <wp:posOffset>1408850</wp:posOffset>
              </wp:positionV>
              <wp:extent cx="1972800" cy="7200"/>
              <wp:effectExtent l="0" t="0" r="27940" b="31115"/>
              <wp:wrapNone/>
              <wp:docPr id="4" name="Łącznik prostoliniowy 4"/>
              <wp:cNvGraphicFramePr/>
              <a:graphic xmlns:a="http://schemas.openxmlformats.org/drawingml/2006/main">
                <a:graphicData uri="http://schemas.microsoft.com/office/word/2010/wordprocessingShape">
                  <wps:wsp>
                    <wps:cNvCnPr/>
                    <wps:spPr>
                      <a:xfrm flipV="1">
                        <a:off x="0" y="0"/>
                        <a:ext cx="19728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id="Łącznik prostoliniowy 4" o:spid="_x0000_s2051" style="flip:y;mso-wrap-distance-bottom:0;mso-wrap-distance-left:9pt;mso-wrap-distance-right:9pt;mso-wrap-distance-top:0;mso-wrap-style:square;position:absolute;visibility:visible;z-index:251659264" from="-12.45pt,110.95pt" to="142.9pt,111.5pt" strokecolor="#5b9bd5" strokeweight="0.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D0"/>
    <w:multiLevelType w:val="hybridMultilevel"/>
    <w:tmpl w:val="125C9796"/>
    <w:lvl w:ilvl="0" w:tplc="98104D84">
      <w:start w:val="1"/>
      <w:numFmt w:val="decimal"/>
      <w:lvlText w:val="%1."/>
      <w:lvlJc w:val="left"/>
      <w:pPr>
        <w:ind w:left="720" w:hanging="360"/>
      </w:pPr>
      <w:rPr>
        <w:rFonts w:hint="default"/>
      </w:rPr>
    </w:lvl>
    <w:lvl w:ilvl="1" w:tplc="45345DC4" w:tentative="1">
      <w:start w:val="1"/>
      <w:numFmt w:val="lowerLetter"/>
      <w:lvlText w:val="%2."/>
      <w:lvlJc w:val="left"/>
      <w:pPr>
        <w:ind w:left="1440" w:hanging="360"/>
      </w:pPr>
    </w:lvl>
    <w:lvl w:ilvl="2" w:tplc="90546DDA" w:tentative="1">
      <w:start w:val="1"/>
      <w:numFmt w:val="lowerRoman"/>
      <w:lvlText w:val="%3."/>
      <w:lvlJc w:val="right"/>
      <w:pPr>
        <w:ind w:left="2160" w:hanging="180"/>
      </w:pPr>
    </w:lvl>
    <w:lvl w:ilvl="3" w:tplc="BC742F10" w:tentative="1">
      <w:start w:val="1"/>
      <w:numFmt w:val="decimal"/>
      <w:lvlText w:val="%4."/>
      <w:lvlJc w:val="left"/>
      <w:pPr>
        <w:ind w:left="2880" w:hanging="360"/>
      </w:pPr>
    </w:lvl>
    <w:lvl w:ilvl="4" w:tplc="DB20F178" w:tentative="1">
      <w:start w:val="1"/>
      <w:numFmt w:val="lowerLetter"/>
      <w:lvlText w:val="%5."/>
      <w:lvlJc w:val="left"/>
      <w:pPr>
        <w:ind w:left="3600" w:hanging="360"/>
      </w:pPr>
    </w:lvl>
    <w:lvl w:ilvl="5" w:tplc="173A8508" w:tentative="1">
      <w:start w:val="1"/>
      <w:numFmt w:val="lowerRoman"/>
      <w:lvlText w:val="%6."/>
      <w:lvlJc w:val="right"/>
      <w:pPr>
        <w:ind w:left="4320" w:hanging="180"/>
      </w:pPr>
    </w:lvl>
    <w:lvl w:ilvl="6" w:tplc="FD8695AC" w:tentative="1">
      <w:start w:val="1"/>
      <w:numFmt w:val="decimal"/>
      <w:lvlText w:val="%7."/>
      <w:lvlJc w:val="left"/>
      <w:pPr>
        <w:ind w:left="5040" w:hanging="360"/>
      </w:pPr>
    </w:lvl>
    <w:lvl w:ilvl="7" w:tplc="7C44AD40" w:tentative="1">
      <w:start w:val="1"/>
      <w:numFmt w:val="lowerLetter"/>
      <w:lvlText w:val="%8."/>
      <w:lvlJc w:val="left"/>
      <w:pPr>
        <w:ind w:left="5760" w:hanging="360"/>
      </w:pPr>
    </w:lvl>
    <w:lvl w:ilvl="8" w:tplc="166A66D8" w:tentative="1">
      <w:start w:val="1"/>
      <w:numFmt w:val="lowerRoman"/>
      <w:lvlText w:val="%9."/>
      <w:lvlJc w:val="right"/>
      <w:pPr>
        <w:ind w:left="6480" w:hanging="180"/>
      </w:pPr>
    </w:lvl>
  </w:abstractNum>
  <w:abstractNum w:abstractNumId="1">
    <w:nsid w:val="10733B51"/>
    <w:multiLevelType w:val="hybridMultilevel"/>
    <w:tmpl w:val="4462F3E4"/>
    <w:lvl w:ilvl="0" w:tplc="8B70C7E6">
      <w:start w:val="1"/>
      <w:numFmt w:val="decimal"/>
      <w:lvlText w:val="%1."/>
      <w:lvlJc w:val="left"/>
      <w:pPr>
        <w:tabs>
          <w:tab w:val="num" w:pos="720"/>
        </w:tabs>
        <w:ind w:left="720" w:hanging="360"/>
      </w:pPr>
      <w:rPr>
        <w:rFonts w:cs="Times New Roman"/>
      </w:rPr>
    </w:lvl>
    <w:lvl w:ilvl="1" w:tplc="3CC2478A">
      <w:start w:val="1"/>
      <w:numFmt w:val="lowerLetter"/>
      <w:lvlText w:val="%2."/>
      <w:lvlJc w:val="left"/>
      <w:pPr>
        <w:tabs>
          <w:tab w:val="num" w:pos="1440"/>
        </w:tabs>
        <w:ind w:left="1440" w:hanging="360"/>
      </w:pPr>
      <w:rPr>
        <w:rFonts w:cs="Times New Roman"/>
      </w:rPr>
    </w:lvl>
    <w:lvl w:ilvl="2" w:tplc="D2EC3F14">
      <w:start w:val="1"/>
      <w:numFmt w:val="lowerRoman"/>
      <w:lvlText w:val="%3."/>
      <w:lvlJc w:val="right"/>
      <w:pPr>
        <w:tabs>
          <w:tab w:val="num" w:pos="2160"/>
        </w:tabs>
        <w:ind w:left="2160" w:hanging="180"/>
      </w:pPr>
      <w:rPr>
        <w:rFonts w:cs="Times New Roman"/>
      </w:rPr>
    </w:lvl>
    <w:lvl w:ilvl="3" w:tplc="3196A0A2">
      <w:start w:val="1"/>
      <w:numFmt w:val="decimal"/>
      <w:lvlText w:val="%4."/>
      <w:lvlJc w:val="left"/>
      <w:pPr>
        <w:tabs>
          <w:tab w:val="num" w:pos="2880"/>
        </w:tabs>
        <w:ind w:left="2880" w:hanging="360"/>
      </w:pPr>
      <w:rPr>
        <w:rFonts w:cs="Times New Roman"/>
      </w:rPr>
    </w:lvl>
    <w:lvl w:ilvl="4" w:tplc="019404C6">
      <w:start w:val="1"/>
      <w:numFmt w:val="lowerLetter"/>
      <w:lvlText w:val="%5."/>
      <w:lvlJc w:val="left"/>
      <w:pPr>
        <w:tabs>
          <w:tab w:val="num" w:pos="3600"/>
        </w:tabs>
        <w:ind w:left="3600" w:hanging="360"/>
      </w:pPr>
      <w:rPr>
        <w:rFonts w:cs="Times New Roman"/>
      </w:rPr>
    </w:lvl>
    <w:lvl w:ilvl="5" w:tplc="A3F0A81A">
      <w:start w:val="1"/>
      <w:numFmt w:val="lowerRoman"/>
      <w:lvlText w:val="%6."/>
      <w:lvlJc w:val="right"/>
      <w:pPr>
        <w:tabs>
          <w:tab w:val="num" w:pos="4320"/>
        </w:tabs>
        <w:ind w:left="4320" w:hanging="180"/>
      </w:pPr>
      <w:rPr>
        <w:rFonts w:cs="Times New Roman"/>
      </w:rPr>
    </w:lvl>
    <w:lvl w:ilvl="6" w:tplc="70CCA4F8">
      <w:start w:val="1"/>
      <w:numFmt w:val="decimal"/>
      <w:lvlText w:val="%7."/>
      <w:lvlJc w:val="left"/>
      <w:pPr>
        <w:tabs>
          <w:tab w:val="num" w:pos="5040"/>
        </w:tabs>
        <w:ind w:left="5040" w:hanging="360"/>
      </w:pPr>
      <w:rPr>
        <w:rFonts w:cs="Times New Roman"/>
      </w:rPr>
    </w:lvl>
    <w:lvl w:ilvl="7" w:tplc="47C24D90">
      <w:start w:val="1"/>
      <w:numFmt w:val="lowerLetter"/>
      <w:lvlText w:val="%8."/>
      <w:lvlJc w:val="left"/>
      <w:pPr>
        <w:tabs>
          <w:tab w:val="num" w:pos="5760"/>
        </w:tabs>
        <w:ind w:left="5760" w:hanging="360"/>
      </w:pPr>
      <w:rPr>
        <w:rFonts w:cs="Times New Roman"/>
      </w:rPr>
    </w:lvl>
    <w:lvl w:ilvl="8" w:tplc="0B564ACC">
      <w:start w:val="1"/>
      <w:numFmt w:val="lowerRoman"/>
      <w:lvlText w:val="%9."/>
      <w:lvlJc w:val="right"/>
      <w:pPr>
        <w:tabs>
          <w:tab w:val="num" w:pos="6480"/>
        </w:tabs>
        <w:ind w:left="6480" w:hanging="180"/>
      </w:pPr>
      <w:rPr>
        <w:rFonts w:cs="Times New Roman"/>
      </w:rPr>
    </w:lvl>
  </w:abstractNum>
  <w:abstractNum w:abstractNumId="2">
    <w:nsid w:val="26220F5E"/>
    <w:multiLevelType w:val="hybridMultilevel"/>
    <w:tmpl w:val="54640F68"/>
    <w:lvl w:ilvl="0" w:tplc="316E989A">
      <w:start w:val="1"/>
      <w:numFmt w:val="decimal"/>
      <w:lvlText w:val="%1."/>
      <w:lvlJc w:val="left"/>
      <w:pPr>
        <w:tabs>
          <w:tab w:val="num" w:pos="720"/>
        </w:tabs>
        <w:ind w:left="720" w:hanging="360"/>
      </w:pPr>
      <w:rPr>
        <w:rFonts w:cs="Times New Roman"/>
      </w:rPr>
    </w:lvl>
    <w:lvl w:ilvl="1" w:tplc="C0449E70">
      <w:start w:val="1"/>
      <w:numFmt w:val="lowerLetter"/>
      <w:lvlText w:val="%2."/>
      <w:lvlJc w:val="left"/>
      <w:pPr>
        <w:tabs>
          <w:tab w:val="num" w:pos="1440"/>
        </w:tabs>
        <w:ind w:left="1440" w:hanging="360"/>
      </w:pPr>
      <w:rPr>
        <w:rFonts w:cs="Times New Roman"/>
      </w:rPr>
    </w:lvl>
    <w:lvl w:ilvl="2" w:tplc="A59AA3A6">
      <w:start w:val="1"/>
      <w:numFmt w:val="lowerRoman"/>
      <w:lvlText w:val="%3."/>
      <w:lvlJc w:val="right"/>
      <w:pPr>
        <w:tabs>
          <w:tab w:val="num" w:pos="2160"/>
        </w:tabs>
        <w:ind w:left="2160" w:hanging="180"/>
      </w:pPr>
      <w:rPr>
        <w:rFonts w:cs="Times New Roman"/>
      </w:rPr>
    </w:lvl>
    <w:lvl w:ilvl="3" w:tplc="92A65FFE">
      <w:start w:val="1"/>
      <w:numFmt w:val="decimal"/>
      <w:lvlText w:val="%4."/>
      <w:lvlJc w:val="left"/>
      <w:pPr>
        <w:tabs>
          <w:tab w:val="num" w:pos="2880"/>
        </w:tabs>
        <w:ind w:left="2880" w:hanging="360"/>
      </w:pPr>
      <w:rPr>
        <w:rFonts w:cs="Times New Roman"/>
      </w:rPr>
    </w:lvl>
    <w:lvl w:ilvl="4" w:tplc="112C478E">
      <w:start w:val="1"/>
      <w:numFmt w:val="lowerLetter"/>
      <w:lvlText w:val="%5."/>
      <w:lvlJc w:val="left"/>
      <w:pPr>
        <w:tabs>
          <w:tab w:val="num" w:pos="3600"/>
        </w:tabs>
        <w:ind w:left="3600" w:hanging="360"/>
      </w:pPr>
      <w:rPr>
        <w:rFonts w:cs="Times New Roman"/>
      </w:rPr>
    </w:lvl>
    <w:lvl w:ilvl="5" w:tplc="95102E44">
      <w:start w:val="1"/>
      <w:numFmt w:val="lowerRoman"/>
      <w:lvlText w:val="%6."/>
      <w:lvlJc w:val="right"/>
      <w:pPr>
        <w:tabs>
          <w:tab w:val="num" w:pos="4320"/>
        </w:tabs>
        <w:ind w:left="4320" w:hanging="180"/>
      </w:pPr>
      <w:rPr>
        <w:rFonts w:cs="Times New Roman"/>
      </w:rPr>
    </w:lvl>
    <w:lvl w:ilvl="6" w:tplc="41D619AE">
      <w:start w:val="1"/>
      <w:numFmt w:val="decimal"/>
      <w:lvlText w:val="%7."/>
      <w:lvlJc w:val="left"/>
      <w:pPr>
        <w:tabs>
          <w:tab w:val="num" w:pos="5040"/>
        </w:tabs>
        <w:ind w:left="5040" w:hanging="360"/>
      </w:pPr>
      <w:rPr>
        <w:rFonts w:cs="Times New Roman"/>
      </w:rPr>
    </w:lvl>
    <w:lvl w:ilvl="7" w:tplc="9482A44C">
      <w:start w:val="1"/>
      <w:numFmt w:val="lowerLetter"/>
      <w:lvlText w:val="%8."/>
      <w:lvlJc w:val="left"/>
      <w:pPr>
        <w:tabs>
          <w:tab w:val="num" w:pos="5760"/>
        </w:tabs>
        <w:ind w:left="5760" w:hanging="360"/>
      </w:pPr>
      <w:rPr>
        <w:rFonts w:cs="Times New Roman"/>
      </w:rPr>
    </w:lvl>
    <w:lvl w:ilvl="8" w:tplc="A6AA50F2">
      <w:start w:val="1"/>
      <w:numFmt w:val="lowerRoman"/>
      <w:lvlText w:val="%9."/>
      <w:lvlJc w:val="right"/>
      <w:pPr>
        <w:tabs>
          <w:tab w:val="num" w:pos="6480"/>
        </w:tabs>
        <w:ind w:left="6480" w:hanging="180"/>
      </w:pPr>
      <w:rPr>
        <w:rFonts w:cs="Times New Roman"/>
      </w:rPr>
    </w:lvl>
  </w:abstractNum>
  <w:abstractNum w:abstractNumId="3">
    <w:nsid w:val="360D4A6E"/>
    <w:multiLevelType w:val="hybridMultilevel"/>
    <w:tmpl w:val="6AF4717E"/>
    <w:lvl w:ilvl="0" w:tplc="9CE46EE0">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4">
    <w:nsid w:val="7A9A3F85"/>
    <w:multiLevelType w:val="hybridMultilevel"/>
    <w:tmpl w:val="C038B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C1"/>
    <w:rsid w:val="00072206"/>
    <w:rsid w:val="000F3CC1"/>
    <w:rsid w:val="0032208E"/>
    <w:rsid w:val="003875AE"/>
    <w:rsid w:val="00521BDE"/>
    <w:rsid w:val="0067745A"/>
    <w:rsid w:val="006E0C19"/>
    <w:rsid w:val="006F690E"/>
    <w:rsid w:val="00817E89"/>
    <w:rsid w:val="00917C5B"/>
    <w:rsid w:val="009E6B89"/>
    <w:rsid w:val="00A5359A"/>
    <w:rsid w:val="00C779C3"/>
    <w:rsid w:val="00D445C1"/>
    <w:rsid w:val="00D60E2B"/>
    <w:rsid w:val="00DB1BD2"/>
    <w:rsid w:val="00F5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customStyle="1" w:styleId="highlight">
    <w:name w:val="highlight"/>
    <w:basedOn w:val="Domylnaczcionkaakapitu"/>
    <w:rsid w:val="000F3C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customStyle="1" w:styleId="highlight">
    <w:name w:val="highlight"/>
    <w:basedOn w:val="Domylnaczcionkaakapitu"/>
    <w:rsid w:val="000F3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37ADE27E7E4A1097156A08E3020A3E"/>
        <w:category>
          <w:name w:val="Ogólne"/>
          <w:gallery w:val="placeholder"/>
        </w:category>
        <w:types>
          <w:type w:val="bbPlcHdr"/>
        </w:types>
        <w:behaviors>
          <w:behavior w:val="content"/>
        </w:behaviors>
        <w:guid w:val="{0D52B2BE-8EA4-47A9-8AB6-FE2C5AD72AB1}"/>
      </w:docPartPr>
      <w:docPartBody>
        <w:p w:rsidR="00CD477B" w:rsidRDefault="00002FFE" w:rsidP="0048507E">
          <w:pPr>
            <w:pStyle w:val="CC37ADE27E7E4A1097156A08E3020A3E"/>
          </w:pPr>
          <w:r>
            <w:rPr>
              <w:i/>
              <w:iCs/>
              <w:color w:val="8C8C8C" w:themeColor="background1" w:themeShade="8C"/>
            </w:rPr>
            <w:t>[Wpisz nazwę firmy]</w:t>
          </w:r>
        </w:p>
      </w:docPartBody>
    </w:docPart>
    <w:docPart>
      <w:docPartPr>
        <w:name w:val="F133AE665E6B4CCB903C1C9DBBD002E5"/>
        <w:category>
          <w:name w:val="Ogólne"/>
          <w:gallery w:val="placeholder"/>
        </w:category>
        <w:types>
          <w:type w:val="bbPlcHdr"/>
        </w:types>
        <w:behaviors>
          <w:behavior w:val="content"/>
        </w:behaviors>
        <w:guid w:val="{181876EC-CD59-4D31-B3E3-8CDC755B15FA}"/>
      </w:docPartPr>
      <w:docPartBody>
        <w:p w:rsidR="001C1FC5" w:rsidRDefault="00002FFE" w:rsidP="003916B5">
          <w:pPr>
            <w:pStyle w:val="F133AE665E6B4CCB903C1C9DBBD002E5"/>
          </w:pPr>
          <w:r>
            <w:rPr>
              <w:i/>
              <w:iCs/>
              <w:color w:val="8C8C8C" w:themeColor="background1" w:themeShade="8C"/>
            </w:rPr>
            <w:t>[Wpisz nazwę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FE"/>
    <w:rsid w:val="00002FFE"/>
    <w:rsid w:val="0082344A"/>
    <w:rsid w:val="00892BC7"/>
    <w:rsid w:val="00B36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753CF6A06894160A8E84BF82CDB0DB2">
    <w:name w:val="3753CF6A06894160A8E84BF82CDB0DB2"/>
    <w:rsid w:val="0048507E"/>
  </w:style>
  <w:style w:type="paragraph" w:customStyle="1" w:styleId="6AA200F023844260AE1382CF5E1BEFB1">
    <w:name w:val="6AA200F023844260AE1382CF5E1BEFB1"/>
    <w:rsid w:val="0048507E"/>
  </w:style>
  <w:style w:type="paragraph" w:customStyle="1" w:styleId="87BA81B6137D42CA944837241FC9F92B">
    <w:name w:val="87BA81B6137D42CA944837241FC9F92B"/>
    <w:rsid w:val="0048507E"/>
  </w:style>
  <w:style w:type="paragraph" w:customStyle="1" w:styleId="08B74EC24227457AA18CAFC8714FEA65">
    <w:name w:val="08B74EC24227457AA18CAFC8714FEA65"/>
    <w:rsid w:val="0048507E"/>
  </w:style>
  <w:style w:type="paragraph" w:customStyle="1" w:styleId="CC37ADE27E7E4A1097156A08E3020A3E">
    <w:name w:val="CC37ADE27E7E4A1097156A08E3020A3E"/>
    <w:rsid w:val="0048507E"/>
  </w:style>
  <w:style w:type="paragraph" w:customStyle="1" w:styleId="F133AE665E6B4CCB903C1C9DBBD002E5">
    <w:name w:val="F133AE665E6B4CCB903C1C9DBBD002E5"/>
    <w:rsid w:val="003916B5"/>
    <w:pPr>
      <w:spacing w:after="160" w:line="259" w:lineRule="auto"/>
    </w:pPr>
  </w:style>
  <w:style w:type="paragraph" w:customStyle="1" w:styleId="5CB3069CA3734898A7717718E865DDF8">
    <w:name w:val="5CB3069CA3734898A7717718E865DDF8"/>
    <w:rsid w:val="003916B5"/>
    <w:pPr>
      <w:spacing w:after="160" w:line="259" w:lineRule="auto"/>
    </w:pPr>
  </w:style>
  <w:style w:type="paragraph" w:customStyle="1" w:styleId="89106228CB9A49C1902265F80D563D72">
    <w:name w:val="89106228CB9A49C1902265F80D563D72"/>
    <w:rsid w:val="003916B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3753CF6A06894160A8E84BF82CDB0DB2">
    <w:name w:val="3753CF6A06894160A8E84BF82CDB0DB2"/>
    <w:rsid w:val="0048507E"/>
  </w:style>
  <w:style w:type="paragraph" w:customStyle="1" w:styleId="6AA200F023844260AE1382CF5E1BEFB1">
    <w:name w:val="6AA200F023844260AE1382CF5E1BEFB1"/>
    <w:rsid w:val="0048507E"/>
  </w:style>
  <w:style w:type="paragraph" w:customStyle="1" w:styleId="87BA81B6137D42CA944837241FC9F92B">
    <w:name w:val="87BA81B6137D42CA944837241FC9F92B"/>
    <w:rsid w:val="0048507E"/>
  </w:style>
  <w:style w:type="paragraph" w:customStyle="1" w:styleId="08B74EC24227457AA18CAFC8714FEA65">
    <w:name w:val="08B74EC24227457AA18CAFC8714FEA65"/>
    <w:rsid w:val="0048507E"/>
  </w:style>
  <w:style w:type="paragraph" w:customStyle="1" w:styleId="CC37ADE27E7E4A1097156A08E3020A3E">
    <w:name w:val="CC37ADE27E7E4A1097156A08E3020A3E"/>
    <w:rsid w:val="0048507E"/>
  </w:style>
  <w:style w:type="paragraph" w:customStyle="1" w:styleId="F133AE665E6B4CCB903C1C9DBBD002E5">
    <w:name w:val="F133AE665E6B4CCB903C1C9DBBD002E5"/>
    <w:rsid w:val="003916B5"/>
    <w:pPr>
      <w:spacing w:after="160" w:line="259" w:lineRule="auto"/>
    </w:pPr>
  </w:style>
  <w:style w:type="paragraph" w:customStyle="1" w:styleId="5CB3069CA3734898A7717718E865DDF8">
    <w:name w:val="5CB3069CA3734898A7717718E865DDF8"/>
    <w:rsid w:val="003916B5"/>
    <w:pPr>
      <w:spacing w:after="160" w:line="259" w:lineRule="auto"/>
    </w:pPr>
  </w:style>
  <w:style w:type="paragraph" w:customStyle="1" w:styleId="89106228CB9A49C1902265F80D563D72">
    <w:name w:val="89106228CB9A49C1902265F80D563D72"/>
    <w:rsid w:val="003916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DA2A-A437-472D-9D9B-B4D29560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984</Words>
  <Characters>5909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Anna Kowalczyk</cp:lastModifiedBy>
  <cp:revision>10</cp:revision>
  <cp:lastPrinted>2015-11-16T13:16:00Z</cp:lastPrinted>
  <dcterms:created xsi:type="dcterms:W3CDTF">2020-01-08T12:27:00Z</dcterms:created>
  <dcterms:modified xsi:type="dcterms:W3CDTF">2020-01-15T07:58:00Z</dcterms:modified>
</cp:coreProperties>
</file>