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89E01C" w14:textId="77777777" w:rsidR="00C64B1B" w:rsidRDefault="00C64B1B" w:rsidP="00C64B1B">
      <w:pPr>
        <w:jc w:val="cente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276"/>
        <w:gridCol w:w="1701"/>
        <w:gridCol w:w="4678"/>
        <w:gridCol w:w="3402"/>
        <w:gridCol w:w="3769"/>
      </w:tblGrid>
      <w:tr w:rsidR="00A06425" w:rsidRPr="00C02D65" w14:paraId="1B72EBC9" w14:textId="77777777" w:rsidTr="00A06425">
        <w:tc>
          <w:tcPr>
            <w:tcW w:w="15388" w:type="dxa"/>
            <w:gridSpan w:val="6"/>
            <w:shd w:val="clear" w:color="auto" w:fill="auto"/>
            <w:vAlign w:val="center"/>
          </w:tcPr>
          <w:p w14:paraId="2F677A06" w14:textId="77777777" w:rsidR="00A06425" w:rsidRPr="00C02D65" w:rsidRDefault="00A06425" w:rsidP="00B871B6">
            <w:pPr>
              <w:spacing w:before="120" w:after="120"/>
              <w:rPr>
                <w:rFonts w:asciiTheme="minorHAnsi" w:hAnsiTheme="minorHAnsi" w:cstheme="minorHAnsi"/>
                <w:b/>
                <w:i/>
                <w:sz w:val="22"/>
                <w:szCs w:val="22"/>
              </w:rPr>
            </w:pPr>
            <w:r w:rsidRPr="00C02D65">
              <w:rPr>
                <w:rFonts w:asciiTheme="minorHAnsi" w:hAnsiTheme="minorHAnsi" w:cstheme="minorHAnsi"/>
                <w:b/>
                <w:i/>
                <w:sz w:val="22"/>
                <w:szCs w:val="22"/>
              </w:rPr>
              <w:t>Nazwa dokumentu:</w:t>
            </w:r>
          </w:p>
          <w:p w14:paraId="2FC10894" w14:textId="0D9D77DF" w:rsidR="00A06425" w:rsidRPr="00C02D65" w:rsidRDefault="00163066" w:rsidP="00B871B6">
            <w:pPr>
              <w:spacing w:before="120" w:after="120"/>
              <w:rPr>
                <w:rFonts w:asciiTheme="minorHAnsi" w:hAnsiTheme="minorHAnsi" w:cstheme="minorHAnsi"/>
                <w:b/>
                <w:i/>
                <w:sz w:val="22"/>
                <w:szCs w:val="22"/>
              </w:rPr>
            </w:pPr>
            <w:r w:rsidRPr="00C02D65">
              <w:rPr>
                <w:rFonts w:asciiTheme="minorHAnsi" w:hAnsiTheme="minorHAnsi" w:cstheme="minorHAnsi"/>
                <w:b/>
                <w:i/>
                <w:sz w:val="22"/>
                <w:szCs w:val="22"/>
              </w:rPr>
              <w:t xml:space="preserve">Rejestry publiczne – dobre praktyki architektoniczne i legislacyjne Rekomendacja AIP Wersja 1.0 14.09.2023 </w:t>
            </w:r>
          </w:p>
        </w:tc>
      </w:tr>
      <w:tr w:rsidR="00A06425" w:rsidRPr="00C02D65" w14:paraId="3EAF3731" w14:textId="77777777" w:rsidTr="001B4ADE">
        <w:tc>
          <w:tcPr>
            <w:tcW w:w="562" w:type="dxa"/>
            <w:shd w:val="clear" w:color="auto" w:fill="auto"/>
            <w:vAlign w:val="center"/>
          </w:tcPr>
          <w:p w14:paraId="22CC4594" w14:textId="77777777" w:rsidR="00A06425" w:rsidRPr="00C02D65" w:rsidRDefault="00A06425" w:rsidP="004D086F">
            <w:pPr>
              <w:jc w:val="center"/>
              <w:rPr>
                <w:rFonts w:asciiTheme="minorHAnsi" w:hAnsiTheme="minorHAnsi" w:cstheme="minorHAnsi"/>
                <w:b/>
                <w:sz w:val="22"/>
                <w:szCs w:val="22"/>
              </w:rPr>
            </w:pPr>
            <w:r w:rsidRPr="00C02D65">
              <w:rPr>
                <w:rFonts w:asciiTheme="minorHAnsi" w:hAnsiTheme="minorHAnsi" w:cstheme="minorHAnsi"/>
                <w:b/>
                <w:sz w:val="22"/>
                <w:szCs w:val="22"/>
              </w:rPr>
              <w:t>Lp.</w:t>
            </w:r>
          </w:p>
        </w:tc>
        <w:tc>
          <w:tcPr>
            <w:tcW w:w="1276" w:type="dxa"/>
            <w:shd w:val="clear" w:color="auto" w:fill="auto"/>
            <w:vAlign w:val="center"/>
          </w:tcPr>
          <w:p w14:paraId="11960427" w14:textId="77777777" w:rsidR="00A06425" w:rsidRPr="00C02D65" w:rsidRDefault="00A06425" w:rsidP="004D086F">
            <w:pPr>
              <w:jc w:val="center"/>
              <w:rPr>
                <w:rFonts w:asciiTheme="minorHAnsi" w:hAnsiTheme="minorHAnsi" w:cstheme="minorHAnsi"/>
                <w:b/>
                <w:sz w:val="22"/>
                <w:szCs w:val="22"/>
              </w:rPr>
            </w:pPr>
            <w:r w:rsidRPr="00C02D65">
              <w:rPr>
                <w:rFonts w:asciiTheme="minorHAnsi" w:hAnsiTheme="minorHAnsi" w:cstheme="minorHAnsi"/>
                <w:b/>
                <w:sz w:val="22"/>
                <w:szCs w:val="22"/>
              </w:rPr>
              <w:t>Organ wnoszący uwagi</w:t>
            </w:r>
          </w:p>
        </w:tc>
        <w:tc>
          <w:tcPr>
            <w:tcW w:w="1701" w:type="dxa"/>
            <w:shd w:val="clear" w:color="auto" w:fill="auto"/>
            <w:vAlign w:val="center"/>
          </w:tcPr>
          <w:p w14:paraId="432A0749" w14:textId="77777777" w:rsidR="00A06425" w:rsidRPr="00C02D65" w:rsidRDefault="00A06425" w:rsidP="004D086F">
            <w:pPr>
              <w:jc w:val="center"/>
              <w:rPr>
                <w:rFonts w:asciiTheme="minorHAnsi" w:hAnsiTheme="minorHAnsi" w:cstheme="minorHAnsi"/>
                <w:b/>
                <w:sz w:val="22"/>
                <w:szCs w:val="22"/>
              </w:rPr>
            </w:pPr>
            <w:r w:rsidRPr="00C02D65">
              <w:rPr>
                <w:rFonts w:asciiTheme="minorHAnsi" w:hAnsiTheme="minorHAnsi" w:cstheme="minorHAnsi"/>
                <w:b/>
                <w:sz w:val="22"/>
                <w:szCs w:val="22"/>
              </w:rPr>
              <w:t>Jednostka redakcyjna, do której wnoszone są uwagi</w:t>
            </w:r>
          </w:p>
        </w:tc>
        <w:tc>
          <w:tcPr>
            <w:tcW w:w="4678" w:type="dxa"/>
            <w:shd w:val="clear" w:color="auto" w:fill="auto"/>
            <w:vAlign w:val="center"/>
          </w:tcPr>
          <w:p w14:paraId="3E66616C" w14:textId="77777777" w:rsidR="00A06425" w:rsidRPr="00C02D65" w:rsidRDefault="00A06425" w:rsidP="004D086F">
            <w:pPr>
              <w:jc w:val="center"/>
              <w:rPr>
                <w:rFonts w:asciiTheme="minorHAnsi" w:hAnsiTheme="minorHAnsi" w:cstheme="minorHAnsi"/>
                <w:b/>
                <w:sz w:val="22"/>
                <w:szCs w:val="22"/>
              </w:rPr>
            </w:pPr>
            <w:r w:rsidRPr="00C02D65">
              <w:rPr>
                <w:rFonts w:asciiTheme="minorHAnsi" w:hAnsiTheme="minorHAnsi" w:cstheme="minorHAnsi"/>
                <w:b/>
                <w:sz w:val="22"/>
                <w:szCs w:val="22"/>
              </w:rPr>
              <w:t>Treść uwagi</w:t>
            </w:r>
          </w:p>
        </w:tc>
        <w:tc>
          <w:tcPr>
            <w:tcW w:w="3402" w:type="dxa"/>
            <w:shd w:val="clear" w:color="auto" w:fill="auto"/>
            <w:vAlign w:val="center"/>
          </w:tcPr>
          <w:p w14:paraId="78B44745" w14:textId="77777777" w:rsidR="00A06425" w:rsidRPr="00C02D65" w:rsidRDefault="00A06425" w:rsidP="004D086F">
            <w:pPr>
              <w:jc w:val="center"/>
              <w:rPr>
                <w:rFonts w:asciiTheme="minorHAnsi" w:hAnsiTheme="minorHAnsi" w:cstheme="minorHAnsi"/>
                <w:b/>
                <w:sz w:val="22"/>
                <w:szCs w:val="22"/>
              </w:rPr>
            </w:pPr>
            <w:r w:rsidRPr="00C02D65">
              <w:rPr>
                <w:rFonts w:asciiTheme="minorHAnsi" w:hAnsiTheme="minorHAnsi" w:cstheme="minorHAnsi"/>
                <w:b/>
                <w:sz w:val="22"/>
                <w:szCs w:val="22"/>
              </w:rPr>
              <w:t>Propozycja zmian zapisu</w:t>
            </w:r>
          </w:p>
        </w:tc>
        <w:tc>
          <w:tcPr>
            <w:tcW w:w="3769" w:type="dxa"/>
            <w:vAlign w:val="center"/>
          </w:tcPr>
          <w:p w14:paraId="371F1681" w14:textId="77777777" w:rsidR="00A06425" w:rsidRPr="00C02D65" w:rsidRDefault="00A06425" w:rsidP="00A06425">
            <w:pPr>
              <w:jc w:val="center"/>
              <w:rPr>
                <w:rFonts w:asciiTheme="minorHAnsi" w:hAnsiTheme="minorHAnsi" w:cstheme="minorHAnsi"/>
                <w:b/>
                <w:sz w:val="22"/>
                <w:szCs w:val="22"/>
              </w:rPr>
            </w:pPr>
            <w:r w:rsidRPr="00C02D65">
              <w:rPr>
                <w:rFonts w:asciiTheme="minorHAnsi" w:hAnsiTheme="minorHAnsi" w:cstheme="minorHAnsi"/>
                <w:b/>
                <w:sz w:val="22"/>
                <w:szCs w:val="22"/>
              </w:rPr>
              <w:t>Odniesienie do uwagi</w:t>
            </w:r>
          </w:p>
        </w:tc>
      </w:tr>
      <w:tr w:rsidR="00BC6F96" w:rsidRPr="00C02D65" w14:paraId="51E944C9" w14:textId="77777777" w:rsidTr="001B4ADE">
        <w:tc>
          <w:tcPr>
            <w:tcW w:w="562" w:type="dxa"/>
            <w:shd w:val="clear" w:color="auto" w:fill="auto"/>
          </w:tcPr>
          <w:p w14:paraId="44E4AEBB" w14:textId="7D00A729" w:rsidR="00BC6F96" w:rsidRPr="00C02D65" w:rsidRDefault="00BC6F96" w:rsidP="00A06425">
            <w:pPr>
              <w:spacing w:before="120" w:after="120"/>
              <w:jc w:val="center"/>
              <w:rPr>
                <w:rFonts w:asciiTheme="minorHAnsi" w:hAnsiTheme="minorHAnsi" w:cstheme="minorHAnsi"/>
                <w:b/>
                <w:sz w:val="22"/>
                <w:szCs w:val="22"/>
              </w:rPr>
            </w:pPr>
            <w:r w:rsidRPr="00C02D65">
              <w:rPr>
                <w:rFonts w:asciiTheme="minorHAnsi" w:hAnsiTheme="minorHAnsi" w:cstheme="minorHAnsi"/>
                <w:b/>
                <w:sz w:val="22"/>
                <w:szCs w:val="22"/>
              </w:rPr>
              <w:t>1</w:t>
            </w:r>
          </w:p>
        </w:tc>
        <w:tc>
          <w:tcPr>
            <w:tcW w:w="1276" w:type="dxa"/>
            <w:shd w:val="clear" w:color="auto" w:fill="auto"/>
          </w:tcPr>
          <w:p w14:paraId="1410249D" w14:textId="1C527278" w:rsidR="00BC6F96" w:rsidRPr="00C02D65" w:rsidRDefault="00E775CF" w:rsidP="004D086F">
            <w:pPr>
              <w:spacing w:before="60" w:after="60"/>
              <w:jc w:val="center"/>
              <w:rPr>
                <w:rFonts w:asciiTheme="minorHAnsi" w:hAnsiTheme="minorHAnsi" w:cstheme="minorHAnsi"/>
                <w:b/>
                <w:bCs/>
                <w:sz w:val="22"/>
                <w:szCs w:val="22"/>
              </w:rPr>
            </w:pPr>
            <w:r w:rsidRPr="00C02D65">
              <w:rPr>
                <w:rFonts w:asciiTheme="minorHAnsi" w:hAnsiTheme="minorHAnsi" w:cstheme="minorHAnsi"/>
                <w:b/>
                <w:bCs/>
                <w:sz w:val="22"/>
                <w:szCs w:val="22"/>
              </w:rPr>
              <w:t>Ministerstwo Sprawiedliwości</w:t>
            </w:r>
          </w:p>
        </w:tc>
        <w:tc>
          <w:tcPr>
            <w:tcW w:w="1701" w:type="dxa"/>
            <w:shd w:val="clear" w:color="auto" w:fill="auto"/>
          </w:tcPr>
          <w:p w14:paraId="4A5944FF" w14:textId="2E659917" w:rsidR="00BC6F96" w:rsidRPr="00C02D65" w:rsidRDefault="00BC6F96" w:rsidP="004D086F">
            <w:pPr>
              <w:jc w:val="center"/>
              <w:rPr>
                <w:rFonts w:asciiTheme="minorHAnsi" w:hAnsiTheme="minorHAnsi" w:cstheme="minorHAnsi"/>
                <w:sz w:val="22"/>
                <w:szCs w:val="22"/>
              </w:rPr>
            </w:pPr>
            <w:r w:rsidRPr="00C02D65">
              <w:rPr>
                <w:rFonts w:asciiTheme="minorHAnsi" w:hAnsiTheme="minorHAnsi" w:cstheme="minorHAnsi"/>
                <w:sz w:val="22"/>
                <w:szCs w:val="22"/>
              </w:rPr>
              <w:t xml:space="preserve">Pkt 1 dokumentu </w:t>
            </w:r>
            <w:r w:rsidR="00163066" w:rsidRPr="00C02D65">
              <w:rPr>
                <w:rFonts w:asciiTheme="minorHAnsi" w:hAnsiTheme="minorHAnsi" w:cstheme="minorHAnsi"/>
                <w:sz w:val="22"/>
                <w:szCs w:val="22"/>
              </w:rPr>
              <w:t>Wersja</w:t>
            </w:r>
            <w:r w:rsidRPr="00C02D65">
              <w:rPr>
                <w:rFonts w:asciiTheme="minorHAnsi" w:hAnsiTheme="minorHAnsi" w:cstheme="minorHAnsi"/>
                <w:sz w:val="22"/>
                <w:szCs w:val="22"/>
              </w:rPr>
              <w:t xml:space="preserve"> 1.0 z 14.09.2023</w:t>
            </w:r>
          </w:p>
        </w:tc>
        <w:tc>
          <w:tcPr>
            <w:tcW w:w="4678" w:type="dxa"/>
            <w:shd w:val="clear" w:color="auto" w:fill="auto"/>
          </w:tcPr>
          <w:p w14:paraId="5DB8B9AF" w14:textId="07D8D28C" w:rsidR="00BC6F96" w:rsidRPr="00C02D65" w:rsidRDefault="00FF4AB1" w:rsidP="008C152E">
            <w:pPr>
              <w:rPr>
                <w:rFonts w:asciiTheme="minorHAnsi" w:hAnsiTheme="minorHAnsi" w:cstheme="minorHAnsi"/>
                <w:sz w:val="22"/>
                <w:szCs w:val="22"/>
              </w:rPr>
            </w:pPr>
            <w:r w:rsidRPr="00C02D65">
              <w:rPr>
                <w:rFonts w:asciiTheme="minorHAnsi" w:hAnsiTheme="minorHAnsi" w:cstheme="minorHAnsi"/>
                <w:sz w:val="22"/>
                <w:szCs w:val="22"/>
              </w:rPr>
              <w:t>W pkt 1 dot. „Organu prowadzącego rejestr” nie wskazano na specyfikę rejestrów sądowych. Są to rejestry publiczne prowadzone</w:t>
            </w:r>
            <w:r w:rsidR="00670F20" w:rsidRPr="00C02D65">
              <w:rPr>
                <w:rFonts w:asciiTheme="minorHAnsi" w:hAnsiTheme="minorHAnsi" w:cstheme="minorHAnsi"/>
                <w:sz w:val="22"/>
                <w:szCs w:val="22"/>
              </w:rPr>
              <w:t>, nie przez centralny organ administracji (najczęściej Ministra), lecz</w:t>
            </w:r>
            <w:r w:rsidRPr="00C02D65">
              <w:rPr>
                <w:rFonts w:asciiTheme="minorHAnsi" w:hAnsiTheme="minorHAnsi" w:cstheme="minorHAnsi"/>
                <w:sz w:val="22"/>
                <w:szCs w:val="22"/>
              </w:rPr>
              <w:t xml:space="preserve"> przez sądy powszechne (</w:t>
            </w:r>
            <w:r w:rsidR="00163066" w:rsidRPr="00C02D65">
              <w:rPr>
                <w:rFonts w:asciiTheme="minorHAnsi" w:hAnsiTheme="minorHAnsi" w:cstheme="minorHAnsi"/>
                <w:sz w:val="22"/>
                <w:szCs w:val="22"/>
              </w:rPr>
              <w:t xml:space="preserve">w szczególności </w:t>
            </w:r>
            <w:r w:rsidR="00670F20" w:rsidRPr="00C02D65">
              <w:rPr>
                <w:rFonts w:asciiTheme="minorHAnsi" w:hAnsiTheme="minorHAnsi" w:cstheme="minorHAnsi"/>
                <w:sz w:val="22"/>
                <w:szCs w:val="22"/>
              </w:rPr>
              <w:t xml:space="preserve">chodzi o takie rejestry publiczne jak: </w:t>
            </w:r>
            <w:r w:rsidRPr="00C02D65">
              <w:rPr>
                <w:rFonts w:asciiTheme="minorHAnsi" w:hAnsiTheme="minorHAnsi" w:cstheme="minorHAnsi"/>
                <w:sz w:val="22"/>
                <w:szCs w:val="22"/>
              </w:rPr>
              <w:t>KRS, c.b.d.k.w. Rejestr zastawów</w:t>
            </w:r>
            <w:r w:rsidR="00670F20" w:rsidRPr="00C02D65">
              <w:rPr>
                <w:rFonts w:asciiTheme="minorHAnsi" w:hAnsiTheme="minorHAnsi" w:cstheme="minorHAnsi"/>
                <w:sz w:val="22"/>
                <w:szCs w:val="22"/>
              </w:rPr>
              <w:t xml:space="preserve"> i inne</w:t>
            </w:r>
            <w:r w:rsidRPr="00C02D65">
              <w:rPr>
                <w:rFonts w:asciiTheme="minorHAnsi" w:hAnsiTheme="minorHAnsi" w:cstheme="minorHAnsi"/>
                <w:sz w:val="22"/>
                <w:szCs w:val="22"/>
              </w:rPr>
              <w:t>)</w:t>
            </w:r>
            <w:r w:rsidR="00163066" w:rsidRPr="00C02D65">
              <w:rPr>
                <w:rFonts w:asciiTheme="minorHAnsi" w:hAnsiTheme="minorHAnsi" w:cstheme="minorHAnsi"/>
                <w:sz w:val="22"/>
                <w:szCs w:val="22"/>
              </w:rPr>
              <w:t>. Minister Sprawiedliwości nie jest tu organem prowadzącym taki rejestr (wobec wyraźnych wskazań ustaw, iż rejestr jest prowadzony przez sądy), lecz, najczęściej utrzymuje infrastrukturę centralnej bazy danych w jakiej prowadzony jest rejestr sądowy</w:t>
            </w:r>
          </w:p>
        </w:tc>
        <w:tc>
          <w:tcPr>
            <w:tcW w:w="3402" w:type="dxa"/>
            <w:shd w:val="clear" w:color="auto" w:fill="auto"/>
          </w:tcPr>
          <w:p w14:paraId="12B8609E" w14:textId="05D29644" w:rsidR="00BC6F96" w:rsidRPr="00C02D65" w:rsidRDefault="00163066" w:rsidP="005A381C">
            <w:pPr>
              <w:jc w:val="both"/>
              <w:rPr>
                <w:rFonts w:asciiTheme="minorHAnsi" w:hAnsiTheme="minorHAnsi" w:cstheme="minorHAnsi"/>
                <w:sz w:val="22"/>
                <w:szCs w:val="22"/>
              </w:rPr>
            </w:pPr>
            <w:r w:rsidRPr="00C02D65">
              <w:rPr>
                <w:rFonts w:asciiTheme="minorHAnsi" w:hAnsiTheme="minorHAnsi" w:cstheme="minorHAnsi"/>
                <w:sz w:val="22"/>
                <w:szCs w:val="22"/>
              </w:rPr>
              <w:t>W pkt 1 wprowadzić wskazanie, iż rejestry sądowe prowadzone są przez sądy powszechne.</w:t>
            </w:r>
          </w:p>
        </w:tc>
        <w:tc>
          <w:tcPr>
            <w:tcW w:w="3769" w:type="dxa"/>
          </w:tcPr>
          <w:p w14:paraId="6883AC72" w14:textId="22FEB74A" w:rsidR="00994247" w:rsidRPr="00C02D65" w:rsidRDefault="00994247" w:rsidP="007B1726">
            <w:pPr>
              <w:rPr>
                <w:rFonts w:asciiTheme="minorHAnsi" w:hAnsiTheme="minorHAnsi" w:cstheme="minorHAnsi"/>
                <w:b/>
                <w:sz w:val="22"/>
                <w:szCs w:val="22"/>
              </w:rPr>
            </w:pPr>
            <w:r w:rsidRPr="00C02D65">
              <w:rPr>
                <w:rFonts w:asciiTheme="minorHAnsi" w:hAnsiTheme="minorHAnsi" w:cstheme="minorHAnsi"/>
                <w:b/>
                <w:sz w:val="22"/>
                <w:szCs w:val="22"/>
              </w:rPr>
              <w:t xml:space="preserve">Uwaga uwzględniona </w:t>
            </w:r>
          </w:p>
          <w:p w14:paraId="465F5268" w14:textId="3A4CE4B7" w:rsidR="007B1726" w:rsidRPr="00C02D65" w:rsidRDefault="00410C21" w:rsidP="007B1726">
            <w:pPr>
              <w:rPr>
                <w:rFonts w:asciiTheme="minorHAnsi" w:hAnsiTheme="minorHAnsi" w:cstheme="minorHAnsi"/>
                <w:sz w:val="22"/>
                <w:szCs w:val="22"/>
              </w:rPr>
            </w:pPr>
            <w:r w:rsidRPr="00C02D65">
              <w:rPr>
                <w:rFonts w:asciiTheme="minorHAnsi" w:hAnsiTheme="minorHAnsi" w:cstheme="minorHAnsi"/>
                <w:sz w:val="22"/>
                <w:szCs w:val="22"/>
              </w:rPr>
              <w:t>Dodany został przypis: „</w:t>
            </w:r>
            <w:r w:rsidR="00FB7EC4" w:rsidRPr="00C02D65">
              <w:t>Organem prowadzącym rejestry nie muszą być organy administracji centralnej. Np. organami prowadzącymi rejestry sądowe są organy sądownicze, w tym sądy powszechne.</w:t>
            </w:r>
            <w:r w:rsidRPr="00C02D65">
              <w:rPr>
                <w:rFonts w:asciiTheme="minorHAnsi" w:hAnsiTheme="minorHAnsi" w:cstheme="minorHAnsi"/>
                <w:sz w:val="22"/>
                <w:szCs w:val="22"/>
              </w:rPr>
              <w:t>”</w:t>
            </w:r>
            <w:r w:rsidR="001B4ADE" w:rsidRPr="00C02D65">
              <w:rPr>
                <w:rFonts w:asciiTheme="minorHAnsi" w:hAnsiTheme="minorHAnsi" w:cstheme="minorHAnsi"/>
                <w:sz w:val="22"/>
                <w:szCs w:val="22"/>
              </w:rPr>
              <w:t xml:space="preserve"> </w:t>
            </w:r>
          </w:p>
        </w:tc>
      </w:tr>
      <w:tr w:rsidR="00A06425" w:rsidRPr="00C02D65" w14:paraId="4964C19E" w14:textId="77777777" w:rsidTr="001B4ADE">
        <w:tc>
          <w:tcPr>
            <w:tcW w:w="562" w:type="dxa"/>
            <w:shd w:val="clear" w:color="auto" w:fill="auto"/>
          </w:tcPr>
          <w:p w14:paraId="62E534F4" w14:textId="02374212" w:rsidR="00A06425" w:rsidRPr="00C02D65" w:rsidRDefault="00BC6F96" w:rsidP="00A06425">
            <w:pPr>
              <w:spacing w:before="120" w:after="120"/>
              <w:jc w:val="center"/>
              <w:rPr>
                <w:rFonts w:asciiTheme="minorHAnsi" w:hAnsiTheme="minorHAnsi" w:cstheme="minorHAnsi"/>
                <w:b/>
                <w:sz w:val="22"/>
                <w:szCs w:val="22"/>
              </w:rPr>
            </w:pPr>
            <w:r w:rsidRPr="00C02D65">
              <w:rPr>
                <w:rFonts w:asciiTheme="minorHAnsi" w:hAnsiTheme="minorHAnsi" w:cstheme="minorHAnsi"/>
                <w:b/>
                <w:sz w:val="22"/>
                <w:szCs w:val="22"/>
              </w:rPr>
              <w:t>2</w:t>
            </w:r>
          </w:p>
        </w:tc>
        <w:tc>
          <w:tcPr>
            <w:tcW w:w="1276" w:type="dxa"/>
            <w:shd w:val="clear" w:color="auto" w:fill="auto"/>
          </w:tcPr>
          <w:p w14:paraId="0E2D72E6" w14:textId="2ED1F9A8" w:rsidR="00A06425" w:rsidRPr="00C02D65" w:rsidRDefault="00E775CF" w:rsidP="004D086F">
            <w:pPr>
              <w:spacing w:before="60" w:after="60"/>
              <w:jc w:val="center"/>
              <w:rPr>
                <w:rFonts w:asciiTheme="minorHAnsi" w:hAnsiTheme="minorHAnsi" w:cstheme="minorHAnsi"/>
                <w:b/>
                <w:bCs/>
                <w:sz w:val="22"/>
                <w:szCs w:val="22"/>
              </w:rPr>
            </w:pPr>
            <w:r w:rsidRPr="00C02D65">
              <w:rPr>
                <w:rFonts w:asciiTheme="minorHAnsi" w:hAnsiTheme="minorHAnsi" w:cstheme="minorHAnsi"/>
                <w:b/>
                <w:bCs/>
                <w:sz w:val="22"/>
                <w:szCs w:val="22"/>
              </w:rPr>
              <w:t>Ministerstwo Sprawiedliwości</w:t>
            </w:r>
          </w:p>
        </w:tc>
        <w:tc>
          <w:tcPr>
            <w:tcW w:w="1701" w:type="dxa"/>
            <w:shd w:val="clear" w:color="auto" w:fill="auto"/>
          </w:tcPr>
          <w:p w14:paraId="009D9782" w14:textId="5E4DC169" w:rsidR="00A06425" w:rsidRPr="00C02D65" w:rsidRDefault="008C152E" w:rsidP="004D086F">
            <w:pPr>
              <w:jc w:val="center"/>
              <w:rPr>
                <w:rFonts w:asciiTheme="minorHAnsi" w:hAnsiTheme="minorHAnsi" w:cstheme="minorHAnsi"/>
                <w:sz w:val="22"/>
                <w:szCs w:val="22"/>
              </w:rPr>
            </w:pPr>
            <w:r w:rsidRPr="00C02D65">
              <w:rPr>
                <w:rFonts w:asciiTheme="minorHAnsi" w:hAnsiTheme="minorHAnsi" w:cstheme="minorHAnsi"/>
                <w:sz w:val="22"/>
                <w:szCs w:val="22"/>
              </w:rPr>
              <w:t xml:space="preserve">Pkt 14 lit „d” dokumentu </w:t>
            </w:r>
            <w:r w:rsidR="00163066" w:rsidRPr="00C02D65">
              <w:rPr>
                <w:rFonts w:asciiTheme="minorHAnsi" w:hAnsiTheme="minorHAnsi" w:cstheme="minorHAnsi"/>
                <w:sz w:val="22"/>
                <w:szCs w:val="22"/>
              </w:rPr>
              <w:t>Wersja</w:t>
            </w:r>
            <w:r w:rsidRPr="00C02D65">
              <w:rPr>
                <w:rFonts w:asciiTheme="minorHAnsi" w:hAnsiTheme="minorHAnsi" w:cstheme="minorHAnsi"/>
                <w:sz w:val="22"/>
                <w:szCs w:val="22"/>
              </w:rPr>
              <w:t xml:space="preserve"> 1.0 z 14.09.2023</w:t>
            </w:r>
          </w:p>
        </w:tc>
        <w:tc>
          <w:tcPr>
            <w:tcW w:w="4678" w:type="dxa"/>
            <w:shd w:val="clear" w:color="auto" w:fill="auto"/>
          </w:tcPr>
          <w:p w14:paraId="68F8A69B" w14:textId="2411F81D" w:rsidR="00A06425" w:rsidRPr="00C02D65" w:rsidRDefault="008C152E" w:rsidP="005A381C">
            <w:pPr>
              <w:jc w:val="both"/>
              <w:rPr>
                <w:rFonts w:asciiTheme="minorHAnsi" w:hAnsiTheme="minorHAnsi" w:cstheme="minorHAnsi"/>
                <w:sz w:val="22"/>
                <w:szCs w:val="22"/>
              </w:rPr>
            </w:pPr>
            <w:r w:rsidRPr="00C02D65">
              <w:rPr>
                <w:rFonts w:asciiTheme="minorHAnsi" w:hAnsiTheme="minorHAnsi" w:cstheme="minorHAnsi"/>
                <w:sz w:val="22"/>
                <w:szCs w:val="22"/>
              </w:rPr>
              <w:t>Tu opisana zasada dotyczy sytuacji, gdy „rejestr przechowuje kopię danych z rejestru referencyjnego…”. Problem korzystania z danych referencyjnych bazy TERYT i PKD był kwestią prac nad nowelizacją ustawy o statystyce publicznej</w:t>
            </w:r>
          </w:p>
          <w:p w14:paraId="5A913EF6" w14:textId="35EBCD63" w:rsidR="00003F6F" w:rsidRPr="00C02D65" w:rsidRDefault="00C02D65" w:rsidP="005A381C">
            <w:pPr>
              <w:jc w:val="both"/>
              <w:rPr>
                <w:rFonts w:asciiTheme="minorHAnsi" w:hAnsiTheme="minorHAnsi" w:cstheme="minorHAnsi"/>
                <w:sz w:val="22"/>
                <w:szCs w:val="22"/>
              </w:rPr>
            </w:pPr>
            <w:hyperlink r:id="rId11" w:anchor="12942257" w:history="1">
              <w:r w:rsidR="00003F6F" w:rsidRPr="00C02D65">
                <w:rPr>
                  <w:rStyle w:val="Hipercze"/>
                  <w:rFonts w:asciiTheme="minorHAnsi" w:hAnsiTheme="minorHAnsi" w:cstheme="minorHAnsi"/>
                  <w:sz w:val="22"/>
                  <w:szCs w:val="22"/>
                </w:rPr>
                <w:t>https://legislacja.gov.pl/projekt/12368001/katalog/12942257#12942257</w:t>
              </w:r>
            </w:hyperlink>
          </w:p>
          <w:p w14:paraId="3DC39EE5" w14:textId="2BF63B02" w:rsidR="00003F6F" w:rsidRPr="00C02D65" w:rsidRDefault="00003F6F" w:rsidP="005A381C">
            <w:pPr>
              <w:jc w:val="both"/>
              <w:rPr>
                <w:rFonts w:asciiTheme="minorHAnsi" w:hAnsiTheme="minorHAnsi" w:cstheme="minorHAnsi"/>
                <w:sz w:val="22"/>
                <w:szCs w:val="22"/>
              </w:rPr>
            </w:pPr>
            <w:r w:rsidRPr="00C02D65">
              <w:rPr>
                <w:rFonts w:asciiTheme="minorHAnsi" w:hAnsiTheme="minorHAnsi" w:cstheme="minorHAnsi"/>
                <w:sz w:val="22"/>
                <w:szCs w:val="22"/>
              </w:rPr>
              <w:t xml:space="preserve">W toku prac MS określił </w:t>
            </w:r>
            <w:r w:rsidR="00867FC7" w:rsidRPr="00C02D65">
              <w:rPr>
                <w:rFonts w:asciiTheme="minorHAnsi" w:hAnsiTheme="minorHAnsi" w:cstheme="minorHAnsi"/>
                <w:sz w:val="22"/>
                <w:szCs w:val="22"/>
              </w:rPr>
              <w:t xml:space="preserve">tam </w:t>
            </w:r>
            <w:r w:rsidRPr="00C02D65">
              <w:rPr>
                <w:rFonts w:asciiTheme="minorHAnsi" w:hAnsiTheme="minorHAnsi" w:cstheme="minorHAnsi"/>
                <w:sz w:val="22"/>
                <w:szCs w:val="22"/>
              </w:rPr>
              <w:t>swoje stanowisko.</w:t>
            </w:r>
          </w:p>
          <w:p w14:paraId="38CA0150" w14:textId="54D88B09" w:rsidR="00003F6F" w:rsidRPr="00C02D65" w:rsidRDefault="00003F6F" w:rsidP="005A381C">
            <w:pPr>
              <w:jc w:val="both"/>
              <w:rPr>
                <w:rFonts w:asciiTheme="minorHAnsi" w:hAnsiTheme="minorHAnsi" w:cstheme="minorHAnsi"/>
                <w:sz w:val="22"/>
                <w:szCs w:val="22"/>
              </w:rPr>
            </w:pPr>
            <w:r w:rsidRPr="00C02D65">
              <w:rPr>
                <w:rFonts w:asciiTheme="minorHAnsi" w:hAnsiTheme="minorHAnsi" w:cstheme="minorHAnsi"/>
                <w:sz w:val="22"/>
                <w:szCs w:val="22"/>
              </w:rPr>
              <w:t>Zagadnienie objęte pkt 14 dokumentu dotycz tylko weryfikacji i pobierania danych z systemu referencyjnego. Poza zakresem pozostała zagadnienie szeroko rozumianej „jakości danych” w rejestrach publicznych. Często bowiem, w wyniku zmian standardów w samych rejestrach referencyjnych i sposobu ujawniania tych danych w rejestrach które z nich korzystają</w:t>
            </w:r>
            <w:r w:rsidR="00867FC7" w:rsidRPr="00C02D65">
              <w:rPr>
                <w:rFonts w:asciiTheme="minorHAnsi" w:hAnsiTheme="minorHAnsi" w:cstheme="minorHAnsi"/>
                <w:sz w:val="22"/>
                <w:szCs w:val="22"/>
              </w:rPr>
              <w:t>,</w:t>
            </w:r>
            <w:r w:rsidRPr="00C02D65">
              <w:rPr>
                <w:rFonts w:asciiTheme="minorHAnsi" w:hAnsiTheme="minorHAnsi" w:cstheme="minorHAnsi"/>
                <w:sz w:val="22"/>
                <w:szCs w:val="22"/>
              </w:rPr>
              <w:t xml:space="preserve"> powstają </w:t>
            </w:r>
            <w:r w:rsidR="00867FC7" w:rsidRPr="00C02D65">
              <w:rPr>
                <w:rFonts w:asciiTheme="minorHAnsi" w:hAnsiTheme="minorHAnsi" w:cstheme="minorHAnsi"/>
                <w:sz w:val="22"/>
                <w:szCs w:val="22"/>
              </w:rPr>
              <w:lastRenderedPageBreak/>
              <w:t xml:space="preserve">ilościowo </w:t>
            </w:r>
            <w:r w:rsidRPr="00C02D65">
              <w:rPr>
                <w:rFonts w:asciiTheme="minorHAnsi" w:hAnsiTheme="minorHAnsi" w:cstheme="minorHAnsi"/>
                <w:sz w:val="22"/>
                <w:szCs w:val="22"/>
              </w:rPr>
              <w:t>znaczące rozbieżności. W ocenie Wydziału należy dążyć, w ramach opisu dobrych praktyk, do wskazania sposobu (standardu) usuwania takich niezgodności i dążenia do pełnej zgodności danych referencyjnych z danymi ujawnianymi w innych rejestrach publicznych</w:t>
            </w:r>
          </w:p>
        </w:tc>
        <w:tc>
          <w:tcPr>
            <w:tcW w:w="3402" w:type="dxa"/>
            <w:shd w:val="clear" w:color="auto" w:fill="auto"/>
          </w:tcPr>
          <w:p w14:paraId="38A11E8D" w14:textId="28604EE8" w:rsidR="00A06425" w:rsidRPr="00C02D65" w:rsidRDefault="00003F6F" w:rsidP="005A381C">
            <w:pPr>
              <w:jc w:val="both"/>
              <w:rPr>
                <w:rFonts w:asciiTheme="minorHAnsi" w:hAnsiTheme="minorHAnsi" w:cstheme="minorHAnsi"/>
                <w:sz w:val="22"/>
                <w:szCs w:val="22"/>
              </w:rPr>
            </w:pPr>
            <w:r w:rsidRPr="00C02D65">
              <w:rPr>
                <w:rFonts w:asciiTheme="minorHAnsi" w:hAnsiTheme="minorHAnsi" w:cstheme="minorHAnsi"/>
                <w:sz w:val="22"/>
                <w:szCs w:val="22"/>
              </w:rPr>
              <w:lastRenderedPageBreak/>
              <w:t xml:space="preserve">Należy rozważyć dodanie nowej jednostki </w:t>
            </w:r>
            <w:r w:rsidR="00507994" w:rsidRPr="00C02D65">
              <w:rPr>
                <w:rFonts w:asciiTheme="minorHAnsi" w:hAnsiTheme="minorHAnsi" w:cstheme="minorHAnsi"/>
                <w:sz w:val="22"/>
                <w:szCs w:val="22"/>
              </w:rPr>
              <w:t>redakcyjnej</w:t>
            </w:r>
            <w:r w:rsidRPr="00C02D65">
              <w:rPr>
                <w:rFonts w:asciiTheme="minorHAnsi" w:hAnsiTheme="minorHAnsi" w:cstheme="minorHAnsi"/>
                <w:sz w:val="22"/>
                <w:szCs w:val="22"/>
              </w:rPr>
              <w:t xml:space="preserve"> w dokumencie „Rejestry publiczne praktyki architektoniczne i legislacyjne”, w którym zagadnienie usuwania </w:t>
            </w:r>
            <w:r w:rsidR="00507994" w:rsidRPr="00C02D65">
              <w:rPr>
                <w:rFonts w:asciiTheme="minorHAnsi" w:hAnsiTheme="minorHAnsi" w:cstheme="minorHAnsi"/>
                <w:sz w:val="22"/>
                <w:szCs w:val="22"/>
              </w:rPr>
              <w:t>niezgodności w posługiwaniu się danymi referencyjnymi (zwłaszcza TERY</w:t>
            </w:r>
            <w:r w:rsidR="00014748" w:rsidRPr="00C02D65">
              <w:rPr>
                <w:rFonts w:asciiTheme="minorHAnsi" w:hAnsiTheme="minorHAnsi" w:cstheme="minorHAnsi"/>
                <w:sz w:val="22"/>
                <w:szCs w:val="22"/>
              </w:rPr>
              <w:t>T</w:t>
            </w:r>
            <w:r w:rsidR="00507994" w:rsidRPr="00C02D65">
              <w:rPr>
                <w:rFonts w:asciiTheme="minorHAnsi" w:hAnsiTheme="minorHAnsi" w:cstheme="minorHAnsi"/>
                <w:sz w:val="22"/>
                <w:szCs w:val="22"/>
              </w:rPr>
              <w:t xml:space="preserve">, PKD, oznaczenie nieruchomości z EGiB) zostanie wskazane, zdiagnozowane i wskazane </w:t>
            </w:r>
            <w:r w:rsidR="00867FC7" w:rsidRPr="00C02D65">
              <w:rPr>
                <w:rFonts w:asciiTheme="minorHAnsi" w:hAnsiTheme="minorHAnsi" w:cstheme="minorHAnsi"/>
                <w:sz w:val="22"/>
                <w:szCs w:val="22"/>
              </w:rPr>
              <w:t xml:space="preserve">zostaną </w:t>
            </w:r>
            <w:r w:rsidR="00507994" w:rsidRPr="00C02D65">
              <w:rPr>
                <w:rFonts w:asciiTheme="minorHAnsi" w:hAnsiTheme="minorHAnsi" w:cstheme="minorHAnsi"/>
                <w:sz w:val="22"/>
                <w:szCs w:val="22"/>
              </w:rPr>
              <w:t xml:space="preserve">właściwe remedia. Uświadomienie istnienia takich niegodności winno być zauważone już na etapie architektury, a </w:t>
            </w:r>
            <w:r w:rsidR="00867FC7" w:rsidRPr="00C02D65">
              <w:rPr>
                <w:rFonts w:asciiTheme="minorHAnsi" w:hAnsiTheme="minorHAnsi" w:cstheme="minorHAnsi"/>
                <w:sz w:val="22"/>
                <w:szCs w:val="22"/>
              </w:rPr>
              <w:t xml:space="preserve">samo </w:t>
            </w:r>
            <w:r w:rsidR="00507994" w:rsidRPr="00C02D65">
              <w:rPr>
                <w:rFonts w:asciiTheme="minorHAnsi" w:hAnsiTheme="minorHAnsi" w:cstheme="minorHAnsi"/>
                <w:sz w:val="22"/>
                <w:szCs w:val="22"/>
              </w:rPr>
              <w:t xml:space="preserve">zalecenia usuwania (minimalizowania </w:t>
            </w:r>
            <w:r w:rsidR="00507994" w:rsidRPr="00C02D65">
              <w:rPr>
                <w:rFonts w:asciiTheme="minorHAnsi" w:hAnsiTheme="minorHAnsi" w:cstheme="minorHAnsi"/>
                <w:sz w:val="22"/>
                <w:szCs w:val="22"/>
              </w:rPr>
              <w:lastRenderedPageBreak/>
              <w:t xml:space="preserve">problemu) winno znaleźć rozwiązanie </w:t>
            </w:r>
            <w:r w:rsidR="00867FC7" w:rsidRPr="00C02D65">
              <w:rPr>
                <w:rFonts w:asciiTheme="minorHAnsi" w:hAnsiTheme="minorHAnsi" w:cstheme="minorHAnsi"/>
                <w:sz w:val="22"/>
                <w:szCs w:val="22"/>
              </w:rPr>
              <w:t xml:space="preserve">(prawdopodobnie) </w:t>
            </w:r>
            <w:r w:rsidR="00507994" w:rsidRPr="00C02D65">
              <w:rPr>
                <w:rFonts w:asciiTheme="minorHAnsi" w:hAnsiTheme="minorHAnsi" w:cstheme="minorHAnsi"/>
                <w:sz w:val="22"/>
                <w:szCs w:val="22"/>
              </w:rPr>
              <w:t>w sferze projektów przepisów prawnych.</w:t>
            </w:r>
          </w:p>
        </w:tc>
        <w:tc>
          <w:tcPr>
            <w:tcW w:w="3769" w:type="dxa"/>
          </w:tcPr>
          <w:p w14:paraId="5A032B62" w14:textId="5B6A7573" w:rsidR="001B4ADE" w:rsidRPr="00C02D65" w:rsidRDefault="00E124C7" w:rsidP="007B1726">
            <w:pPr>
              <w:rPr>
                <w:rFonts w:asciiTheme="minorHAnsi" w:hAnsiTheme="minorHAnsi" w:cstheme="minorHAnsi"/>
                <w:sz w:val="22"/>
                <w:szCs w:val="22"/>
              </w:rPr>
            </w:pPr>
            <w:r w:rsidRPr="00C02D65">
              <w:rPr>
                <w:rFonts w:asciiTheme="minorHAnsi" w:hAnsiTheme="minorHAnsi" w:cstheme="minorHAnsi"/>
                <w:b/>
                <w:bCs/>
                <w:sz w:val="22"/>
                <w:szCs w:val="22"/>
              </w:rPr>
              <w:lastRenderedPageBreak/>
              <w:t xml:space="preserve">Uwaga do uwzględnienia  </w:t>
            </w:r>
            <w:r w:rsidR="003B5817" w:rsidRPr="00C02D65">
              <w:rPr>
                <w:rFonts w:asciiTheme="minorHAnsi" w:hAnsiTheme="minorHAnsi" w:cstheme="minorHAnsi"/>
                <w:b/>
                <w:bCs/>
                <w:sz w:val="22"/>
                <w:szCs w:val="22"/>
              </w:rPr>
              <w:t>przy opracowywaniu</w:t>
            </w:r>
            <w:r w:rsidRPr="00C02D65">
              <w:rPr>
                <w:rFonts w:asciiTheme="minorHAnsi" w:hAnsiTheme="minorHAnsi" w:cstheme="minorHAnsi"/>
                <w:b/>
                <w:bCs/>
                <w:sz w:val="22"/>
                <w:szCs w:val="22"/>
              </w:rPr>
              <w:t xml:space="preserve"> szczegółowych rekomendacji</w:t>
            </w:r>
            <w:r w:rsidR="003B5817" w:rsidRPr="00C02D65">
              <w:rPr>
                <w:rFonts w:asciiTheme="minorHAnsi" w:hAnsiTheme="minorHAnsi" w:cstheme="minorHAnsi"/>
                <w:b/>
                <w:bCs/>
                <w:sz w:val="22"/>
                <w:szCs w:val="22"/>
              </w:rPr>
              <w:t xml:space="preserve"> dotyczących poszczególnych grup danych</w:t>
            </w:r>
            <w:r w:rsidRPr="00C02D65">
              <w:rPr>
                <w:rFonts w:asciiTheme="minorHAnsi" w:hAnsiTheme="minorHAnsi" w:cstheme="minorHAnsi"/>
                <w:sz w:val="22"/>
                <w:szCs w:val="22"/>
              </w:rPr>
              <w:t>.</w:t>
            </w:r>
          </w:p>
          <w:p w14:paraId="5BCD8C4C" w14:textId="77777777" w:rsidR="00E124C7" w:rsidRPr="00C02D65" w:rsidRDefault="00E124C7" w:rsidP="007B1726">
            <w:pPr>
              <w:rPr>
                <w:rFonts w:asciiTheme="minorHAnsi" w:hAnsiTheme="minorHAnsi" w:cstheme="minorHAnsi"/>
                <w:sz w:val="22"/>
                <w:szCs w:val="22"/>
              </w:rPr>
            </w:pPr>
          </w:p>
          <w:p w14:paraId="26F58D75" w14:textId="21993C06" w:rsidR="00A06425" w:rsidRPr="00C02D65" w:rsidRDefault="00E124C7" w:rsidP="007B1726">
            <w:pPr>
              <w:rPr>
                <w:rFonts w:asciiTheme="minorHAnsi" w:hAnsiTheme="minorHAnsi" w:cstheme="minorHAnsi"/>
                <w:sz w:val="22"/>
                <w:szCs w:val="22"/>
              </w:rPr>
            </w:pPr>
            <w:r w:rsidRPr="00C02D65">
              <w:rPr>
                <w:rFonts w:asciiTheme="minorHAnsi" w:hAnsiTheme="minorHAnsi" w:cstheme="minorHAnsi"/>
                <w:sz w:val="22"/>
                <w:szCs w:val="22"/>
              </w:rPr>
              <w:t>R</w:t>
            </w:r>
            <w:r w:rsidR="00F254E8" w:rsidRPr="00C02D65">
              <w:rPr>
                <w:rFonts w:asciiTheme="minorHAnsi" w:hAnsiTheme="minorHAnsi" w:cstheme="minorHAnsi"/>
                <w:sz w:val="22"/>
                <w:szCs w:val="22"/>
              </w:rPr>
              <w:t>ekomendacja</w:t>
            </w:r>
            <w:r w:rsidRPr="00C02D65">
              <w:rPr>
                <w:rFonts w:asciiTheme="minorHAnsi" w:hAnsiTheme="minorHAnsi" w:cstheme="minorHAnsi"/>
                <w:sz w:val="22"/>
                <w:szCs w:val="22"/>
              </w:rPr>
              <w:t xml:space="preserve"> ogólna</w:t>
            </w:r>
            <w:r w:rsidR="00F254E8" w:rsidRPr="00C02D65">
              <w:rPr>
                <w:rFonts w:asciiTheme="minorHAnsi" w:hAnsiTheme="minorHAnsi" w:cstheme="minorHAnsi"/>
                <w:sz w:val="22"/>
                <w:szCs w:val="22"/>
              </w:rPr>
              <w:t xml:space="preserve"> została określona: obowiązek informowania o niezgodnościach i ich usuwania.</w:t>
            </w:r>
          </w:p>
          <w:p w14:paraId="00B4541D" w14:textId="0EA08401" w:rsidR="004C4A50" w:rsidRPr="00C02D65" w:rsidRDefault="00F254E8" w:rsidP="004C4A50">
            <w:pPr>
              <w:rPr>
                <w:rFonts w:asciiTheme="minorHAnsi" w:hAnsiTheme="minorHAnsi" w:cstheme="minorHAnsi"/>
                <w:sz w:val="22"/>
                <w:szCs w:val="22"/>
              </w:rPr>
            </w:pPr>
            <w:r w:rsidRPr="00C02D65">
              <w:rPr>
                <w:rFonts w:asciiTheme="minorHAnsi" w:hAnsiTheme="minorHAnsi" w:cstheme="minorHAnsi"/>
                <w:sz w:val="22"/>
                <w:szCs w:val="22"/>
              </w:rPr>
              <w:t>Rejestr referencyjny ma obowiązek informowania, a rejestr korzystający ma obowiązek aktualizacji</w:t>
            </w:r>
            <w:r w:rsidR="001B4ADE" w:rsidRPr="00C02D65">
              <w:rPr>
                <w:rFonts w:asciiTheme="minorHAnsi" w:hAnsiTheme="minorHAnsi" w:cstheme="minorHAnsi"/>
                <w:sz w:val="22"/>
                <w:szCs w:val="22"/>
              </w:rPr>
              <w:t>.</w:t>
            </w:r>
          </w:p>
          <w:p w14:paraId="626956E6" w14:textId="5428B150" w:rsidR="004C4A50" w:rsidRPr="00C02D65" w:rsidRDefault="004C4A50" w:rsidP="004C4A50">
            <w:pPr>
              <w:rPr>
                <w:rFonts w:asciiTheme="minorHAnsi" w:hAnsiTheme="minorHAnsi" w:cstheme="minorHAnsi"/>
                <w:sz w:val="22"/>
                <w:szCs w:val="22"/>
              </w:rPr>
            </w:pPr>
            <w:r w:rsidRPr="00C02D65">
              <w:rPr>
                <w:rFonts w:asciiTheme="minorHAnsi" w:hAnsiTheme="minorHAnsi" w:cstheme="minorHAnsi"/>
                <w:sz w:val="22"/>
                <w:szCs w:val="22"/>
              </w:rPr>
              <w:t xml:space="preserve">W wydziale AIP trwają prace nad osobnymi rekomendacjami dotyczącymi kluczowych obszarów danych, jak: Osoba fizyczna, Podmiot, Lokalizacja, Działka. W ramach tych </w:t>
            </w:r>
            <w:r w:rsidRPr="00C02D65">
              <w:rPr>
                <w:rFonts w:asciiTheme="minorHAnsi" w:hAnsiTheme="minorHAnsi" w:cstheme="minorHAnsi"/>
                <w:sz w:val="22"/>
                <w:szCs w:val="22"/>
              </w:rPr>
              <w:lastRenderedPageBreak/>
              <w:t>rekomendacji zostaną przedstawione szczegółowe wyniki analiz danych w tych obszarach i dotyczące ich zalecenia.</w:t>
            </w:r>
          </w:p>
          <w:p w14:paraId="181DC6EA" w14:textId="6DA77555" w:rsidR="00F254E8" w:rsidRPr="00C02D65" w:rsidRDefault="00F254E8" w:rsidP="007B1726">
            <w:pPr>
              <w:rPr>
                <w:rFonts w:asciiTheme="minorHAnsi" w:hAnsiTheme="minorHAnsi" w:cstheme="minorHAnsi"/>
                <w:sz w:val="22"/>
                <w:szCs w:val="22"/>
              </w:rPr>
            </w:pPr>
          </w:p>
        </w:tc>
      </w:tr>
      <w:tr w:rsidR="00A06425" w:rsidRPr="00C02D65" w14:paraId="34EED1CF" w14:textId="77777777" w:rsidTr="001B4ADE">
        <w:tc>
          <w:tcPr>
            <w:tcW w:w="562" w:type="dxa"/>
            <w:shd w:val="clear" w:color="auto" w:fill="auto"/>
          </w:tcPr>
          <w:p w14:paraId="3964B698" w14:textId="01BAD60D" w:rsidR="00A06425" w:rsidRPr="00C02D65" w:rsidRDefault="00BC6F96" w:rsidP="00A06425">
            <w:pPr>
              <w:spacing w:before="120" w:after="120"/>
              <w:jc w:val="center"/>
              <w:rPr>
                <w:rFonts w:asciiTheme="minorHAnsi" w:hAnsiTheme="minorHAnsi" w:cstheme="minorHAnsi"/>
                <w:b/>
                <w:sz w:val="22"/>
                <w:szCs w:val="22"/>
              </w:rPr>
            </w:pPr>
            <w:r w:rsidRPr="00C02D65">
              <w:rPr>
                <w:rFonts w:asciiTheme="minorHAnsi" w:hAnsiTheme="minorHAnsi" w:cstheme="minorHAnsi"/>
                <w:b/>
                <w:sz w:val="22"/>
                <w:szCs w:val="22"/>
              </w:rPr>
              <w:lastRenderedPageBreak/>
              <w:t>3</w:t>
            </w:r>
          </w:p>
        </w:tc>
        <w:tc>
          <w:tcPr>
            <w:tcW w:w="1276" w:type="dxa"/>
            <w:shd w:val="clear" w:color="auto" w:fill="auto"/>
          </w:tcPr>
          <w:p w14:paraId="67BDCA25" w14:textId="2A4C3A6E" w:rsidR="00A06425" w:rsidRPr="00C02D65" w:rsidRDefault="00E775CF" w:rsidP="004D086F">
            <w:pPr>
              <w:spacing w:before="60" w:after="60"/>
              <w:jc w:val="center"/>
              <w:rPr>
                <w:rFonts w:asciiTheme="minorHAnsi" w:hAnsiTheme="minorHAnsi" w:cstheme="minorHAnsi"/>
                <w:b/>
                <w:bCs/>
                <w:sz w:val="22"/>
                <w:szCs w:val="22"/>
              </w:rPr>
            </w:pPr>
            <w:r w:rsidRPr="00C02D65">
              <w:rPr>
                <w:rFonts w:asciiTheme="minorHAnsi" w:hAnsiTheme="minorHAnsi" w:cstheme="minorHAnsi"/>
                <w:b/>
                <w:bCs/>
                <w:sz w:val="22"/>
                <w:szCs w:val="22"/>
              </w:rPr>
              <w:t>Ministerstwo Sprawiedliwości</w:t>
            </w:r>
          </w:p>
        </w:tc>
        <w:tc>
          <w:tcPr>
            <w:tcW w:w="1701" w:type="dxa"/>
            <w:shd w:val="clear" w:color="auto" w:fill="auto"/>
          </w:tcPr>
          <w:p w14:paraId="7700E0FA" w14:textId="66D74F2F" w:rsidR="00A06425" w:rsidRPr="00C02D65" w:rsidRDefault="00C63187" w:rsidP="004D086F">
            <w:pPr>
              <w:jc w:val="center"/>
              <w:rPr>
                <w:rFonts w:asciiTheme="minorHAnsi" w:hAnsiTheme="minorHAnsi" w:cstheme="minorHAnsi"/>
                <w:sz w:val="22"/>
                <w:szCs w:val="22"/>
              </w:rPr>
            </w:pPr>
            <w:r w:rsidRPr="00C02D65">
              <w:rPr>
                <w:rFonts w:asciiTheme="minorHAnsi" w:hAnsiTheme="minorHAnsi" w:cstheme="minorHAnsi"/>
                <w:sz w:val="22"/>
                <w:szCs w:val="22"/>
              </w:rPr>
              <w:t>Lista skrótów i definicji pkt 16</w:t>
            </w:r>
            <w:r w:rsidR="00BC6F96" w:rsidRPr="00C02D65">
              <w:rPr>
                <w:rFonts w:asciiTheme="minorHAnsi" w:hAnsiTheme="minorHAnsi" w:cstheme="minorHAnsi"/>
                <w:sz w:val="22"/>
                <w:szCs w:val="22"/>
              </w:rPr>
              <w:t xml:space="preserve"> zawartej w dokumencie </w:t>
            </w:r>
            <w:r w:rsidR="00163066" w:rsidRPr="00C02D65">
              <w:rPr>
                <w:rFonts w:asciiTheme="minorHAnsi" w:hAnsiTheme="minorHAnsi" w:cstheme="minorHAnsi"/>
                <w:sz w:val="22"/>
                <w:szCs w:val="22"/>
              </w:rPr>
              <w:t>Wersja</w:t>
            </w:r>
            <w:r w:rsidR="00BC6F96" w:rsidRPr="00C02D65">
              <w:rPr>
                <w:rFonts w:asciiTheme="minorHAnsi" w:hAnsiTheme="minorHAnsi" w:cstheme="minorHAnsi"/>
                <w:sz w:val="22"/>
                <w:szCs w:val="22"/>
              </w:rPr>
              <w:t xml:space="preserve"> 1.0 z 14.09.2023</w:t>
            </w:r>
          </w:p>
        </w:tc>
        <w:tc>
          <w:tcPr>
            <w:tcW w:w="4678" w:type="dxa"/>
            <w:shd w:val="clear" w:color="auto" w:fill="auto"/>
          </w:tcPr>
          <w:p w14:paraId="7600E9D6" w14:textId="3E2428E1" w:rsidR="00A06425" w:rsidRPr="00C02D65" w:rsidRDefault="00867FC7" w:rsidP="005A381C">
            <w:pPr>
              <w:jc w:val="both"/>
              <w:rPr>
                <w:rFonts w:asciiTheme="minorHAnsi" w:hAnsiTheme="minorHAnsi" w:cstheme="minorHAnsi"/>
                <w:sz w:val="22"/>
                <w:szCs w:val="22"/>
              </w:rPr>
            </w:pPr>
            <w:r w:rsidRPr="00C02D65">
              <w:rPr>
                <w:rFonts w:asciiTheme="minorHAnsi" w:hAnsiTheme="minorHAnsi" w:cstheme="minorHAnsi"/>
                <w:sz w:val="22"/>
                <w:szCs w:val="22"/>
              </w:rPr>
              <w:t xml:space="preserve">1) </w:t>
            </w:r>
            <w:r w:rsidR="00C63187" w:rsidRPr="00C02D65">
              <w:rPr>
                <w:rFonts w:asciiTheme="minorHAnsi" w:hAnsiTheme="minorHAnsi" w:cstheme="minorHAnsi"/>
                <w:sz w:val="22"/>
                <w:szCs w:val="22"/>
              </w:rPr>
              <w:t xml:space="preserve">Zdefiniowano tutaj „Podmiot”. </w:t>
            </w:r>
            <w:r w:rsidR="008F6C35" w:rsidRPr="00C02D65">
              <w:rPr>
                <w:rFonts w:asciiTheme="minorHAnsi" w:hAnsiTheme="minorHAnsi" w:cstheme="minorHAnsi"/>
                <w:sz w:val="22"/>
                <w:szCs w:val="22"/>
              </w:rPr>
              <w:t>Przyjęcie</w:t>
            </w:r>
            <w:r w:rsidR="00C63187" w:rsidRPr="00C02D65">
              <w:rPr>
                <w:rFonts w:asciiTheme="minorHAnsi" w:hAnsiTheme="minorHAnsi" w:cstheme="minorHAnsi"/>
                <w:sz w:val="22"/>
                <w:szCs w:val="22"/>
              </w:rPr>
              <w:t xml:space="preserve"> takiej nazwy </w:t>
            </w:r>
            <w:r w:rsidR="008F6C35" w:rsidRPr="00C02D65">
              <w:rPr>
                <w:rFonts w:asciiTheme="minorHAnsi" w:hAnsiTheme="minorHAnsi" w:cstheme="minorHAnsi"/>
                <w:sz w:val="22"/>
                <w:szCs w:val="22"/>
              </w:rPr>
              <w:t>nie jest optymalne. Osoby fizyczne także są podmiotami (praw i obowiązków</w:t>
            </w:r>
            <w:r w:rsidR="008E35D3" w:rsidRPr="00C02D65">
              <w:rPr>
                <w:rFonts w:asciiTheme="minorHAnsi" w:hAnsiTheme="minorHAnsi" w:cstheme="minorHAnsi"/>
                <w:sz w:val="22"/>
                <w:szCs w:val="22"/>
              </w:rPr>
              <w:t>). Problem ze stosowaniem terminu „Podmiot” (prawa) wystąpił już w opisie „Interesu faktycznego”, pod poz. 11 „Listy skrótów i definicji”.</w:t>
            </w:r>
          </w:p>
          <w:p w14:paraId="77C3DA77" w14:textId="7CB65955" w:rsidR="00436CED" w:rsidRPr="00C02D65" w:rsidRDefault="00867FC7" w:rsidP="005A381C">
            <w:pPr>
              <w:jc w:val="both"/>
              <w:rPr>
                <w:rFonts w:asciiTheme="minorHAnsi" w:hAnsiTheme="minorHAnsi" w:cstheme="minorHAnsi"/>
                <w:sz w:val="22"/>
                <w:szCs w:val="22"/>
              </w:rPr>
            </w:pPr>
            <w:r w:rsidRPr="00C02D65">
              <w:rPr>
                <w:rFonts w:asciiTheme="minorHAnsi" w:hAnsiTheme="minorHAnsi" w:cstheme="minorHAnsi"/>
                <w:sz w:val="22"/>
                <w:szCs w:val="22"/>
              </w:rPr>
              <w:t xml:space="preserve">2) </w:t>
            </w:r>
            <w:r w:rsidR="00436CED" w:rsidRPr="00C02D65">
              <w:rPr>
                <w:rFonts w:asciiTheme="minorHAnsi" w:hAnsiTheme="minorHAnsi" w:cstheme="minorHAnsi"/>
                <w:sz w:val="22"/>
                <w:szCs w:val="22"/>
              </w:rPr>
              <w:t xml:space="preserve">Nadto należy </w:t>
            </w:r>
            <w:r w:rsidR="006E4B5F" w:rsidRPr="00C02D65">
              <w:rPr>
                <w:rFonts w:asciiTheme="minorHAnsi" w:hAnsiTheme="minorHAnsi" w:cstheme="minorHAnsi"/>
                <w:sz w:val="22"/>
                <w:szCs w:val="22"/>
              </w:rPr>
              <w:t>wyjaśnić</w:t>
            </w:r>
            <w:r w:rsidR="00436CED" w:rsidRPr="00C02D65">
              <w:rPr>
                <w:rFonts w:asciiTheme="minorHAnsi" w:hAnsiTheme="minorHAnsi" w:cstheme="minorHAnsi"/>
                <w:sz w:val="22"/>
                <w:szCs w:val="22"/>
              </w:rPr>
              <w:t xml:space="preserve"> w zdaniu drugim definicji „zwrot: oraz </w:t>
            </w:r>
            <w:r w:rsidR="006E4B5F" w:rsidRPr="00C02D65">
              <w:rPr>
                <w:rFonts w:asciiTheme="minorHAnsi" w:hAnsiTheme="minorHAnsi" w:cstheme="minorHAnsi"/>
                <w:sz w:val="22"/>
                <w:szCs w:val="22"/>
              </w:rPr>
              <w:t>działalność</w:t>
            </w:r>
            <w:r w:rsidR="00436CED" w:rsidRPr="00C02D65">
              <w:rPr>
                <w:rFonts w:asciiTheme="minorHAnsi" w:hAnsiTheme="minorHAnsi" w:cstheme="minorHAnsi"/>
                <w:sz w:val="22"/>
                <w:szCs w:val="22"/>
              </w:rPr>
              <w:t xml:space="preserve"> gospodarcz</w:t>
            </w:r>
            <w:r w:rsidR="006E4B5F" w:rsidRPr="00C02D65">
              <w:rPr>
                <w:rFonts w:asciiTheme="minorHAnsi" w:hAnsiTheme="minorHAnsi" w:cstheme="minorHAnsi"/>
                <w:sz w:val="22"/>
                <w:szCs w:val="22"/>
              </w:rPr>
              <w:t>a osób fizycznych.”</w:t>
            </w:r>
          </w:p>
        </w:tc>
        <w:tc>
          <w:tcPr>
            <w:tcW w:w="3402" w:type="dxa"/>
            <w:shd w:val="clear" w:color="auto" w:fill="auto"/>
          </w:tcPr>
          <w:p w14:paraId="16C254D1" w14:textId="26BDD394" w:rsidR="00A06425" w:rsidRPr="00C02D65" w:rsidRDefault="00867FC7" w:rsidP="005A381C">
            <w:pPr>
              <w:jc w:val="both"/>
              <w:rPr>
                <w:rFonts w:asciiTheme="minorHAnsi" w:hAnsiTheme="minorHAnsi" w:cstheme="minorHAnsi"/>
                <w:sz w:val="22"/>
                <w:szCs w:val="22"/>
              </w:rPr>
            </w:pPr>
            <w:r w:rsidRPr="00C02D65">
              <w:rPr>
                <w:rFonts w:asciiTheme="minorHAnsi" w:hAnsiTheme="minorHAnsi" w:cstheme="minorHAnsi"/>
                <w:sz w:val="22"/>
                <w:szCs w:val="22"/>
              </w:rPr>
              <w:t xml:space="preserve">1) </w:t>
            </w:r>
            <w:r w:rsidR="00126CDF" w:rsidRPr="00C02D65">
              <w:rPr>
                <w:rFonts w:asciiTheme="minorHAnsi" w:hAnsiTheme="minorHAnsi" w:cstheme="minorHAnsi"/>
                <w:sz w:val="22"/>
                <w:szCs w:val="22"/>
              </w:rPr>
              <w:t>Skoro w pkt 15 definicji mowa jest o osobie fizycznej (która to niewątpliwie jest podmiotem) to dopełniającą kategorią winno być wskazanie na „osobę niebędącą osobą fizyczną”. Takie rozróżnienie nie generuje w/w wątpliwości i w warstwie znaczeniowej jest (w ocenie WRRS) znacząco bardziej czytelne.</w:t>
            </w:r>
          </w:p>
          <w:p w14:paraId="2FA10CFB" w14:textId="6F1E86C6" w:rsidR="006E4B5F" w:rsidRPr="00C02D65" w:rsidRDefault="00867FC7" w:rsidP="005A381C">
            <w:pPr>
              <w:jc w:val="both"/>
              <w:rPr>
                <w:rFonts w:asciiTheme="minorHAnsi" w:hAnsiTheme="minorHAnsi" w:cstheme="minorHAnsi"/>
                <w:sz w:val="22"/>
                <w:szCs w:val="22"/>
              </w:rPr>
            </w:pPr>
            <w:r w:rsidRPr="00C02D65">
              <w:rPr>
                <w:rFonts w:asciiTheme="minorHAnsi" w:hAnsiTheme="minorHAnsi" w:cstheme="minorHAnsi"/>
                <w:sz w:val="22"/>
                <w:szCs w:val="22"/>
              </w:rPr>
              <w:t xml:space="preserve">2) </w:t>
            </w:r>
            <w:r w:rsidR="006E4B5F" w:rsidRPr="00C02D65">
              <w:rPr>
                <w:rFonts w:asciiTheme="minorHAnsi" w:hAnsiTheme="minorHAnsi" w:cstheme="minorHAnsi"/>
                <w:sz w:val="22"/>
                <w:szCs w:val="22"/>
              </w:rPr>
              <w:t>Należy jednoznacznie przesądzić, czy przedsiębiorca wpisany do CEiDG NIE JEST JUŻ OSOBĄ FIZYCZNĄ (w rozumieniu definicji takiej osoby zawartej w pkt 15 „Listy skrótów i definicji”.</w:t>
            </w:r>
          </w:p>
        </w:tc>
        <w:tc>
          <w:tcPr>
            <w:tcW w:w="3769" w:type="dxa"/>
          </w:tcPr>
          <w:p w14:paraId="6E1C29EE" w14:textId="2351E9EB" w:rsidR="00F254E8" w:rsidRPr="00C02D65" w:rsidRDefault="00626D30" w:rsidP="007B1726">
            <w:pPr>
              <w:rPr>
                <w:rFonts w:asciiTheme="minorHAnsi" w:hAnsiTheme="minorHAnsi" w:cstheme="minorHAnsi"/>
                <w:b/>
                <w:sz w:val="22"/>
                <w:szCs w:val="22"/>
              </w:rPr>
            </w:pPr>
            <w:r w:rsidRPr="00C02D65">
              <w:rPr>
                <w:rFonts w:asciiTheme="minorHAnsi" w:hAnsiTheme="minorHAnsi" w:cstheme="minorHAnsi"/>
                <w:b/>
                <w:bCs/>
                <w:sz w:val="22"/>
                <w:szCs w:val="22"/>
              </w:rPr>
              <w:t>Wyjaśnienie</w:t>
            </w:r>
          </w:p>
          <w:p w14:paraId="4E2DD6D8" w14:textId="168AC079" w:rsidR="00CF4641" w:rsidRPr="00C02D65" w:rsidRDefault="00CF4641" w:rsidP="007B1726">
            <w:pPr>
              <w:rPr>
                <w:rFonts w:asciiTheme="minorHAnsi" w:hAnsiTheme="minorHAnsi" w:cstheme="minorHAnsi"/>
                <w:sz w:val="22"/>
                <w:szCs w:val="22"/>
              </w:rPr>
            </w:pPr>
            <w:r w:rsidRPr="00C02D65">
              <w:rPr>
                <w:rFonts w:asciiTheme="minorHAnsi" w:hAnsiTheme="minorHAnsi" w:cstheme="minorHAnsi"/>
                <w:sz w:val="22"/>
                <w:szCs w:val="22"/>
              </w:rPr>
              <w:t>Definicja pochodzi z definicji Podmiotu gospodarki narodowej z Ustawy o statystyce publicznej, gdzie do tego zakresu pojęcia wchodzi także osoba fizyczna prowadząca działalność narodową</w:t>
            </w:r>
            <w:r w:rsidR="00262479" w:rsidRPr="00C02D65">
              <w:rPr>
                <w:rFonts w:asciiTheme="minorHAnsi" w:hAnsiTheme="minorHAnsi" w:cstheme="minorHAnsi"/>
                <w:sz w:val="22"/>
                <w:szCs w:val="22"/>
              </w:rPr>
              <w:t xml:space="preserve">, jak w </w:t>
            </w:r>
            <w:r w:rsidR="00BB2B95" w:rsidRPr="00C02D65">
              <w:rPr>
                <w:rFonts w:asciiTheme="minorHAnsi" w:hAnsiTheme="minorHAnsi" w:cstheme="minorHAnsi"/>
                <w:sz w:val="22"/>
                <w:szCs w:val="22"/>
              </w:rPr>
              <w:t>definicji z konsultowanego dokumentu</w:t>
            </w:r>
            <w:r w:rsidRPr="00C02D65">
              <w:rPr>
                <w:rFonts w:asciiTheme="minorHAnsi" w:hAnsiTheme="minorHAnsi" w:cstheme="minorHAnsi"/>
                <w:sz w:val="22"/>
                <w:szCs w:val="22"/>
              </w:rPr>
              <w:t xml:space="preserve">. </w:t>
            </w:r>
          </w:p>
          <w:p w14:paraId="2115DFC1" w14:textId="3876EC80" w:rsidR="00262479" w:rsidRPr="00C02D65" w:rsidRDefault="00262479" w:rsidP="007B1726">
            <w:pPr>
              <w:rPr>
                <w:rFonts w:asciiTheme="minorHAnsi" w:hAnsiTheme="minorHAnsi" w:cstheme="minorHAnsi"/>
                <w:sz w:val="22"/>
                <w:szCs w:val="22"/>
              </w:rPr>
            </w:pPr>
          </w:p>
          <w:p w14:paraId="13382EF7" w14:textId="5F4DEB55" w:rsidR="00BB2B95" w:rsidRPr="00C02D65" w:rsidRDefault="00BB2B95" w:rsidP="00BB2B95">
            <w:pPr>
              <w:rPr>
                <w:rFonts w:asciiTheme="minorHAnsi" w:hAnsiTheme="minorHAnsi" w:cstheme="minorHAnsi"/>
                <w:sz w:val="22"/>
                <w:szCs w:val="22"/>
              </w:rPr>
            </w:pPr>
            <w:r w:rsidRPr="00C02D65">
              <w:rPr>
                <w:rFonts w:asciiTheme="minorHAnsi" w:hAnsiTheme="minorHAnsi" w:cstheme="minorHAnsi"/>
                <w:sz w:val="22"/>
                <w:szCs w:val="22"/>
              </w:rPr>
              <w:t>W AIP występuje także pojęcie Podmiot prawa.  Podmiot, a także Osoba fizyczna w AIP są specjalizacjami Podmiotu prawa (w ślad za standardem w3c).</w:t>
            </w:r>
          </w:p>
          <w:p w14:paraId="649E3D34" w14:textId="6573A728" w:rsidR="00CF4641" w:rsidRPr="00C02D65" w:rsidRDefault="00BB2B95" w:rsidP="007B1726">
            <w:pPr>
              <w:rPr>
                <w:rFonts w:asciiTheme="minorHAnsi" w:hAnsiTheme="minorHAnsi" w:cstheme="minorHAnsi"/>
                <w:sz w:val="22"/>
                <w:szCs w:val="22"/>
              </w:rPr>
            </w:pPr>
            <w:r w:rsidRPr="00C02D65">
              <w:rPr>
                <w:rFonts w:asciiTheme="minorHAnsi" w:hAnsiTheme="minorHAnsi" w:cstheme="minorHAnsi"/>
                <w:sz w:val="22"/>
                <w:szCs w:val="22"/>
              </w:rPr>
              <w:t xml:space="preserve"> Podmiot prawa</w:t>
            </w:r>
            <w:r w:rsidR="00262479" w:rsidRPr="00C02D65">
              <w:rPr>
                <w:rFonts w:asciiTheme="minorHAnsi" w:hAnsiTheme="minorHAnsi" w:cstheme="minorHAnsi"/>
                <w:sz w:val="22"/>
                <w:szCs w:val="22"/>
              </w:rPr>
              <w:t xml:space="preserve">  zdefiniowany jest </w:t>
            </w:r>
            <w:r w:rsidR="009A78A1" w:rsidRPr="00C02D65">
              <w:rPr>
                <w:rFonts w:asciiTheme="minorHAnsi" w:hAnsiTheme="minorHAnsi" w:cstheme="minorHAnsi"/>
                <w:sz w:val="22"/>
                <w:szCs w:val="22"/>
              </w:rPr>
              <w:t xml:space="preserve"> w AIP następująco</w:t>
            </w:r>
            <w:r w:rsidR="00262479" w:rsidRPr="00C02D65">
              <w:rPr>
                <w:rFonts w:asciiTheme="minorHAnsi" w:hAnsiTheme="minorHAnsi" w:cstheme="minorHAnsi"/>
                <w:sz w:val="22"/>
                <w:szCs w:val="22"/>
              </w:rPr>
              <w:t>:</w:t>
            </w:r>
          </w:p>
          <w:p w14:paraId="20C91BFC" w14:textId="104362B7" w:rsidR="00262479" w:rsidRPr="00C02D65" w:rsidRDefault="00262479" w:rsidP="00262479">
            <w:pPr>
              <w:rPr>
                <w:rFonts w:asciiTheme="minorHAnsi" w:hAnsiTheme="minorHAnsi" w:cstheme="minorHAnsi"/>
                <w:sz w:val="22"/>
                <w:szCs w:val="22"/>
              </w:rPr>
            </w:pPr>
            <w:r w:rsidRPr="00C02D65">
              <w:rPr>
                <w:rFonts w:asciiTheme="minorHAnsi" w:hAnsiTheme="minorHAnsi" w:cstheme="minorHAnsi"/>
                <w:sz w:val="22"/>
                <w:szCs w:val="22"/>
              </w:rPr>
              <w:t>„Każdy podmiot, który jest zdolny do bycia podmiotem praw i obowiązków w prawie cywilnym. </w:t>
            </w:r>
          </w:p>
          <w:p w14:paraId="5E435BFA" w14:textId="77777777" w:rsidR="00262479" w:rsidRPr="00C02D65" w:rsidRDefault="00262479" w:rsidP="00262479">
            <w:pPr>
              <w:rPr>
                <w:rFonts w:asciiTheme="minorHAnsi" w:hAnsiTheme="minorHAnsi" w:cstheme="minorHAnsi"/>
                <w:sz w:val="22"/>
                <w:szCs w:val="22"/>
              </w:rPr>
            </w:pPr>
            <w:r w:rsidRPr="00C02D65">
              <w:rPr>
                <w:rFonts w:asciiTheme="minorHAnsi" w:hAnsiTheme="minorHAnsi" w:cstheme="minorHAnsi"/>
                <w:sz w:val="22"/>
                <w:szCs w:val="22"/>
              </w:rPr>
              <w:t>Zdolność prawna jest atrybutem osób fizycznych, jednostek organizacyjnych będących osobami prawnymi (w szczególności Skarbu Państwa) oraz niebędących osobami prawnymi (np. spółki, stowarzyszenia), którym zdolność prawną nadają przepisy szczególne. Nie można się jej zrzec, pozbawić ani ograniczyć.</w:t>
            </w:r>
          </w:p>
          <w:p w14:paraId="584B91D9" w14:textId="47120074" w:rsidR="00262479" w:rsidRPr="00C02D65" w:rsidRDefault="00262479" w:rsidP="00262479">
            <w:pPr>
              <w:rPr>
                <w:rFonts w:asciiTheme="minorHAnsi" w:hAnsiTheme="minorHAnsi" w:cstheme="minorHAnsi"/>
                <w:sz w:val="22"/>
                <w:szCs w:val="22"/>
              </w:rPr>
            </w:pPr>
            <w:r w:rsidRPr="00C02D65">
              <w:rPr>
                <w:rFonts w:asciiTheme="minorHAnsi" w:hAnsiTheme="minorHAnsi" w:cstheme="minorHAnsi"/>
                <w:sz w:val="22"/>
                <w:szCs w:val="22"/>
              </w:rPr>
              <w:t>( Ang.: Agent - Any entity that is able to carry out actions (ISA2 CV), określa  podmiot, który jest zdolny do wykonywania działań).”</w:t>
            </w:r>
          </w:p>
          <w:p w14:paraId="4F8642DD" w14:textId="6F394774" w:rsidR="00BB2B95" w:rsidRPr="00C02D65" w:rsidRDefault="00BB2B95" w:rsidP="00262479">
            <w:pPr>
              <w:rPr>
                <w:rFonts w:asciiTheme="minorHAnsi" w:hAnsiTheme="minorHAnsi" w:cstheme="minorHAnsi"/>
                <w:sz w:val="22"/>
                <w:szCs w:val="22"/>
              </w:rPr>
            </w:pPr>
            <w:r w:rsidRPr="00C02D65">
              <w:rPr>
                <w:rFonts w:asciiTheme="minorHAnsi" w:hAnsiTheme="minorHAnsi" w:cstheme="minorHAnsi"/>
                <w:sz w:val="22"/>
                <w:szCs w:val="22"/>
              </w:rPr>
              <w:lastRenderedPageBreak/>
              <w:t>Podmiot prawa jest generalizacją  Osoby fizycznej i Podmiotu.</w:t>
            </w:r>
          </w:p>
          <w:p w14:paraId="03771DFD" w14:textId="77777777" w:rsidR="00BB2B95" w:rsidRPr="00C02D65" w:rsidRDefault="00BB2B95" w:rsidP="00262479">
            <w:pPr>
              <w:rPr>
                <w:rFonts w:asciiTheme="minorHAnsi" w:hAnsiTheme="minorHAnsi" w:cstheme="minorHAnsi"/>
                <w:sz w:val="22"/>
                <w:szCs w:val="22"/>
              </w:rPr>
            </w:pPr>
          </w:p>
          <w:p w14:paraId="18A831CB" w14:textId="3C77806A" w:rsidR="00262479" w:rsidRPr="00C02D65" w:rsidRDefault="00262479" w:rsidP="00262479">
            <w:pPr>
              <w:rPr>
                <w:rFonts w:asciiTheme="minorHAnsi" w:hAnsiTheme="minorHAnsi" w:cstheme="minorHAnsi"/>
                <w:sz w:val="22"/>
                <w:szCs w:val="22"/>
              </w:rPr>
            </w:pPr>
            <w:r w:rsidRPr="00C02D65">
              <w:rPr>
                <w:rFonts w:asciiTheme="minorHAnsi" w:hAnsiTheme="minorHAnsi" w:cstheme="minorHAnsi"/>
                <w:sz w:val="22"/>
                <w:szCs w:val="22"/>
              </w:rPr>
              <w:t>W konsultowanym dokumencie pojęcie to nie występuje, dlatego nie zostało umieszczone w słowniku.</w:t>
            </w:r>
          </w:p>
          <w:p w14:paraId="01E48F58" w14:textId="6F1AACE7" w:rsidR="00262479" w:rsidRPr="00C02D65" w:rsidRDefault="00262479" w:rsidP="00262479">
            <w:pPr>
              <w:rPr>
                <w:rFonts w:asciiTheme="minorHAnsi" w:hAnsiTheme="minorHAnsi" w:cstheme="minorHAnsi"/>
                <w:sz w:val="22"/>
                <w:szCs w:val="22"/>
              </w:rPr>
            </w:pPr>
            <w:r w:rsidRPr="00C02D65">
              <w:rPr>
                <w:rFonts w:asciiTheme="minorHAnsi" w:hAnsiTheme="minorHAnsi" w:cstheme="minorHAnsi"/>
                <w:sz w:val="22"/>
                <w:szCs w:val="22"/>
              </w:rPr>
              <w:t xml:space="preserve">Zostanie </w:t>
            </w:r>
            <w:r w:rsidR="00BB2B95" w:rsidRPr="00C02D65">
              <w:rPr>
                <w:rFonts w:asciiTheme="minorHAnsi" w:hAnsiTheme="minorHAnsi" w:cstheme="minorHAnsi"/>
                <w:sz w:val="22"/>
                <w:szCs w:val="22"/>
              </w:rPr>
              <w:t>umieszczone</w:t>
            </w:r>
            <w:r w:rsidRPr="00C02D65">
              <w:rPr>
                <w:rFonts w:asciiTheme="minorHAnsi" w:hAnsiTheme="minorHAnsi" w:cstheme="minorHAnsi"/>
                <w:sz w:val="22"/>
                <w:szCs w:val="22"/>
              </w:rPr>
              <w:t xml:space="preserve"> w opracowywanych aktualnie szczegółowych Rekomendacjach AIP w obszarze danych Podmiotu, które maja stanowić doszczegółowienie i doprecyzowanie konsultowanego ogólnego dokumentu.</w:t>
            </w:r>
          </w:p>
          <w:p w14:paraId="6D680E21" w14:textId="27C21F87" w:rsidR="00BB2B95" w:rsidRPr="00C02D65" w:rsidRDefault="00BB2B95" w:rsidP="00262479">
            <w:pPr>
              <w:rPr>
                <w:rFonts w:asciiTheme="minorHAnsi" w:hAnsiTheme="minorHAnsi" w:cstheme="minorHAnsi"/>
                <w:sz w:val="22"/>
                <w:szCs w:val="22"/>
              </w:rPr>
            </w:pPr>
          </w:p>
          <w:p w14:paraId="53B8D250" w14:textId="1ECEB0C1" w:rsidR="00BB2B95" w:rsidRPr="00C02D65" w:rsidRDefault="00BB2B95" w:rsidP="00BB2B95">
            <w:pPr>
              <w:rPr>
                <w:rFonts w:asciiTheme="minorHAnsi" w:hAnsiTheme="minorHAnsi" w:cstheme="minorHAnsi"/>
                <w:sz w:val="22"/>
                <w:szCs w:val="22"/>
              </w:rPr>
            </w:pPr>
            <w:r w:rsidRPr="00C02D65">
              <w:rPr>
                <w:rFonts w:asciiTheme="minorHAnsi" w:hAnsiTheme="minorHAnsi" w:cstheme="minorHAnsi"/>
                <w:sz w:val="22"/>
                <w:szCs w:val="22"/>
              </w:rPr>
              <w:t>Przedsiębiorca wpisany do CEIDG jest zarówno osobą fizyczną, jak i przedsiębiorcą, co za tym idzie podmiotem w rozumieniu definicji AIP.</w:t>
            </w:r>
          </w:p>
          <w:p w14:paraId="7A5FAF35" w14:textId="75765C74" w:rsidR="009A78A1" w:rsidRPr="00C02D65" w:rsidRDefault="009A78A1" w:rsidP="00BB2B95">
            <w:pPr>
              <w:rPr>
                <w:rFonts w:asciiTheme="minorHAnsi" w:hAnsiTheme="minorHAnsi" w:cstheme="minorHAnsi"/>
                <w:sz w:val="22"/>
                <w:szCs w:val="22"/>
              </w:rPr>
            </w:pPr>
            <w:r w:rsidRPr="00C02D65">
              <w:rPr>
                <w:rFonts w:asciiTheme="minorHAnsi" w:hAnsiTheme="minorHAnsi" w:cstheme="minorHAnsi"/>
                <w:sz w:val="22"/>
                <w:szCs w:val="22"/>
              </w:rPr>
              <w:t>Podobnie jak Lekarz jest zarówno osoba fizyczną, jak i  wykonującym zawód lekarza.</w:t>
            </w:r>
          </w:p>
          <w:p w14:paraId="74692758" w14:textId="77777777" w:rsidR="00BB2B95" w:rsidRPr="00C02D65" w:rsidRDefault="00BB2B95" w:rsidP="00BB2B95">
            <w:pPr>
              <w:rPr>
                <w:rFonts w:asciiTheme="minorHAnsi" w:hAnsiTheme="minorHAnsi" w:cstheme="minorHAnsi"/>
                <w:sz w:val="22"/>
                <w:szCs w:val="22"/>
              </w:rPr>
            </w:pPr>
          </w:p>
          <w:p w14:paraId="0E3DEACD" w14:textId="1A3A0D3E" w:rsidR="00CF4641" w:rsidRPr="00C02D65" w:rsidRDefault="00CF4641" w:rsidP="007B1726">
            <w:pPr>
              <w:rPr>
                <w:rFonts w:asciiTheme="minorHAnsi" w:hAnsiTheme="minorHAnsi" w:cstheme="minorHAnsi"/>
                <w:sz w:val="22"/>
                <w:szCs w:val="22"/>
              </w:rPr>
            </w:pPr>
            <w:r w:rsidRPr="00C02D65">
              <w:rPr>
                <w:rFonts w:asciiTheme="minorHAnsi" w:hAnsiTheme="minorHAnsi" w:cstheme="minorHAnsi"/>
                <w:sz w:val="22"/>
                <w:szCs w:val="22"/>
              </w:rPr>
              <w:t>Definicja Interesu faktycznego została usunięta.</w:t>
            </w:r>
          </w:p>
          <w:p w14:paraId="507BB580" w14:textId="0285F51D" w:rsidR="007B1726" w:rsidRPr="00C02D65" w:rsidRDefault="007B1726" w:rsidP="007B1726">
            <w:pPr>
              <w:rPr>
                <w:rFonts w:asciiTheme="minorHAnsi" w:hAnsiTheme="minorHAnsi" w:cstheme="minorHAnsi"/>
                <w:sz w:val="22"/>
                <w:szCs w:val="22"/>
              </w:rPr>
            </w:pPr>
          </w:p>
        </w:tc>
      </w:tr>
      <w:tr w:rsidR="00A06425" w:rsidRPr="00C02D65" w14:paraId="1E13DEDB" w14:textId="77777777" w:rsidTr="001B4ADE">
        <w:tc>
          <w:tcPr>
            <w:tcW w:w="562" w:type="dxa"/>
            <w:shd w:val="clear" w:color="auto" w:fill="auto"/>
          </w:tcPr>
          <w:p w14:paraId="48F3B1AA" w14:textId="122DC508" w:rsidR="00A06425" w:rsidRPr="00C02D65" w:rsidRDefault="00BC6F96" w:rsidP="00A06425">
            <w:pPr>
              <w:spacing w:before="120" w:after="120"/>
              <w:jc w:val="center"/>
              <w:rPr>
                <w:rFonts w:asciiTheme="minorHAnsi" w:hAnsiTheme="minorHAnsi" w:cstheme="minorHAnsi"/>
                <w:b/>
                <w:sz w:val="22"/>
                <w:szCs w:val="22"/>
              </w:rPr>
            </w:pPr>
            <w:r w:rsidRPr="00C02D65">
              <w:rPr>
                <w:rFonts w:asciiTheme="minorHAnsi" w:hAnsiTheme="minorHAnsi" w:cstheme="minorHAnsi"/>
                <w:b/>
                <w:sz w:val="22"/>
                <w:szCs w:val="22"/>
              </w:rPr>
              <w:lastRenderedPageBreak/>
              <w:t>4</w:t>
            </w:r>
          </w:p>
        </w:tc>
        <w:tc>
          <w:tcPr>
            <w:tcW w:w="1276" w:type="dxa"/>
            <w:shd w:val="clear" w:color="auto" w:fill="auto"/>
          </w:tcPr>
          <w:p w14:paraId="47F39AD4" w14:textId="0DB627D8" w:rsidR="00A06425" w:rsidRPr="00C02D65" w:rsidRDefault="00E775CF" w:rsidP="004D086F">
            <w:pPr>
              <w:spacing w:before="60" w:after="60"/>
              <w:jc w:val="center"/>
              <w:rPr>
                <w:rFonts w:asciiTheme="minorHAnsi" w:hAnsiTheme="minorHAnsi" w:cstheme="minorHAnsi"/>
                <w:b/>
                <w:bCs/>
                <w:sz w:val="22"/>
                <w:szCs w:val="22"/>
              </w:rPr>
            </w:pPr>
            <w:r w:rsidRPr="00C02D65">
              <w:rPr>
                <w:rFonts w:asciiTheme="minorHAnsi" w:hAnsiTheme="minorHAnsi" w:cstheme="minorHAnsi"/>
                <w:b/>
                <w:bCs/>
                <w:sz w:val="22"/>
                <w:szCs w:val="22"/>
              </w:rPr>
              <w:t>Ministerstwo Sprawiedliwości</w:t>
            </w:r>
          </w:p>
        </w:tc>
        <w:tc>
          <w:tcPr>
            <w:tcW w:w="1701" w:type="dxa"/>
            <w:shd w:val="clear" w:color="auto" w:fill="auto"/>
          </w:tcPr>
          <w:p w14:paraId="67878936" w14:textId="017308D4" w:rsidR="00A06425" w:rsidRPr="00C02D65" w:rsidRDefault="00B41563" w:rsidP="004D086F">
            <w:pPr>
              <w:jc w:val="center"/>
              <w:rPr>
                <w:rFonts w:asciiTheme="minorHAnsi" w:hAnsiTheme="minorHAnsi" w:cstheme="minorHAnsi"/>
                <w:sz w:val="22"/>
                <w:szCs w:val="22"/>
              </w:rPr>
            </w:pPr>
            <w:r w:rsidRPr="00C02D65">
              <w:rPr>
                <w:rFonts w:asciiTheme="minorHAnsi" w:hAnsiTheme="minorHAnsi" w:cstheme="minorHAnsi"/>
                <w:sz w:val="22"/>
                <w:szCs w:val="22"/>
              </w:rPr>
              <w:t>Lista skrótów i definicji pkt 11</w:t>
            </w:r>
            <w:r w:rsidR="00FF4AB1" w:rsidRPr="00C02D65">
              <w:rPr>
                <w:rFonts w:asciiTheme="minorHAnsi" w:hAnsiTheme="minorHAnsi" w:cstheme="minorHAnsi"/>
                <w:sz w:val="22"/>
                <w:szCs w:val="22"/>
              </w:rPr>
              <w:t xml:space="preserve"> zawartej w dokumencie </w:t>
            </w:r>
            <w:r w:rsidR="00163066" w:rsidRPr="00C02D65">
              <w:rPr>
                <w:rFonts w:asciiTheme="minorHAnsi" w:hAnsiTheme="minorHAnsi" w:cstheme="minorHAnsi"/>
                <w:sz w:val="22"/>
                <w:szCs w:val="22"/>
              </w:rPr>
              <w:t>Wersja</w:t>
            </w:r>
            <w:r w:rsidR="00FF4AB1" w:rsidRPr="00C02D65">
              <w:rPr>
                <w:rFonts w:asciiTheme="minorHAnsi" w:hAnsiTheme="minorHAnsi" w:cstheme="minorHAnsi"/>
                <w:sz w:val="22"/>
                <w:szCs w:val="22"/>
              </w:rPr>
              <w:t xml:space="preserve"> 1.0 z 14.09.2023</w:t>
            </w:r>
          </w:p>
        </w:tc>
        <w:tc>
          <w:tcPr>
            <w:tcW w:w="4678" w:type="dxa"/>
            <w:shd w:val="clear" w:color="auto" w:fill="auto"/>
          </w:tcPr>
          <w:p w14:paraId="3E35F4AE" w14:textId="77777777" w:rsidR="00A06425" w:rsidRPr="00C02D65" w:rsidRDefault="00B41563" w:rsidP="005A381C">
            <w:pPr>
              <w:jc w:val="both"/>
              <w:rPr>
                <w:rFonts w:asciiTheme="minorHAnsi" w:hAnsiTheme="minorHAnsi" w:cstheme="minorHAnsi"/>
                <w:sz w:val="22"/>
                <w:szCs w:val="22"/>
              </w:rPr>
            </w:pPr>
            <w:r w:rsidRPr="00C02D65">
              <w:rPr>
                <w:rFonts w:asciiTheme="minorHAnsi" w:hAnsiTheme="minorHAnsi" w:cstheme="minorHAnsi"/>
                <w:sz w:val="22"/>
                <w:szCs w:val="22"/>
              </w:rPr>
              <w:t>Tu wprowadzona definicja „Interesu prawnego”</w:t>
            </w:r>
            <w:r w:rsidR="00481728" w:rsidRPr="00C02D65">
              <w:rPr>
                <w:rFonts w:asciiTheme="minorHAnsi" w:hAnsiTheme="minorHAnsi" w:cstheme="minorHAnsi"/>
                <w:sz w:val="22"/>
                <w:szCs w:val="22"/>
              </w:rPr>
              <w:t xml:space="preserve"> </w:t>
            </w:r>
            <w:r w:rsidR="000223DA" w:rsidRPr="00C02D65">
              <w:rPr>
                <w:rFonts w:asciiTheme="minorHAnsi" w:hAnsiTheme="minorHAnsi" w:cstheme="minorHAnsi"/>
                <w:sz w:val="22"/>
                <w:szCs w:val="22"/>
              </w:rPr>
              <w:t>nie wydaje się ani przydatna w praktyce, ani poprawna teoretycznie.</w:t>
            </w:r>
          </w:p>
          <w:p w14:paraId="04542A08" w14:textId="77777777" w:rsidR="000223DA" w:rsidRPr="00C02D65" w:rsidRDefault="000223DA" w:rsidP="005A381C">
            <w:pPr>
              <w:jc w:val="both"/>
              <w:rPr>
                <w:rFonts w:asciiTheme="minorHAnsi" w:hAnsiTheme="minorHAnsi" w:cstheme="minorHAnsi"/>
                <w:sz w:val="22"/>
                <w:szCs w:val="22"/>
              </w:rPr>
            </w:pPr>
            <w:r w:rsidRPr="00C02D65">
              <w:rPr>
                <w:rFonts w:asciiTheme="minorHAnsi" w:hAnsiTheme="minorHAnsi" w:cstheme="minorHAnsi"/>
                <w:sz w:val="22"/>
                <w:szCs w:val="22"/>
              </w:rPr>
              <w:t>Należy zwrócić uwagę, iż sama definicja tu zastosowana nosi cechy tautologii. W definicji czytamy: „Interesem prawnym, jest bowiem interes…”</w:t>
            </w:r>
          </w:p>
          <w:p w14:paraId="55A7C06C" w14:textId="18B3836E" w:rsidR="000223DA" w:rsidRPr="00C02D65" w:rsidRDefault="000223DA" w:rsidP="005A381C">
            <w:pPr>
              <w:jc w:val="both"/>
              <w:rPr>
                <w:rFonts w:asciiTheme="minorHAnsi" w:hAnsiTheme="minorHAnsi" w:cstheme="minorHAnsi"/>
                <w:sz w:val="22"/>
                <w:szCs w:val="22"/>
              </w:rPr>
            </w:pPr>
            <w:r w:rsidRPr="00C02D65">
              <w:rPr>
                <w:rFonts w:asciiTheme="minorHAnsi" w:hAnsiTheme="minorHAnsi" w:cstheme="minorHAnsi"/>
                <w:sz w:val="22"/>
                <w:szCs w:val="22"/>
              </w:rPr>
              <w:t>Interes prawny jest inaczej rozumiany w prawie administracyjnym i w prawie cywilnym.</w:t>
            </w:r>
            <w:r w:rsidR="003C53B3" w:rsidRPr="00C02D65">
              <w:rPr>
                <w:rFonts w:asciiTheme="minorHAnsi" w:hAnsiTheme="minorHAnsi" w:cstheme="minorHAnsi"/>
                <w:sz w:val="22"/>
                <w:szCs w:val="22"/>
              </w:rPr>
              <w:t xml:space="preserve"> Może być rozumiany wąsko (</w:t>
            </w:r>
            <w:r w:rsidR="003C53B3" w:rsidRPr="00C02D65">
              <w:rPr>
                <w:rFonts w:ascii="Arial" w:hAnsi="Arial" w:cs="Arial"/>
                <w:color w:val="202122"/>
                <w:sz w:val="21"/>
                <w:szCs w:val="21"/>
                <w:shd w:val="clear" w:color="auto" w:fill="FFFFFF"/>
              </w:rPr>
              <w:t xml:space="preserve">sprowadzać się wyłącznie do treści prawa przedmiotowego) lub </w:t>
            </w:r>
            <w:r w:rsidR="003C53B3" w:rsidRPr="00C02D65">
              <w:rPr>
                <w:rFonts w:asciiTheme="minorHAnsi" w:hAnsiTheme="minorHAnsi" w:cstheme="minorHAnsi"/>
                <w:sz w:val="22"/>
                <w:szCs w:val="22"/>
              </w:rPr>
              <w:t>szeroko (</w:t>
            </w:r>
            <w:r w:rsidR="003C53B3" w:rsidRPr="00C02D65">
              <w:rPr>
                <w:rFonts w:ascii="Arial" w:hAnsi="Arial" w:cs="Arial"/>
                <w:color w:val="202122"/>
                <w:sz w:val="21"/>
                <w:szCs w:val="21"/>
                <w:shd w:val="clear" w:color="auto" w:fill="FFFFFF"/>
              </w:rPr>
              <w:t xml:space="preserve">sprowadzanym wyłącznie do treści prawa </w:t>
            </w:r>
            <w:r w:rsidR="003C53B3" w:rsidRPr="00C02D65">
              <w:rPr>
                <w:rFonts w:ascii="Arial" w:hAnsi="Arial" w:cs="Arial"/>
                <w:color w:val="202122"/>
                <w:sz w:val="21"/>
                <w:szCs w:val="21"/>
                <w:shd w:val="clear" w:color="auto" w:fill="FFFFFF"/>
              </w:rPr>
              <w:lastRenderedPageBreak/>
              <w:t>przedmiotowego, lub szeroko (w sposób uwzględniający ogólną sytuację prawną)</w:t>
            </w:r>
            <w:r w:rsidR="003C53B3" w:rsidRPr="00C02D65">
              <w:rPr>
                <w:rFonts w:asciiTheme="minorHAnsi" w:hAnsiTheme="minorHAnsi" w:cstheme="minorHAnsi"/>
                <w:sz w:val="22"/>
                <w:szCs w:val="22"/>
              </w:rPr>
              <w:t>.</w:t>
            </w:r>
          </w:p>
        </w:tc>
        <w:tc>
          <w:tcPr>
            <w:tcW w:w="3402" w:type="dxa"/>
            <w:shd w:val="clear" w:color="auto" w:fill="auto"/>
          </w:tcPr>
          <w:p w14:paraId="1F8DC6FA" w14:textId="3ABDA4DB" w:rsidR="00A06425" w:rsidRPr="00C02D65" w:rsidRDefault="000223DA" w:rsidP="005A381C">
            <w:pPr>
              <w:jc w:val="both"/>
              <w:rPr>
                <w:rFonts w:asciiTheme="minorHAnsi" w:hAnsiTheme="minorHAnsi" w:cstheme="minorHAnsi"/>
                <w:sz w:val="22"/>
                <w:szCs w:val="22"/>
              </w:rPr>
            </w:pPr>
            <w:r w:rsidRPr="00C02D65">
              <w:rPr>
                <w:rFonts w:asciiTheme="minorHAnsi" w:hAnsiTheme="minorHAnsi" w:cstheme="minorHAnsi"/>
                <w:sz w:val="22"/>
                <w:szCs w:val="22"/>
              </w:rPr>
              <w:lastRenderedPageBreak/>
              <w:t xml:space="preserve">Interes prawny jest przesłanką i jedną z podstawowych kategorii w prawie. </w:t>
            </w:r>
            <w:r w:rsidR="003C53B3" w:rsidRPr="00C02D65">
              <w:rPr>
                <w:rFonts w:asciiTheme="minorHAnsi" w:hAnsiTheme="minorHAnsi" w:cstheme="minorHAnsi"/>
                <w:sz w:val="22"/>
                <w:szCs w:val="22"/>
              </w:rPr>
              <w:t>Należy zweryfikować potrzebę konstruowania takiej definicji. Jeśli istnieje konieczność zawarcia definicji „Interesu prawnego” (co należy raz rozważyć) należy unikać powtórzenia termie: „interes”, które nie jest w samej definicji wyjaśnione.</w:t>
            </w:r>
          </w:p>
        </w:tc>
        <w:tc>
          <w:tcPr>
            <w:tcW w:w="3769" w:type="dxa"/>
          </w:tcPr>
          <w:p w14:paraId="0EF28D21" w14:textId="77777777" w:rsidR="0090089D" w:rsidRPr="00C02D65" w:rsidRDefault="0090089D" w:rsidP="007B1726">
            <w:pPr>
              <w:rPr>
                <w:rFonts w:asciiTheme="minorHAnsi" w:hAnsiTheme="minorHAnsi" w:cstheme="minorHAnsi"/>
                <w:b/>
                <w:sz w:val="22"/>
                <w:szCs w:val="22"/>
              </w:rPr>
            </w:pPr>
            <w:r w:rsidRPr="00C02D65">
              <w:rPr>
                <w:rFonts w:asciiTheme="minorHAnsi" w:hAnsiTheme="minorHAnsi" w:cstheme="minorHAnsi"/>
                <w:b/>
                <w:sz w:val="22"/>
                <w:szCs w:val="22"/>
              </w:rPr>
              <w:t>Uwaga uwzględniona.</w:t>
            </w:r>
          </w:p>
          <w:p w14:paraId="1D173333" w14:textId="3CDF3F6B" w:rsidR="007B1726" w:rsidRPr="00C02D65" w:rsidRDefault="0090089D" w:rsidP="007B1726">
            <w:pPr>
              <w:rPr>
                <w:rFonts w:asciiTheme="minorHAnsi" w:hAnsiTheme="minorHAnsi" w:cstheme="minorHAnsi"/>
                <w:sz w:val="22"/>
                <w:szCs w:val="22"/>
              </w:rPr>
            </w:pPr>
            <w:r w:rsidRPr="00C02D65">
              <w:rPr>
                <w:rFonts w:asciiTheme="minorHAnsi" w:hAnsiTheme="minorHAnsi" w:cstheme="minorHAnsi"/>
                <w:sz w:val="22"/>
                <w:szCs w:val="22"/>
              </w:rPr>
              <w:t>Definicja została usunięta ze słownika.</w:t>
            </w:r>
          </w:p>
        </w:tc>
      </w:tr>
      <w:tr w:rsidR="00E775CF" w:rsidRPr="00C02D65" w14:paraId="6CF214D8" w14:textId="77777777" w:rsidTr="001B4ADE">
        <w:tc>
          <w:tcPr>
            <w:tcW w:w="562" w:type="dxa"/>
            <w:shd w:val="clear" w:color="auto" w:fill="auto"/>
          </w:tcPr>
          <w:p w14:paraId="72C301A1" w14:textId="707730E1" w:rsidR="00E775CF" w:rsidRPr="00C02D65" w:rsidRDefault="00E775CF" w:rsidP="00A06425">
            <w:pPr>
              <w:spacing w:before="120" w:after="120"/>
              <w:jc w:val="center"/>
              <w:rPr>
                <w:rFonts w:asciiTheme="minorHAnsi" w:hAnsiTheme="minorHAnsi" w:cstheme="minorHAnsi"/>
                <w:b/>
                <w:sz w:val="22"/>
                <w:szCs w:val="22"/>
              </w:rPr>
            </w:pPr>
            <w:r w:rsidRPr="00C02D65">
              <w:rPr>
                <w:rFonts w:asciiTheme="minorHAnsi" w:hAnsiTheme="minorHAnsi" w:cstheme="minorHAnsi"/>
                <w:b/>
                <w:sz w:val="22"/>
                <w:szCs w:val="22"/>
              </w:rPr>
              <w:t>5</w:t>
            </w:r>
          </w:p>
        </w:tc>
        <w:tc>
          <w:tcPr>
            <w:tcW w:w="1276" w:type="dxa"/>
            <w:shd w:val="clear" w:color="auto" w:fill="auto"/>
          </w:tcPr>
          <w:p w14:paraId="3E225F92" w14:textId="72ABA19E" w:rsidR="00E775CF" w:rsidRPr="00C02D65" w:rsidRDefault="00E775CF" w:rsidP="004D086F">
            <w:pPr>
              <w:spacing w:before="60" w:after="60"/>
              <w:jc w:val="center"/>
              <w:rPr>
                <w:rFonts w:asciiTheme="minorHAnsi" w:hAnsiTheme="minorHAnsi" w:cstheme="minorHAnsi"/>
                <w:b/>
                <w:bCs/>
                <w:sz w:val="22"/>
                <w:szCs w:val="22"/>
              </w:rPr>
            </w:pPr>
            <w:r w:rsidRPr="00C02D65">
              <w:rPr>
                <w:rFonts w:asciiTheme="minorHAnsi" w:hAnsiTheme="minorHAnsi" w:cstheme="minorHAnsi"/>
                <w:b/>
                <w:bCs/>
                <w:sz w:val="22"/>
                <w:szCs w:val="22"/>
              </w:rPr>
              <w:t>Ministerstwo Sprawiedliwości</w:t>
            </w:r>
          </w:p>
        </w:tc>
        <w:tc>
          <w:tcPr>
            <w:tcW w:w="1701" w:type="dxa"/>
            <w:shd w:val="clear" w:color="auto" w:fill="auto"/>
          </w:tcPr>
          <w:p w14:paraId="47B93509" w14:textId="4610AD4E" w:rsidR="00E775CF" w:rsidRPr="00C02D65" w:rsidRDefault="00E775CF" w:rsidP="004D086F">
            <w:pPr>
              <w:jc w:val="center"/>
              <w:rPr>
                <w:rFonts w:asciiTheme="minorHAnsi" w:hAnsiTheme="minorHAnsi" w:cstheme="minorHAnsi"/>
                <w:sz w:val="22"/>
                <w:szCs w:val="22"/>
              </w:rPr>
            </w:pPr>
            <w:r w:rsidRPr="00C02D65">
              <w:rPr>
                <w:rFonts w:asciiTheme="minorHAnsi" w:hAnsiTheme="minorHAnsi" w:cstheme="minorHAnsi"/>
                <w:sz w:val="22"/>
                <w:szCs w:val="22"/>
              </w:rPr>
              <w:t>11. e.</w:t>
            </w:r>
          </w:p>
        </w:tc>
        <w:tc>
          <w:tcPr>
            <w:tcW w:w="4678" w:type="dxa"/>
            <w:shd w:val="clear" w:color="auto" w:fill="auto"/>
          </w:tcPr>
          <w:p w14:paraId="273481AC" w14:textId="3211653F" w:rsidR="00E775CF" w:rsidRPr="00C02D65" w:rsidRDefault="00E775CF" w:rsidP="005A381C">
            <w:pPr>
              <w:jc w:val="both"/>
              <w:rPr>
                <w:rFonts w:asciiTheme="minorHAnsi" w:hAnsiTheme="minorHAnsi" w:cstheme="minorHAnsi"/>
                <w:sz w:val="22"/>
                <w:szCs w:val="22"/>
              </w:rPr>
            </w:pPr>
            <w:r w:rsidRPr="00C02D65">
              <w:rPr>
                <w:rFonts w:asciiTheme="minorHAnsi" w:hAnsiTheme="minorHAnsi" w:cstheme="minorHAnsi"/>
                <w:sz w:val="22"/>
                <w:szCs w:val="22"/>
              </w:rPr>
              <w:t>Uwaga porządkowa dotycząca numeracji podpunktów. Zaczyna się od „v”, powinna zaczynać się od „i”.</w:t>
            </w:r>
          </w:p>
        </w:tc>
        <w:tc>
          <w:tcPr>
            <w:tcW w:w="3402" w:type="dxa"/>
            <w:shd w:val="clear" w:color="auto" w:fill="auto"/>
          </w:tcPr>
          <w:p w14:paraId="245F7070" w14:textId="472D17CA" w:rsidR="00E775CF" w:rsidRPr="00C02D65" w:rsidRDefault="00E775CF" w:rsidP="005A381C">
            <w:pPr>
              <w:jc w:val="both"/>
              <w:rPr>
                <w:rFonts w:asciiTheme="minorHAnsi" w:hAnsiTheme="minorHAnsi" w:cstheme="minorHAnsi"/>
                <w:sz w:val="22"/>
                <w:szCs w:val="22"/>
              </w:rPr>
            </w:pPr>
            <w:r w:rsidRPr="00C02D65">
              <w:rPr>
                <w:rFonts w:asciiTheme="minorHAnsi" w:hAnsiTheme="minorHAnsi" w:cstheme="minorHAnsi"/>
                <w:sz w:val="22"/>
                <w:szCs w:val="22"/>
              </w:rPr>
              <w:t>Numeracja zaczyna się od „v”, powinna zaczynać się od „i”.</w:t>
            </w:r>
          </w:p>
        </w:tc>
        <w:tc>
          <w:tcPr>
            <w:tcW w:w="3769" w:type="dxa"/>
          </w:tcPr>
          <w:p w14:paraId="37504388" w14:textId="77777777" w:rsidR="0090089D" w:rsidRPr="00C02D65" w:rsidRDefault="0090089D" w:rsidP="0090089D">
            <w:pPr>
              <w:rPr>
                <w:rFonts w:asciiTheme="minorHAnsi" w:hAnsiTheme="minorHAnsi" w:cstheme="minorHAnsi"/>
                <w:b/>
                <w:sz w:val="22"/>
                <w:szCs w:val="22"/>
              </w:rPr>
            </w:pPr>
            <w:r w:rsidRPr="00C02D65">
              <w:rPr>
                <w:rFonts w:asciiTheme="minorHAnsi" w:hAnsiTheme="minorHAnsi" w:cstheme="minorHAnsi"/>
                <w:b/>
                <w:sz w:val="22"/>
                <w:szCs w:val="22"/>
              </w:rPr>
              <w:t>Uwaga uwzględniona.</w:t>
            </w:r>
          </w:p>
          <w:p w14:paraId="7C694111" w14:textId="1093DE31" w:rsidR="00E775CF" w:rsidRPr="00C02D65" w:rsidRDefault="0090089D" w:rsidP="0090089D">
            <w:pPr>
              <w:rPr>
                <w:rFonts w:asciiTheme="minorHAnsi" w:hAnsiTheme="minorHAnsi" w:cstheme="minorHAnsi"/>
                <w:sz w:val="22"/>
                <w:szCs w:val="22"/>
              </w:rPr>
            </w:pPr>
            <w:r w:rsidRPr="00C02D65">
              <w:rPr>
                <w:rFonts w:asciiTheme="minorHAnsi" w:hAnsiTheme="minorHAnsi" w:cstheme="minorHAnsi"/>
                <w:sz w:val="22"/>
                <w:szCs w:val="22"/>
              </w:rPr>
              <w:t>Numeracja została skorygowana.</w:t>
            </w:r>
          </w:p>
        </w:tc>
      </w:tr>
      <w:tr w:rsidR="00E775CF" w:rsidRPr="00C02D65" w14:paraId="6EC17AD1" w14:textId="77777777" w:rsidTr="001B4ADE">
        <w:tc>
          <w:tcPr>
            <w:tcW w:w="562" w:type="dxa"/>
            <w:shd w:val="clear" w:color="auto" w:fill="auto"/>
          </w:tcPr>
          <w:p w14:paraId="68602865" w14:textId="279B240C" w:rsidR="00E775CF" w:rsidRPr="00C02D65" w:rsidRDefault="00E775CF" w:rsidP="00A06425">
            <w:pPr>
              <w:spacing w:before="120" w:after="120"/>
              <w:jc w:val="center"/>
              <w:rPr>
                <w:rFonts w:asciiTheme="minorHAnsi" w:hAnsiTheme="minorHAnsi" w:cstheme="minorHAnsi"/>
                <w:b/>
                <w:sz w:val="22"/>
                <w:szCs w:val="22"/>
              </w:rPr>
            </w:pPr>
            <w:r w:rsidRPr="00C02D65">
              <w:rPr>
                <w:rFonts w:asciiTheme="minorHAnsi" w:hAnsiTheme="minorHAnsi" w:cstheme="minorHAnsi"/>
                <w:b/>
                <w:sz w:val="22"/>
                <w:szCs w:val="22"/>
              </w:rPr>
              <w:t>6</w:t>
            </w:r>
          </w:p>
        </w:tc>
        <w:tc>
          <w:tcPr>
            <w:tcW w:w="1276" w:type="dxa"/>
            <w:shd w:val="clear" w:color="auto" w:fill="auto"/>
          </w:tcPr>
          <w:p w14:paraId="4BFA916B" w14:textId="3BBC8193" w:rsidR="00E775CF" w:rsidRPr="00C02D65" w:rsidRDefault="00E775CF" w:rsidP="004D086F">
            <w:pPr>
              <w:spacing w:before="60" w:after="60"/>
              <w:jc w:val="center"/>
              <w:rPr>
                <w:rFonts w:asciiTheme="minorHAnsi" w:hAnsiTheme="minorHAnsi" w:cstheme="minorHAnsi"/>
                <w:b/>
                <w:bCs/>
                <w:sz w:val="22"/>
                <w:szCs w:val="22"/>
              </w:rPr>
            </w:pPr>
            <w:r w:rsidRPr="00C02D65">
              <w:rPr>
                <w:rFonts w:asciiTheme="minorHAnsi" w:hAnsiTheme="minorHAnsi" w:cstheme="minorHAnsi"/>
                <w:b/>
                <w:bCs/>
                <w:sz w:val="22"/>
                <w:szCs w:val="22"/>
              </w:rPr>
              <w:t>Ministerstwo Sprawiedliwości</w:t>
            </w:r>
          </w:p>
        </w:tc>
        <w:tc>
          <w:tcPr>
            <w:tcW w:w="1701" w:type="dxa"/>
            <w:shd w:val="clear" w:color="auto" w:fill="auto"/>
          </w:tcPr>
          <w:p w14:paraId="66A990D5" w14:textId="31414ED6" w:rsidR="00E775CF" w:rsidRPr="00C02D65" w:rsidRDefault="00E775CF" w:rsidP="004D086F">
            <w:pPr>
              <w:jc w:val="center"/>
              <w:rPr>
                <w:rFonts w:asciiTheme="minorHAnsi" w:hAnsiTheme="minorHAnsi" w:cstheme="minorHAnsi"/>
                <w:sz w:val="22"/>
                <w:szCs w:val="22"/>
              </w:rPr>
            </w:pPr>
            <w:r w:rsidRPr="00C02D65">
              <w:rPr>
                <w:rFonts w:asciiTheme="minorHAnsi" w:hAnsiTheme="minorHAnsi" w:cstheme="minorHAnsi"/>
                <w:sz w:val="22"/>
                <w:szCs w:val="22"/>
              </w:rPr>
              <w:t>13. e.</w:t>
            </w:r>
          </w:p>
        </w:tc>
        <w:tc>
          <w:tcPr>
            <w:tcW w:w="4678" w:type="dxa"/>
            <w:shd w:val="clear" w:color="auto" w:fill="auto"/>
          </w:tcPr>
          <w:p w14:paraId="122628DA" w14:textId="488728F8" w:rsidR="00E775CF" w:rsidRPr="00C02D65" w:rsidRDefault="00E775CF" w:rsidP="005A381C">
            <w:pPr>
              <w:jc w:val="both"/>
              <w:rPr>
                <w:rFonts w:asciiTheme="minorHAnsi" w:hAnsiTheme="minorHAnsi" w:cstheme="minorHAnsi"/>
                <w:sz w:val="22"/>
                <w:szCs w:val="22"/>
              </w:rPr>
            </w:pPr>
            <w:r w:rsidRPr="00C02D65">
              <w:rPr>
                <w:rFonts w:asciiTheme="minorHAnsi" w:hAnsiTheme="minorHAnsi" w:cstheme="minorHAnsi"/>
                <w:sz w:val="22"/>
                <w:szCs w:val="22"/>
              </w:rPr>
              <w:t>Należy pamiętać, że rejestry typu: rejestr dłużników, rejestr karny zawierają informacje o osobach fizycznych i podmiotach, które nie są zainteresowane aktualizacją swoich danych dążąc do bycia zapomnianym. Niezwykle trudne jest zapewnienie wypełnienia takiego obowiązku przez takie osoby i podmioty formułując przepis obligujący do takich działań.</w:t>
            </w:r>
          </w:p>
        </w:tc>
        <w:tc>
          <w:tcPr>
            <w:tcW w:w="3402" w:type="dxa"/>
            <w:shd w:val="clear" w:color="auto" w:fill="auto"/>
          </w:tcPr>
          <w:p w14:paraId="5CF9F521" w14:textId="7A031B06" w:rsidR="00E775CF" w:rsidRPr="00C02D65" w:rsidRDefault="00E775CF" w:rsidP="005A381C">
            <w:pPr>
              <w:jc w:val="both"/>
              <w:rPr>
                <w:rFonts w:asciiTheme="minorHAnsi" w:hAnsiTheme="minorHAnsi" w:cstheme="minorHAnsi"/>
                <w:sz w:val="22"/>
                <w:szCs w:val="22"/>
              </w:rPr>
            </w:pPr>
            <w:r w:rsidRPr="00C02D65">
              <w:rPr>
                <w:rFonts w:asciiTheme="minorHAnsi" w:hAnsiTheme="minorHAnsi" w:cstheme="minorHAnsi"/>
                <w:sz w:val="22"/>
                <w:szCs w:val="22"/>
              </w:rPr>
              <w:t>W zdaniu „Przy projektowaniu przepisów dotyczących rejestrów należy zapewnić” zastąpić słowo „zapewnić” sformułowaniem „dążyć do zapewnienia”.</w:t>
            </w:r>
          </w:p>
        </w:tc>
        <w:tc>
          <w:tcPr>
            <w:tcW w:w="3769" w:type="dxa"/>
          </w:tcPr>
          <w:p w14:paraId="3CA49B18" w14:textId="77777777" w:rsidR="0090089D" w:rsidRPr="00C02D65" w:rsidRDefault="0090089D" w:rsidP="0090089D">
            <w:pPr>
              <w:rPr>
                <w:rFonts w:asciiTheme="minorHAnsi" w:hAnsiTheme="minorHAnsi" w:cstheme="minorHAnsi"/>
                <w:b/>
                <w:sz w:val="22"/>
                <w:szCs w:val="22"/>
              </w:rPr>
            </w:pPr>
            <w:r w:rsidRPr="00C02D65">
              <w:rPr>
                <w:rFonts w:asciiTheme="minorHAnsi" w:hAnsiTheme="minorHAnsi" w:cstheme="minorHAnsi"/>
                <w:b/>
                <w:sz w:val="22"/>
                <w:szCs w:val="22"/>
              </w:rPr>
              <w:t>Uwaga uwzględniona.</w:t>
            </w:r>
          </w:p>
          <w:p w14:paraId="7C3DED31" w14:textId="23B59A54" w:rsidR="00E775CF" w:rsidRPr="00C02D65" w:rsidRDefault="0090089D" w:rsidP="0090089D">
            <w:pPr>
              <w:rPr>
                <w:rFonts w:asciiTheme="minorHAnsi" w:hAnsiTheme="minorHAnsi" w:cstheme="minorHAnsi"/>
                <w:sz w:val="22"/>
                <w:szCs w:val="22"/>
              </w:rPr>
            </w:pPr>
            <w:r w:rsidRPr="00C02D65">
              <w:rPr>
                <w:rFonts w:asciiTheme="minorHAnsi" w:hAnsiTheme="minorHAnsi" w:cstheme="minorHAnsi"/>
                <w:sz w:val="22"/>
                <w:szCs w:val="22"/>
              </w:rPr>
              <w:t>Sformułowanie zostało zmienione.</w:t>
            </w:r>
          </w:p>
        </w:tc>
      </w:tr>
      <w:tr w:rsidR="00E775CF" w:rsidRPr="00A06425" w14:paraId="6E1DB82E" w14:textId="77777777" w:rsidTr="001B4ADE">
        <w:tc>
          <w:tcPr>
            <w:tcW w:w="562" w:type="dxa"/>
            <w:shd w:val="clear" w:color="auto" w:fill="auto"/>
          </w:tcPr>
          <w:p w14:paraId="12B309A0" w14:textId="587E7AC7" w:rsidR="00E775CF" w:rsidRPr="00C02D65" w:rsidRDefault="00296861" w:rsidP="00A06425">
            <w:pPr>
              <w:spacing w:before="120" w:after="120"/>
              <w:jc w:val="center"/>
              <w:rPr>
                <w:rFonts w:asciiTheme="minorHAnsi" w:hAnsiTheme="minorHAnsi" w:cstheme="minorHAnsi"/>
                <w:b/>
                <w:sz w:val="22"/>
                <w:szCs w:val="22"/>
              </w:rPr>
            </w:pPr>
            <w:r w:rsidRPr="00C02D65">
              <w:rPr>
                <w:rFonts w:asciiTheme="minorHAnsi" w:hAnsiTheme="minorHAnsi" w:cstheme="minorHAnsi"/>
                <w:b/>
                <w:sz w:val="22"/>
                <w:szCs w:val="22"/>
              </w:rPr>
              <w:t>7</w:t>
            </w:r>
          </w:p>
        </w:tc>
        <w:tc>
          <w:tcPr>
            <w:tcW w:w="1276" w:type="dxa"/>
            <w:shd w:val="clear" w:color="auto" w:fill="auto"/>
          </w:tcPr>
          <w:p w14:paraId="7984E7CF" w14:textId="32A834E8" w:rsidR="00E775CF" w:rsidRPr="00C02D65" w:rsidRDefault="00E775CF" w:rsidP="004D086F">
            <w:pPr>
              <w:spacing w:before="60" w:after="60"/>
              <w:jc w:val="center"/>
              <w:rPr>
                <w:rFonts w:asciiTheme="minorHAnsi" w:hAnsiTheme="minorHAnsi" w:cstheme="minorHAnsi"/>
                <w:b/>
                <w:bCs/>
                <w:sz w:val="22"/>
                <w:szCs w:val="22"/>
              </w:rPr>
            </w:pPr>
            <w:r w:rsidRPr="00C02D65">
              <w:rPr>
                <w:rFonts w:asciiTheme="minorHAnsi" w:hAnsiTheme="minorHAnsi" w:cstheme="minorHAnsi"/>
                <w:b/>
                <w:bCs/>
                <w:sz w:val="22"/>
                <w:szCs w:val="22"/>
              </w:rPr>
              <w:t>Ministerstwo Sprawiedliwości</w:t>
            </w:r>
          </w:p>
        </w:tc>
        <w:tc>
          <w:tcPr>
            <w:tcW w:w="1701" w:type="dxa"/>
            <w:shd w:val="clear" w:color="auto" w:fill="auto"/>
          </w:tcPr>
          <w:p w14:paraId="7ABDEDBD" w14:textId="317AEAA8" w:rsidR="00E775CF" w:rsidRPr="00C02D65" w:rsidRDefault="00E775CF" w:rsidP="004D086F">
            <w:pPr>
              <w:jc w:val="center"/>
              <w:rPr>
                <w:rFonts w:asciiTheme="minorHAnsi" w:hAnsiTheme="minorHAnsi" w:cstheme="minorHAnsi"/>
                <w:sz w:val="22"/>
                <w:szCs w:val="22"/>
              </w:rPr>
            </w:pPr>
            <w:r w:rsidRPr="00C02D65">
              <w:rPr>
                <w:rFonts w:asciiTheme="minorHAnsi" w:hAnsiTheme="minorHAnsi" w:cstheme="minorHAnsi"/>
                <w:sz w:val="22"/>
                <w:szCs w:val="22"/>
              </w:rPr>
              <w:t>18. d. iv.</w:t>
            </w:r>
          </w:p>
        </w:tc>
        <w:tc>
          <w:tcPr>
            <w:tcW w:w="4678" w:type="dxa"/>
            <w:shd w:val="clear" w:color="auto" w:fill="auto"/>
          </w:tcPr>
          <w:p w14:paraId="635665B7" w14:textId="010EFAED" w:rsidR="00E775CF" w:rsidRPr="00C02D65" w:rsidRDefault="00E775CF" w:rsidP="005A381C">
            <w:pPr>
              <w:jc w:val="both"/>
              <w:rPr>
                <w:rFonts w:asciiTheme="minorHAnsi" w:hAnsiTheme="minorHAnsi" w:cstheme="minorHAnsi"/>
                <w:sz w:val="22"/>
                <w:szCs w:val="22"/>
              </w:rPr>
            </w:pPr>
            <w:r w:rsidRPr="00C02D65">
              <w:rPr>
                <w:rFonts w:asciiTheme="minorHAnsi" w:hAnsiTheme="minorHAnsi" w:cstheme="minorHAnsi"/>
                <w:sz w:val="22"/>
                <w:szCs w:val="22"/>
              </w:rPr>
              <w:t>Nadawanie numeru PESEL z urzędu będzie wymagało stworzenia interfejsu z innych rejestrów, w których mają być gromadzone dane osób nie posiadających tego identyfikatora i braku obecnie podstawy prawnej do jego nadania.</w:t>
            </w:r>
          </w:p>
        </w:tc>
        <w:tc>
          <w:tcPr>
            <w:tcW w:w="3402" w:type="dxa"/>
            <w:shd w:val="clear" w:color="auto" w:fill="auto"/>
          </w:tcPr>
          <w:p w14:paraId="048919A4" w14:textId="71EB71BC" w:rsidR="00E775CF" w:rsidRPr="00C02D65" w:rsidRDefault="00E775CF" w:rsidP="005A381C">
            <w:pPr>
              <w:jc w:val="both"/>
              <w:rPr>
                <w:rFonts w:asciiTheme="minorHAnsi" w:hAnsiTheme="minorHAnsi" w:cstheme="minorHAnsi"/>
                <w:sz w:val="22"/>
                <w:szCs w:val="22"/>
              </w:rPr>
            </w:pPr>
            <w:r w:rsidRPr="00C02D65">
              <w:rPr>
                <w:rFonts w:asciiTheme="minorHAnsi" w:hAnsiTheme="minorHAnsi" w:cstheme="minorHAnsi"/>
                <w:sz w:val="22"/>
                <w:szCs w:val="22"/>
              </w:rPr>
              <w:t>Proponuje się dodanie na końcu podpunktu iv zdania. „Powinna zostać udostępniona usługa nadawania numeru PESEL z urzędu do wykorzystania przez systemy inne niż SRP obsługujące rejestry urzędowe.”</w:t>
            </w:r>
          </w:p>
        </w:tc>
        <w:tc>
          <w:tcPr>
            <w:tcW w:w="3769" w:type="dxa"/>
          </w:tcPr>
          <w:p w14:paraId="118D5909" w14:textId="563BDDD6" w:rsidR="00315015" w:rsidRPr="00C02D65" w:rsidRDefault="00315015" w:rsidP="00315015">
            <w:pPr>
              <w:rPr>
                <w:rFonts w:asciiTheme="minorHAnsi" w:eastAsiaTheme="minorHAnsi" w:hAnsiTheme="minorHAnsi" w:cstheme="minorHAnsi"/>
                <w:sz w:val="22"/>
                <w:szCs w:val="22"/>
                <w:lang w:eastAsia="en-US"/>
              </w:rPr>
            </w:pPr>
            <w:r w:rsidRPr="00C02D65">
              <w:rPr>
                <w:rFonts w:asciiTheme="minorHAnsi" w:eastAsiaTheme="minorHAnsi" w:hAnsiTheme="minorHAnsi" w:cstheme="minorHAnsi"/>
                <w:b/>
                <w:bCs/>
                <w:sz w:val="22"/>
                <w:szCs w:val="22"/>
                <w:lang w:eastAsia="en-US"/>
              </w:rPr>
              <w:t>Zapis rekomendacji został skorygowany</w:t>
            </w:r>
            <w:r w:rsidRPr="00C02D65">
              <w:rPr>
                <w:rFonts w:asciiTheme="minorHAnsi" w:eastAsiaTheme="minorHAnsi" w:hAnsiTheme="minorHAnsi" w:cstheme="minorHAnsi"/>
                <w:sz w:val="22"/>
                <w:szCs w:val="22"/>
                <w:lang w:eastAsia="en-US"/>
              </w:rPr>
              <w:t xml:space="preserve"> w poniższy sposób, biorąc także </w:t>
            </w:r>
            <w:r w:rsidR="003C648D" w:rsidRPr="00C02D65">
              <w:rPr>
                <w:rFonts w:asciiTheme="minorHAnsi" w:eastAsiaTheme="minorHAnsi" w:hAnsiTheme="minorHAnsi" w:cstheme="minorHAnsi"/>
                <w:sz w:val="22"/>
                <w:szCs w:val="22"/>
                <w:lang w:eastAsia="en-US"/>
              </w:rPr>
              <w:t xml:space="preserve">pod </w:t>
            </w:r>
            <w:r w:rsidRPr="00C02D65">
              <w:rPr>
                <w:rFonts w:asciiTheme="minorHAnsi" w:eastAsiaTheme="minorHAnsi" w:hAnsiTheme="minorHAnsi" w:cstheme="minorHAnsi"/>
                <w:sz w:val="22"/>
                <w:szCs w:val="22"/>
                <w:lang w:eastAsia="en-US"/>
              </w:rPr>
              <w:t>rozwagę uwagę RCL do tego punktu:</w:t>
            </w:r>
          </w:p>
          <w:p w14:paraId="51BA4FB4" w14:textId="77777777" w:rsidR="003C648D" w:rsidRPr="00C02D65" w:rsidRDefault="003C648D" w:rsidP="00315015">
            <w:pPr>
              <w:rPr>
                <w:rFonts w:asciiTheme="minorHAnsi" w:eastAsiaTheme="minorHAnsi" w:hAnsiTheme="minorHAnsi" w:cstheme="minorHAnsi"/>
                <w:sz w:val="22"/>
                <w:szCs w:val="22"/>
                <w:lang w:eastAsia="en-US"/>
              </w:rPr>
            </w:pPr>
          </w:p>
          <w:p w14:paraId="18A80F90" w14:textId="77777777" w:rsidR="00693B29" w:rsidRPr="00C02D65" w:rsidRDefault="00315015" w:rsidP="007B1726">
            <w:r w:rsidRPr="00C02D65">
              <w:rPr>
                <w:rFonts w:asciiTheme="minorHAnsi" w:eastAsiaTheme="minorHAnsi" w:hAnsiTheme="minorHAnsi" w:cstheme="minorHAnsi"/>
                <w:sz w:val="22"/>
                <w:szCs w:val="22"/>
                <w:lang w:eastAsia="en-US"/>
              </w:rPr>
              <w:t>„Jeśli w tworzonym rejestrze mają być gromadzone dane cudzoziemców, a jednocześnie obecne prawo (w szczególności ustawa o ewidencji ludności) nie uprawnia do nadania numeru PESEL temu cudzoziemcowi, to w akcie prawnym konstytuującym tworzony rejestr należy zobowiązać cudzoziemca do uzyskania numeru PESEL. To, zgodnie z ustawą o ewidencji ludności umożliwi nadanie mu numeru PESEL</w:t>
            </w:r>
            <w:r w:rsidRPr="00C02D65">
              <w:rPr>
                <w:rFonts w:asciiTheme="minorHAnsi" w:eastAsiaTheme="minorHAnsi" w:hAnsiTheme="minorHAnsi" w:cstheme="minorHAnsi"/>
                <w:sz w:val="22"/>
                <w:szCs w:val="22"/>
                <w:vertAlign w:val="superscript"/>
                <w:lang w:eastAsia="en-US"/>
              </w:rPr>
              <w:footnoteReference w:id="2"/>
            </w:r>
            <w:r w:rsidRPr="00C02D65">
              <w:rPr>
                <w:rFonts w:asciiTheme="minorHAnsi" w:eastAsiaTheme="minorHAnsi" w:hAnsiTheme="minorHAnsi" w:cstheme="minorHAnsi"/>
                <w:sz w:val="22"/>
                <w:szCs w:val="22"/>
                <w:lang w:eastAsia="en-US"/>
              </w:rPr>
              <w:t>.</w:t>
            </w:r>
            <w:r w:rsidRPr="00C02D65">
              <w:t>”</w:t>
            </w:r>
          </w:p>
          <w:p w14:paraId="25EB7A77" w14:textId="77777777" w:rsidR="00994247" w:rsidRPr="00C02D65" w:rsidRDefault="00994247" w:rsidP="007B1726">
            <w:pPr>
              <w:rPr>
                <w:rFonts w:asciiTheme="minorHAnsi" w:hAnsiTheme="minorHAnsi" w:cstheme="minorHAnsi"/>
                <w:sz w:val="22"/>
                <w:szCs w:val="22"/>
              </w:rPr>
            </w:pPr>
          </w:p>
          <w:p w14:paraId="1AA95B3B" w14:textId="4038144F" w:rsidR="0090089D" w:rsidRPr="00A06425" w:rsidRDefault="000919A8" w:rsidP="000919A8">
            <w:pPr>
              <w:rPr>
                <w:rFonts w:asciiTheme="minorHAnsi" w:hAnsiTheme="minorHAnsi" w:cstheme="minorHAnsi"/>
                <w:sz w:val="22"/>
                <w:szCs w:val="22"/>
              </w:rPr>
            </w:pPr>
            <w:r w:rsidRPr="00C02D65">
              <w:rPr>
                <w:rFonts w:asciiTheme="minorHAnsi" w:hAnsiTheme="minorHAnsi" w:cstheme="minorHAnsi"/>
                <w:sz w:val="22"/>
                <w:szCs w:val="22"/>
              </w:rPr>
              <w:t>Ponadto wydziale AIP trwają prace nad osobnymi rekomendacjami dotyczącymi kluczowych obszarów danych, w szczególności dla Osoby fizycznej. W ramach tych rekomendacji uwzględnione są sposoby identyfikowania osób fizycznych, w tym cudzoziemców i także organów nadających numer PESEL  .</w:t>
            </w:r>
            <w:bookmarkStart w:id="0" w:name="_GoBack"/>
            <w:bookmarkEnd w:id="0"/>
          </w:p>
        </w:tc>
      </w:tr>
    </w:tbl>
    <w:p w14:paraId="3F1A9A10" w14:textId="77777777" w:rsidR="00C64B1B" w:rsidRDefault="00C64B1B" w:rsidP="00C64B1B">
      <w:pPr>
        <w:jc w:val="center"/>
      </w:pPr>
    </w:p>
    <w:sectPr w:rsidR="00C64B1B" w:rsidSect="00A06425">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6E62F6" w14:textId="77777777" w:rsidR="000919A8" w:rsidRDefault="000919A8">
      <w:r>
        <w:separator/>
      </w:r>
    </w:p>
  </w:endnote>
  <w:endnote w:type="continuationSeparator" w:id="0">
    <w:p w14:paraId="42444E1E" w14:textId="77777777" w:rsidR="000919A8" w:rsidRDefault="000919A8">
      <w:r>
        <w:continuationSeparator/>
      </w:r>
    </w:p>
  </w:endnote>
  <w:endnote w:type="continuationNotice" w:id="1">
    <w:p w14:paraId="2AE2B8A7" w14:textId="77777777" w:rsidR="000919A8" w:rsidRDefault="000919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C48078" w14:textId="77777777" w:rsidR="000919A8" w:rsidRDefault="000919A8">
      <w:r>
        <w:separator/>
      </w:r>
    </w:p>
  </w:footnote>
  <w:footnote w:type="continuationSeparator" w:id="0">
    <w:p w14:paraId="60927935" w14:textId="77777777" w:rsidR="000919A8" w:rsidRDefault="000919A8">
      <w:r>
        <w:continuationSeparator/>
      </w:r>
    </w:p>
  </w:footnote>
  <w:footnote w:type="continuationNotice" w:id="1">
    <w:p w14:paraId="4577E5FE" w14:textId="77777777" w:rsidR="000919A8" w:rsidRDefault="000919A8"/>
  </w:footnote>
  <w:footnote w:id="2">
    <w:p w14:paraId="0FE9807C" w14:textId="77777777" w:rsidR="000919A8" w:rsidRDefault="000919A8" w:rsidP="00315015">
      <w:pPr>
        <w:pStyle w:val="Tekstprzypisudolnego"/>
        <w:jc w:val="both"/>
      </w:pPr>
      <w:r>
        <w:rPr>
          <w:rStyle w:val="Odwoanieprzypisudolnego"/>
        </w:rPr>
        <w:footnoteRef/>
      </w:r>
      <w:r>
        <w:t xml:space="preserve"> Ustawa o ewidencji ludności (Dz. U. z 2021 r. poz. 1978) w art. 7 pkt 2 stanowi: „</w:t>
      </w:r>
      <w:r w:rsidRPr="00916362">
        <w:t>W rejestrze PESEL mogą być gromadzone dane osób obowiązanych na podstawie odrębnych przepisów do posiadania numeru PESEL.</w:t>
      </w:r>
      <w: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1B"/>
    <w:rsid w:val="00003F6F"/>
    <w:rsid w:val="00014748"/>
    <w:rsid w:val="000223DA"/>
    <w:rsid w:val="00034258"/>
    <w:rsid w:val="000919A8"/>
    <w:rsid w:val="00126CDF"/>
    <w:rsid w:val="00140BE8"/>
    <w:rsid w:val="00163066"/>
    <w:rsid w:val="00166A77"/>
    <w:rsid w:val="0019648E"/>
    <w:rsid w:val="001B4ADE"/>
    <w:rsid w:val="001F15F2"/>
    <w:rsid w:val="00262479"/>
    <w:rsid w:val="002715B2"/>
    <w:rsid w:val="00296861"/>
    <w:rsid w:val="003124D1"/>
    <w:rsid w:val="00315015"/>
    <w:rsid w:val="003B4105"/>
    <w:rsid w:val="003B5817"/>
    <w:rsid w:val="003C53B3"/>
    <w:rsid w:val="003C648D"/>
    <w:rsid w:val="00410C21"/>
    <w:rsid w:val="00436CED"/>
    <w:rsid w:val="004509E5"/>
    <w:rsid w:val="00465D67"/>
    <w:rsid w:val="00480132"/>
    <w:rsid w:val="00481728"/>
    <w:rsid w:val="004C4A50"/>
    <w:rsid w:val="004D086F"/>
    <w:rsid w:val="00507994"/>
    <w:rsid w:val="00555C95"/>
    <w:rsid w:val="005A381C"/>
    <w:rsid w:val="005D0738"/>
    <w:rsid w:val="005D1930"/>
    <w:rsid w:val="005F6527"/>
    <w:rsid w:val="00626D30"/>
    <w:rsid w:val="006705EC"/>
    <w:rsid w:val="00670F20"/>
    <w:rsid w:val="00693B29"/>
    <w:rsid w:val="006E16E9"/>
    <w:rsid w:val="006E4B5F"/>
    <w:rsid w:val="0076729E"/>
    <w:rsid w:val="007B1726"/>
    <w:rsid w:val="007D182B"/>
    <w:rsid w:val="00807385"/>
    <w:rsid w:val="00867FC7"/>
    <w:rsid w:val="008C152E"/>
    <w:rsid w:val="008E35D3"/>
    <w:rsid w:val="008F6C35"/>
    <w:rsid w:val="0090089D"/>
    <w:rsid w:val="00917C6C"/>
    <w:rsid w:val="00944932"/>
    <w:rsid w:val="00994247"/>
    <w:rsid w:val="009942C3"/>
    <w:rsid w:val="009A78A1"/>
    <w:rsid w:val="009E5FDB"/>
    <w:rsid w:val="00A06425"/>
    <w:rsid w:val="00A065E0"/>
    <w:rsid w:val="00A33F00"/>
    <w:rsid w:val="00AB30B6"/>
    <w:rsid w:val="00AC645A"/>
    <w:rsid w:val="00AC7796"/>
    <w:rsid w:val="00B41563"/>
    <w:rsid w:val="00B7441A"/>
    <w:rsid w:val="00B871B6"/>
    <w:rsid w:val="00BB2B95"/>
    <w:rsid w:val="00BC6F96"/>
    <w:rsid w:val="00C02D65"/>
    <w:rsid w:val="00C423C4"/>
    <w:rsid w:val="00C63187"/>
    <w:rsid w:val="00C64B1B"/>
    <w:rsid w:val="00C93238"/>
    <w:rsid w:val="00CC00E5"/>
    <w:rsid w:val="00CD5EB0"/>
    <w:rsid w:val="00CD6317"/>
    <w:rsid w:val="00CF4641"/>
    <w:rsid w:val="00E124C7"/>
    <w:rsid w:val="00E14C33"/>
    <w:rsid w:val="00E61C8D"/>
    <w:rsid w:val="00E775CF"/>
    <w:rsid w:val="00F17C43"/>
    <w:rsid w:val="00F254E8"/>
    <w:rsid w:val="00F7604C"/>
    <w:rsid w:val="00FB7EC4"/>
    <w:rsid w:val="00FF4A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874F5B"/>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character" w:styleId="Hipercze">
    <w:name w:val="Hyperlink"/>
    <w:basedOn w:val="Domylnaczcionkaakapitu"/>
    <w:rsid w:val="00003F6F"/>
    <w:rPr>
      <w:color w:val="0563C1" w:themeColor="hyperlink"/>
      <w:u w:val="single"/>
    </w:rPr>
  </w:style>
  <w:style w:type="paragraph" w:styleId="Nagwek">
    <w:name w:val="header"/>
    <w:basedOn w:val="Normalny"/>
    <w:link w:val="NagwekZnak"/>
    <w:rsid w:val="00C423C4"/>
    <w:pPr>
      <w:tabs>
        <w:tab w:val="center" w:pos="4536"/>
        <w:tab w:val="right" w:pos="9072"/>
      </w:tabs>
    </w:pPr>
  </w:style>
  <w:style w:type="character" w:customStyle="1" w:styleId="NagwekZnak">
    <w:name w:val="Nagłówek Znak"/>
    <w:basedOn w:val="Domylnaczcionkaakapitu"/>
    <w:link w:val="Nagwek"/>
    <w:rsid w:val="00C423C4"/>
    <w:rPr>
      <w:sz w:val="24"/>
      <w:szCs w:val="24"/>
    </w:rPr>
  </w:style>
  <w:style w:type="paragraph" w:styleId="Stopka">
    <w:name w:val="footer"/>
    <w:basedOn w:val="Normalny"/>
    <w:link w:val="StopkaZnak"/>
    <w:rsid w:val="00C423C4"/>
    <w:pPr>
      <w:tabs>
        <w:tab w:val="center" w:pos="4536"/>
        <w:tab w:val="right" w:pos="9072"/>
      </w:tabs>
    </w:pPr>
  </w:style>
  <w:style w:type="character" w:customStyle="1" w:styleId="StopkaZnak">
    <w:name w:val="Stopka Znak"/>
    <w:basedOn w:val="Domylnaczcionkaakapitu"/>
    <w:link w:val="Stopka"/>
    <w:rsid w:val="00C423C4"/>
    <w:rPr>
      <w:sz w:val="24"/>
      <w:szCs w:val="24"/>
    </w:rPr>
  </w:style>
  <w:style w:type="character" w:customStyle="1" w:styleId="Nierozpoznanawzmianka1">
    <w:name w:val="Nierozpoznana wzmianka1"/>
    <w:basedOn w:val="Domylnaczcionkaakapitu"/>
    <w:uiPriority w:val="99"/>
    <w:semiHidden/>
    <w:unhideWhenUsed/>
    <w:rsid w:val="00C423C4"/>
    <w:rPr>
      <w:color w:val="605E5C"/>
      <w:shd w:val="clear" w:color="auto" w:fill="E1DFDD"/>
    </w:rPr>
  </w:style>
  <w:style w:type="paragraph" w:styleId="Tekstprzypisudolnego">
    <w:name w:val="footnote text"/>
    <w:basedOn w:val="Normalny"/>
    <w:link w:val="TekstprzypisudolnegoZnak"/>
    <w:uiPriority w:val="99"/>
    <w:unhideWhenUsed/>
    <w:rsid w:val="00C423C4"/>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C423C4"/>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C423C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egislacja.gov.pl/projekt/12368001/katalog/12942257" TargetMode="Externa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3a019021-2db9-4573-874a-1cac295e69ae">33EXR6SS6JYP-403295686-2294</_dlc_DocId>
    <_dlc_DocIdUrl xmlns="3a019021-2db9-4573-874a-1cac295e69ae">
      <Url>http://docs.mc.gov.pl/org/dep/pit/aip/_layouts/15/DocIdRedir.aspx?ID=33EXR6SS6JYP-403295686-2294</Url>
      <Description>33EXR6SS6JYP-403295686-2294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16B04154DECDB74EAD6BD5471FBA0BCD" ma:contentTypeVersion="1" ma:contentTypeDescription="Utwórz nowy dokument." ma:contentTypeScope="" ma:versionID="9f41e04bdb30bca1eaa67b16246aaabb">
  <xsd:schema xmlns:xsd="http://www.w3.org/2001/XMLSchema" xmlns:xs="http://www.w3.org/2001/XMLSchema" xmlns:p="http://schemas.microsoft.com/office/2006/metadata/properties" xmlns:ns2="3a019021-2db9-4573-874a-1cac295e69ae" targetNamespace="http://schemas.microsoft.com/office/2006/metadata/properties" ma:root="true" ma:fieldsID="507f483d23b8cc673073124fad543531" ns2:_="">
    <xsd:import namespace="3a019021-2db9-4573-874a-1cac295e69ae"/>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019021-2db9-4573-874a-1cac295e69ae"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7F2289-6BB1-4FA8-9220-CF9BFA586368}">
  <ds:schemaRefs>
    <ds:schemaRef ds:uri="http://schemas.microsoft.com/sharepoint/events"/>
  </ds:schemaRefs>
</ds:datastoreItem>
</file>

<file path=customXml/itemProps2.xml><?xml version="1.0" encoding="utf-8"?>
<ds:datastoreItem xmlns:ds="http://schemas.openxmlformats.org/officeDocument/2006/customXml" ds:itemID="{8F624657-6BCD-4F70-B2A1-D40734E3CF71}">
  <ds:schemaRefs>
    <ds:schemaRef ds:uri="http://schemas.microsoft.com/sharepoint/v3/contenttype/forms"/>
  </ds:schemaRefs>
</ds:datastoreItem>
</file>

<file path=customXml/itemProps3.xml><?xml version="1.0" encoding="utf-8"?>
<ds:datastoreItem xmlns:ds="http://schemas.openxmlformats.org/officeDocument/2006/customXml" ds:itemID="{0627B231-075D-4227-8FB9-398CF4AC57B2}">
  <ds:schemaRefs>
    <ds:schemaRef ds:uri="http://purl.org/dc/terms/"/>
    <ds:schemaRef ds:uri="http://schemas.openxmlformats.org/package/2006/metadata/core-properties"/>
    <ds:schemaRef ds:uri="http://schemas.microsoft.com/office/2006/documentManagement/types"/>
    <ds:schemaRef ds:uri="3a019021-2db9-4573-874a-1cac295e69ae"/>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8D258AB5-D9DF-413F-9954-E169230B45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019021-2db9-4573-874a-1cac295e6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C52E340-C6FE-4442-8461-8736E95DA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1186</Words>
  <Characters>7964</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9132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Kamieńska Ida</cp:lastModifiedBy>
  <cp:revision>6</cp:revision>
  <dcterms:created xsi:type="dcterms:W3CDTF">2023-11-20T15:23:00Z</dcterms:created>
  <dcterms:modified xsi:type="dcterms:W3CDTF">2023-11-21T09:49:00Z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0x01010016B04154DECDB74EAD6BD5471FBA0BCD</vt:lpwstr>
  </property>
  <property fmtid="{D5CDD505-2E9C-101B-9397-08002B2CF9AE}" pid="3" name="_dlc_DocIdItemGuid">
    <vt:lpwstr>780ef620-a8cd-48cd-ac07-55df8a2d11ba</vt:lpwstr>
  </property>
</Properties>
</file>