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643BF6">
        <w:rPr>
          <w:rFonts w:ascii="Arial" w:hAnsi="Arial" w:cs="Arial"/>
          <w:b/>
          <w:bCs/>
        </w:rPr>
        <w:t>1</w:t>
      </w:r>
      <w:r w:rsidR="003C3AA8">
        <w:rPr>
          <w:rFonts w:ascii="Arial" w:hAnsi="Arial" w:cs="Arial"/>
          <w:b/>
          <w:bCs/>
        </w:rPr>
        <w:t>8</w:t>
      </w:r>
      <w:r w:rsidR="004558FD">
        <w:rPr>
          <w:rFonts w:ascii="Arial" w:hAnsi="Arial" w:cs="Arial"/>
          <w:b/>
          <w:bCs/>
        </w:rPr>
        <w:t>8</w:t>
      </w:r>
      <w:r w:rsidRPr="00B06170">
        <w:rPr>
          <w:rFonts w:ascii="Arial" w:hAnsi="Arial" w:cs="Arial"/>
          <w:b/>
          <w:bCs/>
        </w:rPr>
        <w:t>.2022.3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C3AA8">
        <w:rPr>
          <w:rFonts w:ascii="Arial" w:hAnsi="Arial" w:cs="Arial"/>
          <w:b/>
        </w:rPr>
        <w:t>U</w:t>
      </w:r>
      <w:r w:rsidR="003C3AA8" w:rsidRPr="003C3AA8">
        <w:rPr>
          <w:rFonts w:ascii="Arial" w:hAnsi="Arial" w:cs="Arial"/>
          <w:b/>
        </w:rPr>
        <w:t xml:space="preserve">sługa sprzątania pomieszczeń biurowych </w:t>
      </w:r>
      <w:r w:rsidR="003C3AA8">
        <w:rPr>
          <w:rFonts w:ascii="Arial" w:hAnsi="Arial" w:cs="Arial"/>
          <w:b/>
        </w:rPr>
        <w:br/>
      </w:r>
      <w:r w:rsidR="003C3AA8" w:rsidRPr="003C3AA8">
        <w:rPr>
          <w:rFonts w:ascii="Arial" w:hAnsi="Arial" w:cs="Arial"/>
          <w:b/>
        </w:rPr>
        <w:t xml:space="preserve">w siedzibie Państwowej Inspekcji Pracy Okręgowego Inspektoratu Pracy w Łodzi Oddział w </w:t>
      </w:r>
      <w:r w:rsidR="004558FD">
        <w:rPr>
          <w:rFonts w:ascii="Arial" w:hAnsi="Arial" w:cs="Arial"/>
          <w:b/>
        </w:rPr>
        <w:t>Skierniewicach</w:t>
      </w:r>
      <w:r w:rsidR="003C3AA8" w:rsidRPr="003C3AA8">
        <w:rPr>
          <w:rFonts w:ascii="Arial" w:hAnsi="Arial" w:cs="Arial"/>
          <w:b/>
        </w:rPr>
        <w:t>.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3C3AA8"/>
    <w:rsid w:val="004558FD"/>
    <w:rsid w:val="00584E1B"/>
    <w:rsid w:val="00643BF6"/>
    <w:rsid w:val="00742510"/>
    <w:rsid w:val="007B5B37"/>
    <w:rsid w:val="00982D11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2022-08-12T11:46:00Z</dcterms:created>
  <dcterms:modified xsi:type="dcterms:W3CDTF">2022-08-12T11:46:00Z</dcterms:modified>
</cp:coreProperties>
</file>