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EE" w:rsidRDefault="00014EEE" w:rsidP="00014EEE">
      <w:pPr>
        <w:spacing w:before="120" w:after="240"/>
        <w:jc w:val="right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Załącznik nr 2</w:t>
      </w:r>
    </w:p>
    <w:p w:rsidR="004F4E6A" w:rsidRPr="006D205A" w:rsidRDefault="004F4E6A" w:rsidP="004F4E6A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</w:t>
      </w:r>
    </w:p>
    <w:p w:rsidR="004F4E6A" w:rsidRDefault="004F4E6A" w:rsidP="004F4E6A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Opis </w:t>
      </w:r>
      <w:r w:rsidRPr="006D205A">
        <w:rPr>
          <w:rFonts w:ascii="Arial" w:eastAsia="Times New Roman" w:hAnsi="Arial" w:cs="Arial"/>
          <w:b/>
          <w:bCs/>
          <w:i/>
          <w:color w:val="000000" w:themeColor="text1"/>
          <w:lang w:eastAsia="pl-PL"/>
        </w:rPr>
        <w:t>Programu kontroli jakości w diagnostyce ostrej białaczki u dzieci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:rsidR="004F4E6A" w:rsidRPr="001C714D" w:rsidRDefault="004F4E6A" w:rsidP="004F4E6A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C714D">
        <w:rPr>
          <w:rFonts w:ascii="Arial" w:eastAsia="Times New Roman" w:hAnsi="Arial" w:cs="Arial"/>
          <w:b/>
          <w:bCs/>
          <w:lang w:eastAsia="pl-PL"/>
        </w:rPr>
        <w:t>w zakresie monitorowania minimalnej choroby resztkowej metodą molekularną</w:t>
      </w:r>
    </w:p>
    <w:p w:rsidR="004F4E6A" w:rsidRPr="006D205A" w:rsidRDefault="004F4E6A" w:rsidP="004F4E6A">
      <w:pPr>
        <w:spacing w:before="120" w:after="240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na lata 2020</w:t>
      </w: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-2021:</w:t>
      </w:r>
    </w:p>
    <w:p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ogólne Programu:</w:t>
      </w:r>
    </w:p>
    <w:p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Poprawa wyników leczenia dzieci z ostrą białaczką szpikową (AML).</w:t>
      </w:r>
    </w:p>
    <w:p w:rsidR="004F4E6A" w:rsidRPr="006D205A" w:rsidRDefault="004F4E6A" w:rsidP="004F4E6A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Cele szczegółowe Programu:</w:t>
      </w:r>
    </w:p>
    <w:p w:rsidR="004F4E6A" w:rsidRPr="006D205A" w:rsidRDefault="004F4E6A" w:rsidP="004F4E6A">
      <w:pPr>
        <w:pStyle w:val="Akapitzlist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Zastosowanie bardziej intensywnego leczenia u dzieci z cechami rokującymi niekorzystnie.</w:t>
      </w:r>
    </w:p>
    <w:p w:rsidR="004F4E6A" w:rsidRPr="006D205A" w:rsidRDefault="004F4E6A" w:rsidP="004F4E6A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Zredukowanie intensywności chemioterapii u pacjentów, u których z dużą wiarygodnością można wykluczyć obecność cech rokujących niekorzystnie.</w:t>
      </w:r>
    </w:p>
    <w:p w:rsidR="004F4E6A" w:rsidRPr="006D205A" w:rsidRDefault="004F4E6A" w:rsidP="004F4E6A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Arial" w:hAnsi="Arial" w:cs="Arial"/>
          <w:color w:val="000000" w:themeColor="text1"/>
          <w:lang w:eastAsia="pl-PL"/>
        </w:rPr>
      </w:pPr>
      <w:r w:rsidRPr="006D205A">
        <w:rPr>
          <w:rFonts w:ascii="Arial" w:hAnsi="Arial" w:cs="Arial"/>
          <w:color w:val="000000" w:themeColor="text1"/>
          <w:lang w:eastAsia="pl-PL"/>
        </w:rPr>
        <w:t>Zmniejszenie toksyczności i późnych następstw leczenia oraz obniżenie kosztów leczenia poprzez dostosowanie intensywności leczenia do indywidualnej oceny pacjentów.</w:t>
      </w:r>
    </w:p>
    <w:p w:rsidR="004F4E6A" w:rsidRPr="006D205A" w:rsidRDefault="004F4E6A" w:rsidP="004F4E6A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Programu:</w:t>
      </w:r>
    </w:p>
    <w:p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Polsce rozpoznaje się białaczkę u ok. 260 dzieci rocznie,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tym 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ok. 210 przypadkach stwierdzana jest ostra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białaczka </w:t>
      </w:r>
      <w:proofErr w:type="spellStart"/>
      <w:r>
        <w:rPr>
          <w:rFonts w:ascii="Arial" w:eastAsia="Times New Roman" w:hAnsi="Arial" w:cs="Arial"/>
          <w:bCs/>
          <w:color w:val="000000" w:themeColor="text1"/>
          <w:lang w:eastAsia="pl-PL"/>
        </w:rPr>
        <w:t>limfoblastyczna</w:t>
      </w:r>
      <w:proofErr w:type="spellEnd"/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(ALL)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, natomiast rozpoznanie ostrej białaczki szpikowej (AML) stawiane jest u 50-60 dzieci rocznie.</w:t>
      </w:r>
    </w:p>
    <w:p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Do 1983 r. w naszym kraju stosowano różne sposoby leczenia AML i uzyskiwano mniej niż 10% wyleczeń. Wprowadzone później, kolejno modyfikowane programy terapeutyczne, oparte na doświadczeniach Grupy BFM pozwoliły na poprawę wyników – do prawie 50% wyleczeń. W celu uzyskania dalszej poprawy wyników terapii AML u dzieci, wprowadzono oryginalny program Grupy BFM: AML-BFM Interim 2004, uwzględniający bardziej precyzyjną stratyfikację do grup ryzyka, z wykorzystaniem badań cytogenetycznych i molekularnych. Dla oceny skuteczności leczenia wykorzystuje się czułe techniki molekularne w celu oznaczenia poziomu charakterystycznych dla danego typu AML molekularnych markerów. W ciągu ostatnich 10 lat liczne badania dowiodły, że detekcja nawet niewielkiej liczby komórek nowotworowych (MRD) znamiennie koreluje z wynikami terapii w wielu złośliwych chorobach krwi. W poszczególnych podtypach tych chorób, ocena MRD jest ważna dla podejmowania decyzji terapeutycznych.</w:t>
      </w:r>
    </w:p>
    <w:p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Realizacja zadania ukierunkowana jest na kontrolę jakości w diagnostyce ostrej białaczki u dzieci. Jego celem jest poprawa wyników le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 xml:space="preserve">czenia dzieci z AML, poprzez zastosowanie bardziej intensywnego leczenia u dzieci z cechami niekorzystnymi rokowniczo oraz przez zredukowanie intensywności chemioterapii u dzieci, u których z dużą wiarygodnością można wykluczyć obecność cech niekorzystnych rokowniczo. </w:t>
      </w:r>
    </w:p>
    <w:p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Dla osiągnięcia założonych celów, konieczne jest wykorzystanie strategii postępowania opartej na ocenie MRD, oznaczanej równocześnie przy pomocy metody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cytofluorometrycznej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i technik molekularnych, co daje szansę na zmniejszenie toksyczności i redukcję kosztów leczenia białaczki u dzieci. Równocześnie, prowadzona będzie centralna weryfikacja wyników badań </w:t>
      </w:r>
      <w:proofErr w:type="spellStart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cytomorfologicznych</w:t>
      </w:r>
      <w:proofErr w:type="spellEnd"/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krwi obwodowej i szpiku oraz badań cytogenetycznych komórek białaczkowych u każdego pacjenta. Wyniki będą omawiane na wspólnych posiedzeniach diagnostów ze wszystkich ośrodków wykonujących te badania. </w:t>
      </w:r>
    </w:p>
    <w:p w:rsidR="004F4E6A" w:rsidRPr="006D205A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Działania do realizacji:</w:t>
      </w:r>
    </w:p>
    <w:p w:rsidR="004F4E6A" w:rsidRPr="00897F3D" w:rsidRDefault="004F4E6A" w:rsidP="004F4E6A">
      <w:p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897F3D">
        <w:rPr>
          <w:rFonts w:ascii="Arial" w:eastAsia="Times New Roman" w:hAnsi="Arial" w:cs="Arial"/>
          <w:bCs/>
          <w:color w:val="000000" w:themeColor="text1"/>
          <w:lang w:eastAsia="pl-PL"/>
        </w:rPr>
        <w:t>Monitorowanie minimalnej choroby resztkowej metodą molekularną w AML u każdego pacjenta z DNA komórek szpiku pobranych przy rozpoznaniu choroby (konieczność znalezienia markerów genetycznych) w odpowiednich punktach czasowych dla AML programem AML-BFM 12 lub AML-BFM-19 (5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-6</w:t>
      </w:r>
      <w:r w:rsidRPr="00897F3D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punktów czasowych dla jednego pacjenta). Laboratorium genetyki molekularnej wykonujące badania, musi przystąpić do europejskiego programu certyfikacji jakości oceny choroby resztkowej EURO-MRD.</w:t>
      </w:r>
    </w:p>
    <w:p w:rsidR="004F4E6A" w:rsidRPr="006D205A" w:rsidRDefault="004F4E6A" w:rsidP="004F4E6A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/>
          <w:bCs/>
          <w:color w:val="000000" w:themeColor="text1"/>
          <w:lang w:eastAsia="pl-PL"/>
        </w:rPr>
        <w:t>Populacja badana:</w:t>
      </w:r>
    </w:p>
    <w:p w:rsidR="004F4E6A" w:rsidRDefault="004F4E6A" w:rsidP="004F4E6A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>Dzieci i młodzież do 18 r.ż., u których zdiagnozowano ostrą białaczkę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szpikową</w:t>
      </w:r>
      <w:r w:rsidRPr="006D205A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 </w:t>
      </w:r>
    </w:p>
    <w:p w:rsidR="000E0D01" w:rsidRPr="00E323D4" w:rsidRDefault="000E0D01" w:rsidP="000E0D01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Placówki realizujące program zobowiązane są do przestrzegania następujących zasad: </w:t>
      </w:r>
    </w:p>
    <w:p w:rsidR="000E0D01" w:rsidRPr="00E323D4" w:rsidRDefault="000E0D01" w:rsidP="000E0D01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Cs/>
          <w:color w:val="000000" w:themeColor="text1"/>
          <w:lang w:eastAsia="pl-PL"/>
        </w:rPr>
        <w:t>informowania biorących udział w projekcie o celach programu,</w:t>
      </w:r>
    </w:p>
    <w:p w:rsidR="000E0D01" w:rsidRPr="00170FA7" w:rsidRDefault="000E0D01" w:rsidP="000E0D01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323D4">
        <w:rPr>
          <w:rFonts w:ascii="Arial" w:eastAsia="Times New Roman" w:hAnsi="Arial" w:cs="Arial"/>
          <w:bCs/>
          <w:color w:val="000000" w:themeColor="text1"/>
          <w:lang w:eastAsia="pl-PL"/>
        </w:rPr>
        <w:t>przekazania klauzuli informacyjnej osobie (opiekunowi prawnemu) biorącej udział w programie (druk klauzuli informacyjnej zgodnie z załącznikiem nr 6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do umowy)</w:t>
      </w:r>
    </w:p>
    <w:p w:rsidR="000E0D01" w:rsidRDefault="000E0D01" w:rsidP="004F4E6A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:rsidR="00E642AE" w:rsidRPr="006D205A" w:rsidRDefault="00E642AE" w:rsidP="00B85993">
      <w:pPr>
        <w:spacing w:before="24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bookmarkStart w:id="0" w:name="_GoBack"/>
      <w:bookmarkEnd w:id="0"/>
    </w:p>
    <w:sectPr w:rsidR="00E642AE" w:rsidRPr="006D205A" w:rsidSect="00B859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B38"/>
    <w:multiLevelType w:val="hybridMultilevel"/>
    <w:tmpl w:val="83D03C5E"/>
    <w:lvl w:ilvl="0" w:tplc="3A9AB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02FC7"/>
    <w:multiLevelType w:val="hybridMultilevel"/>
    <w:tmpl w:val="43FEBA2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6BA1398"/>
    <w:multiLevelType w:val="multilevel"/>
    <w:tmpl w:val="2FE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CC"/>
    <w:rsid w:val="00014EEE"/>
    <w:rsid w:val="000A29EA"/>
    <w:rsid w:val="000D71C6"/>
    <w:rsid w:val="000E0D01"/>
    <w:rsid w:val="000F1D16"/>
    <w:rsid w:val="00103122"/>
    <w:rsid w:val="00145482"/>
    <w:rsid w:val="001B73F0"/>
    <w:rsid w:val="001C1E15"/>
    <w:rsid w:val="001D20D8"/>
    <w:rsid w:val="00205A26"/>
    <w:rsid w:val="00265BCB"/>
    <w:rsid w:val="00292CC9"/>
    <w:rsid w:val="00342D90"/>
    <w:rsid w:val="00350E3A"/>
    <w:rsid w:val="00393C2E"/>
    <w:rsid w:val="003A57FF"/>
    <w:rsid w:val="003E5ED4"/>
    <w:rsid w:val="004031CB"/>
    <w:rsid w:val="00412752"/>
    <w:rsid w:val="004403E2"/>
    <w:rsid w:val="00486D26"/>
    <w:rsid w:val="004D1CCA"/>
    <w:rsid w:val="004F2883"/>
    <w:rsid w:val="004F4E6A"/>
    <w:rsid w:val="005405C4"/>
    <w:rsid w:val="00575F99"/>
    <w:rsid w:val="005778FB"/>
    <w:rsid w:val="00643EB5"/>
    <w:rsid w:val="00676C4C"/>
    <w:rsid w:val="00687E05"/>
    <w:rsid w:val="006B7F88"/>
    <w:rsid w:val="0071210C"/>
    <w:rsid w:val="007437D6"/>
    <w:rsid w:val="00753F82"/>
    <w:rsid w:val="00815B53"/>
    <w:rsid w:val="00897F3D"/>
    <w:rsid w:val="008C11F6"/>
    <w:rsid w:val="00900510"/>
    <w:rsid w:val="00911E07"/>
    <w:rsid w:val="009936E8"/>
    <w:rsid w:val="009B491C"/>
    <w:rsid w:val="009E1FD5"/>
    <w:rsid w:val="00A5626B"/>
    <w:rsid w:val="00A56394"/>
    <w:rsid w:val="00A74C90"/>
    <w:rsid w:val="00A9030D"/>
    <w:rsid w:val="00A9083B"/>
    <w:rsid w:val="00B11395"/>
    <w:rsid w:val="00B66AA8"/>
    <w:rsid w:val="00B756B7"/>
    <w:rsid w:val="00B82D90"/>
    <w:rsid w:val="00B85993"/>
    <w:rsid w:val="00BB67F8"/>
    <w:rsid w:val="00BD3404"/>
    <w:rsid w:val="00BE21E4"/>
    <w:rsid w:val="00C43E2D"/>
    <w:rsid w:val="00C825E6"/>
    <w:rsid w:val="00CB35F6"/>
    <w:rsid w:val="00CC1AE6"/>
    <w:rsid w:val="00CD6EDA"/>
    <w:rsid w:val="00D22E7E"/>
    <w:rsid w:val="00D74926"/>
    <w:rsid w:val="00DA36CC"/>
    <w:rsid w:val="00DC08B5"/>
    <w:rsid w:val="00DF1D11"/>
    <w:rsid w:val="00E17C5F"/>
    <w:rsid w:val="00E642AE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3C2F8-8ADF-4418-95F4-92E72047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36CC"/>
    <w:rPr>
      <w:b/>
      <w:bCs/>
    </w:rPr>
  </w:style>
  <w:style w:type="character" w:styleId="Uwydatnienie">
    <w:name w:val="Emphasis"/>
    <w:basedOn w:val="Domylnaczcionkaakapitu"/>
    <w:uiPriority w:val="20"/>
    <w:qFormat/>
    <w:rsid w:val="00DA36CC"/>
    <w:rPr>
      <w:i/>
      <w:iCs/>
    </w:rPr>
  </w:style>
  <w:style w:type="paragraph" w:styleId="Akapitzlist">
    <w:name w:val="List Paragraph"/>
    <w:basedOn w:val="Normalny"/>
    <w:uiPriority w:val="99"/>
    <w:qFormat/>
    <w:rsid w:val="004F2883"/>
    <w:pPr>
      <w:ind w:left="720"/>
      <w:contextualSpacing/>
    </w:pPr>
  </w:style>
  <w:style w:type="table" w:styleId="Tabela-Siatka">
    <w:name w:val="Table Grid"/>
    <w:basedOn w:val="Standardowy"/>
    <w:uiPriority w:val="39"/>
    <w:rsid w:val="000D71C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E642AE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C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C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C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E5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97A1A-A864-4F60-A373-BB90001F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</dc:creator>
  <cp:lastModifiedBy>Bilińska Magdalena</cp:lastModifiedBy>
  <cp:revision>3</cp:revision>
  <cp:lastPrinted>2019-06-19T10:14:00Z</cp:lastPrinted>
  <dcterms:created xsi:type="dcterms:W3CDTF">2019-11-18T09:55:00Z</dcterms:created>
  <dcterms:modified xsi:type="dcterms:W3CDTF">2019-11-18T09:55:00Z</dcterms:modified>
</cp:coreProperties>
</file>