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D620" w14:textId="77777777" w:rsidR="00B4654F" w:rsidRDefault="00B4654F">
      <w:pPr>
        <w:rPr>
          <w:rFonts w:ascii="Lato" w:hAnsi="Lato"/>
          <w:b/>
          <w:bCs/>
          <w:sz w:val="20"/>
          <w:szCs w:val="20"/>
        </w:rPr>
      </w:pPr>
    </w:p>
    <w:p w14:paraId="3F92A102" w14:textId="0E4A0E78" w:rsidR="00B4654F" w:rsidRPr="006B6543" w:rsidRDefault="00B4654F" w:rsidP="00B4654F">
      <w:pPr>
        <w:jc w:val="right"/>
        <w:rPr>
          <w:rFonts w:ascii="Lato" w:hAnsi="Lato"/>
          <w:b/>
          <w:bCs/>
        </w:rPr>
      </w:pPr>
      <w:r w:rsidRPr="006B6543">
        <w:rPr>
          <w:rFonts w:ascii="Lato" w:hAnsi="Lato"/>
          <w:b/>
          <w:bCs/>
        </w:rPr>
        <w:t>Załącznik nr 1 do Regulaminu wyboru przedsięwzięć do objęcia wsparciem dla Działania 2 Systemu zachęt</w:t>
      </w:r>
      <w:r w:rsidR="00832238" w:rsidRPr="006B6543">
        <w:rPr>
          <w:rFonts w:ascii="Lato" w:hAnsi="Lato"/>
          <w:b/>
          <w:bCs/>
        </w:rPr>
        <w:t>,</w:t>
      </w:r>
    </w:p>
    <w:p w14:paraId="57D06490" w14:textId="77777777" w:rsidR="00832238" w:rsidRPr="006B6543" w:rsidRDefault="00832238" w:rsidP="00832238">
      <w:pPr>
        <w:spacing w:after="0" w:line="240" w:lineRule="auto"/>
        <w:jc w:val="right"/>
        <w:rPr>
          <w:rFonts w:ascii="Lato" w:hAnsi="Lato"/>
          <w:b/>
          <w:bCs/>
          <w:sz w:val="20"/>
          <w:szCs w:val="20"/>
        </w:rPr>
      </w:pPr>
      <w:r w:rsidRPr="006B6543">
        <w:rPr>
          <w:rFonts w:ascii="Lato" w:hAnsi="Lato"/>
          <w:b/>
          <w:bCs/>
          <w:sz w:val="20"/>
          <w:szCs w:val="20"/>
        </w:rPr>
        <w:t>Aktualizacja z dnia 27.11.2023 r.</w:t>
      </w:r>
    </w:p>
    <w:p w14:paraId="6F27C709" w14:textId="77777777" w:rsidR="00832238" w:rsidRDefault="00832238" w:rsidP="00B4654F">
      <w:pPr>
        <w:jc w:val="right"/>
        <w:rPr>
          <w:rFonts w:ascii="Lato" w:hAnsi="Lato"/>
          <w:b/>
          <w:bCs/>
          <w:sz w:val="20"/>
          <w:szCs w:val="20"/>
        </w:rPr>
      </w:pPr>
    </w:p>
    <w:p w14:paraId="2A0CA00F" w14:textId="77777777" w:rsidR="00B4654F" w:rsidRDefault="00B4654F">
      <w:pPr>
        <w:rPr>
          <w:rFonts w:ascii="Lato" w:hAnsi="Lato"/>
          <w:b/>
          <w:bCs/>
          <w:sz w:val="20"/>
          <w:szCs w:val="20"/>
        </w:rPr>
      </w:pPr>
    </w:p>
    <w:p w14:paraId="4B34A887" w14:textId="773792EE" w:rsidR="00A31DC7" w:rsidRPr="00D362BE" w:rsidRDefault="00AB3E4F">
      <w:pPr>
        <w:rPr>
          <w:rFonts w:ascii="Lato" w:hAnsi="Lato"/>
          <w:b/>
          <w:bCs/>
          <w:sz w:val="20"/>
          <w:szCs w:val="20"/>
        </w:rPr>
      </w:pPr>
      <w:r w:rsidRPr="00D362BE">
        <w:rPr>
          <w:rFonts w:ascii="Lato" w:hAnsi="Lato"/>
          <w:b/>
          <w:bCs/>
          <w:sz w:val="20"/>
          <w:szCs w:val="20"/>
        </w:rPr>
        <w:t xml:space="preserve">Kryteria </w:t>
      </w:r>
      <w:r w:rsidR="00EB3945" w:rsidRPr="00D362BE">
        <w:rPr>
          <w:rFonts w:ascii="Lato" w:hAnsi="Lato"/>
          <w:b/>
          <w:bCs/>
          <w:sz w:val="20"/>
          <w:szCs w:val="20"/>
        </w:rPr>
        <w:t>horyzontalne</w:t>
      </w:r>
      <w:r w:rsidRPr="00D362BE">
        <w:rPr>
          <w:rFonts w:ascii="Lato" w:hAnsi="Lato"/>
          <w:b/>
          <w:bCs/>
          <w:sz w:val="20"/>
          <w:szCs w:val="20"/>
        </w:rPr>
        <w:t xml:space="preserve"> </w:t>
      </w:r>
      <w:r w:rsidR="00EB3945" w:rsidRPr="00D362BE">
        <w:rPr>
          <w:rFonts w:ascii="Lato" w:hAnsi="Lato"/>
          <w:b/>
          <w:bCs/>
          <w:sz w:val="20"/>
          <w:szCs w:val="20"/>
        </w:rPr>
        <w:t xml:space="preserve">i kryteria szczegółowe </w:t>
      </w:r>
      <w:r w:rsidRPr="00D362BE">
        <w:rPr>
          <w:rFonts w:ascii="Lato" w:hAnsi="Lato"/>
          <w:b/>
          <w:bCs/>
          <w:sz w:val="20"/>
          <w:szCs w:val="20"/>
        </w:rPr>
        <w:t xml:space="preserve">dla przedsięwzięcia realizowanego w ramach </w:t>
      </w:r>
      <w:r w:rsidR="00FB770B" w:rsidRPr="00D362BE">
        <w:rPr>
          <w:rFonts w:ascii="Lato" w:hAnsi="Lato"/>
          <w:b/>
          <w:bCs/>
          <w:sz w:val="20"/>
          <w:szCs w:val="20"/>
        </w:rPr>
        <w:t>Działania</w:t>
      </w:r>
      <w:r w:rsidRPr="00D362BE">
        <w:rPr>
          <w:rFonts w:ascii="Lato" w:hAnsi="Lato"/>
          <w:b/>
          <w:bCs/>
          <w:sz w:val="20"/>
          <w:szCs w:val="20"/>
        </w:rPr>
        <w:t xml:space="preserve"> </w:t>
      </w:r>
      <w:r w:rsidR="00887BEE" w:rsidRPr="00D362BE">
        <w:rPr>
          <w:rFonts w:ascii="Lato" w:hAnsi="Lato"/>
          <w:b/>
          <w:bCs/>
          <w:sz w:val="20"/>
          <w:szCs w:val="20"/>
        </w:rPr>
        <w:t>2</w:t>
      </w:r>
      <w:r w:rsidRPr="00D362BE">
        <w:rPr>
          <w:rFonts w:ascii="Lato" w:hAnsi="Lato"/>
          <w:b/>
          <w:bCs/>
          <w:sz w:val="20"/>
          <w:szCs w:val="20"/>
        </w:rPr>
        <w:t xml:space="preserve"> Systemu zachęt</w:t>
      </w:r>
    </w:p>
    <w:p w14:paraId="3C7B1404" w14:textId="34303E3F" w:rsidR="001836E0" w:rsidRPr="00D362BE" w:rsidRDefault="001836E0" w:rsidP="001836E0">
      <w:pPr>
        <w:autoSpaceDE w:val="0"/>
        <w:autoSpaceDN w:val="0"/>
        <w:adjustRightInd w:val="0"/>
        <w:spacing w:after="0" w:line="240" w:lineRule="auto"/>
        <w:rPr>
          <w:rFonts w:ascii="Lato" w:hAnsi="Lato" w:cs="Calibri-Bold"/>
          <w:i/>
          <w:iCs/>
          <w:sz w:val="20"/>
          <w:szCs w:val="20"/>
        </w:rPr>
      </w:pPr>
      <w:r w:rsidRPr="00D362BE">
        <w:rPr>
          <w:rFonts w:ascii="Lato" w:hAnsi="Lato"/>
          <w:sz w:val="20"/>
          <w:szCs w:val="20"/>
        </w:rPr>
        <w:t xml:space="preserve">Kryteria zostały określone w oparciu o </w:t>
      </w:r>
      <w:r w:rsidRPr="00D362BE">
        <w:rPr>
          <w:rFonts w:ascii="Lato" w:hAnsi="Lato" w:cs="Calibri-Bold"/>
          <w:i/>
          <w:iCs/>
          <w:sz w:val="20"/>
          <w:szCs w:val="20"/>
        </w:rPr>
        <w:t>Horyzontalne zasady i kryteria wyboru przedsięwzięć dla Krajowego Planu Odbudowy</w:t>
      </w:r>
    </w:p>
    <w:p w14:paraId="4A28B7AE" w14:textId="36A57B9E" w:rsidR="00EB3D0F" w:rsidRPr="00D362BE" w:rsidRDefault="001836E0" w:rsidP="001836E0">
      <w:pPr>
        <w:rPr>
          <w:rFonts w:ascii="Lato" w:hAnsi="Lato"/>
          <w:i/>
          <w:iCs/>
          <w:color w:val="C00000"/>
          <w:sz w:val="20"/>
          <w:szCs w:val="20"/>
        </w:rPr>
      </w:pPr>
      <w:r w:rsidRPr="00D362BE">
        <w:rPr>
          <w:rFonts w:ascii="Lato" w:hAnsi="Lato" w:cs="Calibri-Bold"/>
          <w:i/>
          <w:iCs/>
          <w:sz w:val="20"/>
          <w:szCs w:val="20"/>
        </w:rPr>
        <w:t xml:space="preserve">i Zwiększania Odporności, Wersja: </w:t>
      </w:r>
      <w:r w:rsidR="0081682E" w:rsidRPr="00D362BE">
        <w:rPr>
          <w:rFonts w:ascii="Lato" w:hAnsi="Lato" w:cs="Calibri-Bold"/>
          <w:i/>
          <w:iCs/>
          <w:sz w:val="20"/>
          <w:szCs w:val="20"/>
        </w:rPr>
        <w:t xml:space="preserve"> 3.02.</w:t>
      </w:r>
      <w:r w:rsidR="00E45710" w:rsidRPr="00D362BE">
        <w:rPr>
          <w:rFonts w:ascii="Lato" w:hAnsi="Lato" w:cs="Calibri-Bold"/>
          <w:i/>
          <w:iCs/>
          <w:sz w:val="20"/>
          <w:szCs w:val="20"/>
        </w:rPr>
        <w:t>2</w:t>
      </w:r>
      <w:r w:rsidR="0081682E" w:rsidRPr="00D362BE">
        <w:rPr>
          <w:rFonts w:ascii="Lato" w:hAnsi="Lato" w:cs="Calibri-Bold"/>
          <w:i/>
          <w:iCs/>
          <w:sz w:val="20"/>
          <w:szCs w:val="20"/>
        </w:rPr>
        <w:t>023 r.</w:t>
      </w:r>
    </w:p>
    <w:p w14:paraId="262D1AC1" w14:textId="77777777" w:rsidR="00E95C15" w:rsidRPr="00D362BE" w:rsidRDefault="00E95C15">
      <w:pPr>
        <w:rPr>
          <w:rFonts w:ascii="Lato" w:hAnsi="Lato"/>
          <w:b/>
          <w:bCs/>
          <w:sz w:val="20"/>
          <w:szCs w:val="20"/>
        </w:rPr>
      </w:pPr>
    </w:p>
    <w:tbl>
      <w:tblPr>
        <w:tblStyle w:val="Tabela-Siatka"/>
        <w:tblW w:w="12753" w:type="dxa"/>
        <w:tblCellMar>
          <w:left w:w="70" w:type="dxa"/>
          <w:right w:w="70" w:type="dxa"/>
        </w:tblCellMar>
        <w:tblLook w:val="0000" w:firstRow="0" w:lastRow="0" w:firstColumn="0" w:lastColumn="0" w:noHBand="0" w:noVBand="0"/>
      </w:tblPr>
      <w:tblGrid>
        <w:gridCol w:w="495"/>
        <w:gridCol w:w="2091"/>
        <w:gridCol w:w="5902"/>
        <w:gridCol w:w="4265"/>
      </w:tblGrid>
      <w:tr w:rsidR="00B4010F" w14:paraId="4EB7C8D0" w14:textId="2747A51D" w:rsidTr="00823041">
        <w:trPr>
          <w:trHeight w:val="410"/>
        </w:trPr>
        <w:tc>
          <w:tcPr>
            <w:tcW w:w="12753" w:type="dxa"/>
            <w:gridSpan w:val="4"/>
          </w:tcPr>
          <w:p w14:paraId="02961930" w14:textId="004A723E" w:rsidR="00B4010F" w:rsidRPr="00B4010F" w:rsidRDefault="00B4010F">
            <w:pPr>
              <w:rPr>
                <w:rFonts w:ascii="Lato" w:hAnsi="Lato"/>
                <w:b/>
                <w:bCs/>
              </w:rPr>
            </w:pPr>
            <w:r w:rsidRPr="00B4010F">
              <w:rPr>
                <w:rFonts w:ascii="Lato" w:hAnsi="Lato"/>
                <w:b/>
                <w:bCs/>
              </w:rPr>
              <w:t>Kryteria horyzontalne</w:t>
            </w:r>
          </w:p>
        </w:tc>
      </w:tr>
      <w:tr w:rsidR="00D362BE" w:rsidRPr="00E45710" w14:paraId="6B814593" w14:textId="3345AF1E" w:rsidTr="00B4010F">
        <w:tblPrEx>
          <w:tblCellMar>
            <w:left w:w="108" w:type="dxa"/>
            <w:right w:w="108" w:type="dxa"/>
          </w:tblCellMar>
          <w:tblLook w:val="04A0" w:firstRow="1" w:lastRow="0" w:firstColumn="1" w:lastColumn="0" w:noHBand="0" w:noVBand="1"/>
        </w:tblPrEx>
        <w:tc>
          <w:tcPr>
            <w:tcW w:w="495" w:type="dxa"/>
            <w:shd w:val="clear" w:color="auto" w:fill="B4C6E7" w:themeFill="accent1" w:themeFillTint="66"/>
          </w:tcPr>
          <w:p w14:paraId="7E71940A" w14:textId="2EE0443D"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LP</w:t>
            </w:r>
          </w:p>
        </w:tc>
        <w:tc>
          <w:tcPr>
            <w:tcW w:w="2091" w:type="dxa"/>
            <w:shd w:val="clear" w:color="auto" w:fill="B4C6E7" w:themeFill="accent1" w:themeFillTint="66"/>
          </w:tcPr>
          <w:p w14:paraId="1F4E5AB3" w14:textId="38E5E0DE"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Nazwa kryterium</w:t>
            </w:r>
          </w:p>
        </w:tc>
        <w:tc>
          <w:tcPr>
            <w:tcW w:w="5902" w:type="dxa"/>
            <w:shd w:val="clear" w:color="auto" w:fill="B4C6E7" w:themeFill="accent1" w:themeFillTint="66"/>
          </w:tcPr>
          <w:p w14:paraId="1BFA46F7" w14:textId="1E54D0D4"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Opis kryterium</w:t>
            </w:r>
          </w:p>
        </w:tc>
        <w:tc>
          <w:tcPr>
            <w:tcW w:w="4265" w:type="dxa"/>
            <w:shd w:val="clear" w:color="auto" w:fill="B4C6E7" w:themeFill="accent1" w:themeFillTint="66"/>
          </w:tcPr>
          <w:p w14:paraId="7A110FA9" w14:textId="6EC0A66F"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Sposób weryfikacji</w:t>
            </w:r>
          </w:p>
        </w:tc>
      </w:tr>
      <w:tr w:rsidR="00D362BE" w:rsidRPr="00E45710" w14:paraId="0C4074FA" w14:textId="471F3277" w:rsidTr="00B4010F">
        <w:tblPrEx>
          <w:tblCellMar>
            <w:left w:w="108" w:type="dxa"/>
            <w:right w:w="108" w:type="dxa"/>
          </w:tblCellMar>
          <w:tblLook w:val="04A0" w:firstRow="1" w:lastRow="0" w:firstColumn="1" w:lastColumn="0" w:noHBand="0" w:noVBand="1"/>
        </w:tblPrEx>
        <w:tc>
          <w:tcPr>
            <w:tcW w:w="495" w:type="dxa"/>
          </w:tcPr>
          <w:p w14:paraId="25AAA43F" w14:textId="7257858B"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1.</w:t>
            </w:r>
          </w:p>
        </w:tc>
        <w:tc>
          <w:tcPr>
            <w:tcW w:w="2091" w:type="dxa"/>
          </w:tcPr>
          <w:p w14:paraId="0407D4AC"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Zgodność z ramami</w:t>
            </w:r>
          </w:p>
          <w:p w14:paraId="5956FC0E" w14:textId="5A7153AA"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czasowymi planu rozwojowego</w:t>
            </w:r>
          </w:p>
        </w:tc>
        <w:tc>
          <w:tcPr>
            <w:tcW w:w="5902" w:type="dxa"/>
          </w:tcPr>
          <w:p w14:paraId="5B28FD85" w14:textId="64F632F0"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Ocenie podlega czy harmonogram realizacji przedsięwzięcia nie przekracza ram czasowych kwalifikowalności przedsięwzięć określonych w następujących dokumentach tj.:</w:t>
            </w:r>
          </w:p>
          <w:p w14:paraId="40D056B6" w14:textId="752E750B"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 rozporządzeniu RRF – kwalifikowalne przedsięwzięcie może się zacząć nie wcześniej niż 01.02.2020 r. i zakończyć nie później niż 31.08.2026r</w:t>
            </w:r>
            <w:r w:rsidRPr="00E45710">
              <w:rPr>
                <w:rStyle w:val="Odwoanieprzypisudolnego"/>
                <w:rFonts w:ascii="Lato" w:hAnsi="Lato" w:cstheme="minorHAnsi"/>
                <w:sz w:val="20"/>
                <w:szCs w:val="20"/>
              </w:rPr>
              <w:footnoteReference w:id="1"/>
            </w:r>
            <w:r w:rsidRPr="00E45710">
              <w:rPr>
                <w:rFonts w:ascii="Lato" w:hAnsi="Lato" w:cstheme="minorHAnsi"/>
                <w:sz w:val="20"/>
                <w:szCs w:val="20"/>
              </w:rPr>
              <w:t>;</w:t>
            </w:r>
          </w:p>
          <w:p w14:paraId="0EA5D94A" w14:textId="77777777" w:rsidR="00D362BE" w:rsidRDefault="00D362BE" w:rsidP="00B4010F">
            <w:pPr>
              <w:spacing w:line="276" w:lineRule="auto"/>
              <w:rPr>
                <w:rFonts w:ascii="Lato" w:hAnsi="Lato" w:cstheme="minorHAnsi"/>
                <w:sz w:val="20"/>
                <w:szCs w:val="20"/>
              </w:rPr>
            </w:pPr>
            <w:r w:rsidRPr="00E45710">
              <w:rPr>
                <w:rFonts w:ascii="Lato" w:hAnsi="Lato" w:cstheme="minorHAnsi"/>
                <w:sz w:val="20"/>
                <w:szCs w:val="20"/>
              </w:rPr>
              <w:t>- planie rozwojowym – uzgodniony w planie rozwojowym (w tym w odpowiedniej decyzji implementacyjnej Rady UE) termin realizacji inwestycji i przedsięwzięcia.</w:t>
            </w:r>
          </w:p>
          <w:p w14:paraId="79109566" w14:textId="782DC32F" w:rsidR="00D362BE" w:rsidRPr="00E45710" w:rsidRDefault="00D362BE" w:rsidP="00B4010F">
            <w:pPr>
              <w:spacing w:line="276" w:lineRule="auto"/>
              <w:rPr>
                <w:rFonts w:ascii="Lato" w:hAnsi="Lato" w:cstheme="minorHAnsi"/>
                <w:sz w:val="20"/>
                <w:szCs w:val="20"/>
              </w:rPr>
            </w:pPr>
          </w:p>
        </w:tc>
        <w:tc>
          <w:tcPr>
            <w:tcW w:w="4265" w:type="dxa"/>
          </w:tcPr>
          <w:p w14:paraId="48DC8D20" w14:textId="7111DB37"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0/1</w:t>
            </w:r>
          </w:p>
        </w:tc>
      </w:tr>
      <w:tr w:rsidR="00D362BE" w:rsidRPr="00E45710" w14:paraId="26F311F0" w14:textId="77777777" w:rsidTr="00B4010F">
        <w:tblPrEx>
          <w:tblCellMar>
            <w:left w:w="108" w:type="dxa"/>
            <w:right w:w="108" w:type="dxa"/>
          </w:tblCellMar>
          <w:tblLook w:val="04A0" w:firstRow="1" w:lastRow="0" w:firstColumn="1" w:lastColumn="0" w:noHBand="0" w:noVBand="1"/>
        </w:tblPrEx>
        <w:tc>
          <w:tcPr>
            <w:tcW w:w="495" w:type="dxa"/>
          </w:tcPr>
          <w:p w14:paraId="334E2016" w14:textId="1714E0EB"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2.</w:t>
            </w:r>
          </w:p>
        </w:tc>
        <w:tc>
          <w:tcPr>
            <w:tcW w:w="2091" w:type="dxa"/>
          </w:tcPr>
          <w:p w14:paraId="0979955E"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Zgodność z planem</w:t>
            </w:r>
          </w:p>
          <w:p w14:paraId="5731B50C" w14:textId="1863F69E"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rozwojowym</w:t>
            </w:r>
          </w:p>
        </w:tc>
        <w:tc>
          <w:tcPr>
            <w:tcW w:w="5902" w:type="dxa"/>
          </w:tcPr>
          <w:p w14:paraId="68226E92" w14:textId="3D129DDC"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Warunkiem spełnienia kryterium jest zapewnienie przez ostatecznego odbiorcę zgodności przedsięwzięcia z planem rozwojowym oraz z przepisami rozporządzenia RRF, w tym zapewnienie, że:</w:t>
            </w:r>
          </w:p>
          <w:p w14:paraId="325DD576" w14:textId="4CD2B950"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lastRenderedPageBreak/>
              <w:t>- przedsięwzięcie jest zgodne z rodzajem przedsięwzięć przewidzianym w opisie właściwego komponentu planu rozwojowego;</w:t>
            </w:r>
          </w:p>
          <w:p w14:paraId="7345ABFC" w14:textId="49A2C7E3"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 nie przekroczono pułapu maksymalnego poziomu finansowania dla danego typu przedsięwzięcia;</w:t>
            </w:r>
          </w:p>
          <w:p w14:paraId="6F37F08B" w14:textId="77777777" w:rsidR="00D362BE"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 ostateczny odbiorca składający wniosek o objęcie wsparciem jest uprawniony do ubiegania się przyznanie dofinansowania i nie jest wykluczony z dofinansowania na podstawie art. 207 ustawy z dnia 27 sierpnia 2009 r. o finansach publicznych (Dz. U. z 2022 r. poz. 1643 wraz z późn. zm.) (oświadczenie ostatecznego odbiorcy składającego wniosek o objęcie wsparciem)</w:t>
            </w:r>
            <w:r>
              <w:rPr>
                <w:rFonts w:ascii="Lato" w:hAnsi="Lato" w:cstheme="minorHAnsi"/>
                <w:sz w:val="20"/>
                <w:szCs w:val="20"/>
              </w:rPr>
              <w:t>.</w:t>
            </w:r>
          </w:p>
          <w:p w14:paraId="28FB6B05" w14:textId="531BDE9C" w:rsidR="00D362BE" w:rsidRPr="00E45710" w:rsidRDefault="00D362BE" w:rsidP="00B4010F">
            <w:pPr>
              <w:autoSpaceDE w:val="0"/>
              <w:autoSpaceDN w:val="0"/>
              <w:adjustRightInd w:val="0"/>
              <w:rPr>
                <w:rFonts w:ascii="Lato" w:hAnsi="Lato" w:cstheme="minorHAnsi"/>
                <w:sz w:val="20"/>
                <w:szCs w:val="20"/>
              </w:rPr>
            </w:pPr>
          </w:p>
        </w:tc>
        <w:tc>
          <w:tcPr>
            <w:tcW w:w="4265" w:type="dxa"/>
          </w:tcPr>
          <w:p w14:paraId="50457A9A" w14:textId="230739FB"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lastRenderedPageBreak/>
              <w:t>0/1</w:t>
            </w:r>
          </w:p>
        </w:tc>
      </w:tr>
      <w:tr w:rsidR="00D362BE" w:rsidRPr="00E45710" w14:paraId="77FA57E3" w14:textId="77777777" w:rsidTr="00B4010F">
        <w:tblPrEx>
          <w:tblCellMar>
            <w:left w:w="108" w:type="dxa"/>
            <w:right w:w="108" w:type="dxa"/>
          </w:tblCellMar>
          <w:tblLook w:val="04A0" w:firstRow="1" w:lastRow="0" w:firstColumn="1" w:lastColumn="0" w:noHBand="0" w:noVBand="1"/>
        </w:tblPrEx>
        <w:tc>
          <w:tcPr>
            <w:tcW w:w="495" w:type="dxa"/>
          </w:tcPr>
          <w:p w14:paraId="6596B456" w14:textId="5DA90C79"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3.</w:t>
            </w:r>
          </w:p>
        </w:tc>
        <w:tc>
          <w:tcPr>
            <w:tcW w:w="2091" w:type="dxa"/>
          </w:tcPr>
          <w:p w14:paraId="47432728"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Brak podwójnego</w:t>
            </w:r>
          </w:p>
          <w:p w14:paraId="619142CC" w14:textId="76420F5B"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finansowania</w:t>
            </w:r>
          </w:p>
        </w:tc>
        <w:tc>
          <w:tcPr>
            <w:tcW w:w="5902" w:type="dxa"/>
          </w:tcPr>
          <w:p w14:paraId="1CE1CED3" w14:textId="0C741591"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Analizowane jest czy ostateczny odbiorca nie otrzymał już finansowania na ten sam cel w ramach planu rozwojowego lub innych unijnych programów, instrumentów, funduszy w ramach budżetu Unii Europejskiej na realizację zakresu prac zakładanego w ramach realizacji przedsięwzięcia.</w:t>
            </w:r>
          </w:p>
          <w:p w14:paraId="1584A33B" w14:textId="77777777" w:rsidR="00D362BE" w:rsidRPr="00E45710" w:rsidRDefault="00D362BE" w:rsidP="00B4010F">
            <w:pPr>
              <w:autoSpaceDE w:val="0"/>
              <w:autoSpaceDN w:val="0"/>
              <w:adjustRightInd w:val="0"/>
              <w:rPr>
                <w:rFonts w:ascii="Lato" w:hAnsi="Lato" w:cstheme="minorHAnsi"/>
                <w:sz w:val="20"/>
                <w:szCs w:val="20"/>
              </w:rPr>
            </w:pPr>
          </w:p>
          <w:p w14:paraId="290E0F55" w14:textId="77777777" w:rsidR="00D362BE"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Weryfikacja na etapie oceny wniosku o objęcie wsparciem będzie obejmować co najmniej oświadczenie o braku podwójnego finansowania przedsięwzięcia złożone przez ostatecznego odbiorcę, wynikające z zakazu podwójnego finansowania, o którym mowa w Rozporządzeniu RRF.</w:t>
            </w:r>
          </w:p>
          <w:p w14:paraId="1CBC7A1B" w14:textId="5013F796" w:rsidR="00D362BE" w:rsidRPr="00E45710" w:rsidRDefault="00D362BE" w:rsidP="00B4010F">
            <w:pPr>
              <w:autoSpaceDE w:val="0"/>
              <w:autoSpaceDN w:val="0"/>
              <w:adjustRightInd w:val="0"/>
              <w:rPr>
                <w:rFonts w:ascii="Lato" w:hAnsi="Lato" w:cstheme="minorHAnsi"/>
                <w:sz w:val="20"/>
                <w:szCs w:val="20"/>
              </w:rPr>
            </w:pPr>
          </w:p>
        </w:tc>
        <w:tc>
          <w:tcPr>
            <w:tcW w:w="4265" w:type="dxa"/>
          </w:tcPr>
          <w:p w14:paraId="05A52A2A" w14:textId="10E9E52E"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0/1</w:t>
            </w:r>
          </w:p>
        </w:tc>
      </w:tr>
      <w:tr w:rsidR="00D362BE" w:rsidRPr="00E45710" w14:paraId="0540F450" w14:textId="77777777" w:rsidTr="00B4010F">
        <w:tblPrEx>
          <w:tblCellMar>
            <w:left w:w="108" w:type="dxa"/>
            <w:right w:w="108" w:type="dxa"/>
          </w:tblCellMar>
          <w:tblLook w:val="04A0" w:firstRow="1" w:lastRow="0" w:firstColumn="1" w:lastColumn="0" w:noHBand="0" w:noVBand="1"/>
        </w:tblPrEx>
        <w:tc>
          <w:tcPr>
            <w:tcW w:w="495" w:type="dxa"/>
          </w:tcPr>
          <w:p w14:paraId="6200EF2B" w14:textId="723716E3"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4.</w:t>
            </w:r>
          </w:p>
        </w:tc>
        <w:tc>
          <w:tcPr>
            <w:tcW w:w="2091" w:type="dxa"/>
          </w:tcPr>
          <w:p w14:paraId="1FC1ABE9"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Spójność informacji</w:t>
            </w:r>
          </w:p>
          <w:p w14:paraId="63ECD399"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zawartych we</w:t>
            </w:r>
          </w:p>
          <w:p w14:paraId="0F7E7924"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wniosku o objęcie</w:t>
            </w:r>
          </w:p>
          <w:p w14:paraId="01FA046B"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wsparciem,</w:t>
            </w:r>
          </w:p>
          <w:p w14:paraId="6F882208"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załącznikach do</w:t>
            </w:r>
          </w:p>
          <w:p w14:paraId="548E90B5"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wniosku o objęcie</w:t>
            </w:r>
          </w:p>
          <w:p w14:paraId="57C8E1FD" w14:textId="77777777" w:rsidR="00D362BE" w:rsidRDefault="00D362BE" w:rsidP="00B4010F">
            <w:pPr>
              <w:spacing w:line="276" w:lineRule="auto"/>
              <w:rPr>
                <w:rFonts w:ascii="Lato" w:hAnsi="Lato" w:cstheme="minorHAnsi"/>
                <w:sz w:val="20"/>
                <w:szCs w:val="20"/>
              </w:rPr>
            </w:pPr>
            <w:r w:rsidRPr="00E45710">
              <w:rPr>
                <w:rFonts w:ascii="Lato" w:hAnsi="Lato" w:cstheme="minorHAnsi"/>
                <w:sz w:val="20"/>
                <w:szCs w:val="20"/>
              </w:rPr>
              <w:t>wsparciem</w:t>
            </w:r>
          </w:p>
          <w:p w14:paraId="58E41FBC" w14:textId="6E33E443" w:rsidR="00834A6C" w:rsidRPr="00E45710" w:rsidRDefault="00834A6C" w:rsidP="00B4010F">
            <w:pPr>
              <w:spacing w:line="276" w:lineRule="auto"/>
              <w:rPr>
                <w:rFonts w:ascii="Lato" w:hAnsi="Lato" w:cstheme="minorHAnsi"/>
                <w:sz w:val="20"/>
                <w:szCs w:val="20"/>
              </w:rPr>
            </w:pPr>
          </w:p>
        </w:tc>
        <w:tc>
          <w:tcPr>
            <w:tcW w:w="5902" w:type="dxa"/>
          </w:tcPr>
          <w:p w14:paraId="703A8379" w14:textId="55DC3BFB"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Ocena polega na weryfikacji spójności informacji zawartych we wniosku o objęcie wsparciem, oświadczeniach oraz załącznikach do wniosku o objęcie wsparciem.</w:t>
            </w:r>
          </w:p>
          <w:p w14:paraId="6E3337C0" w14:textId="075D2EA0"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Wymóg spójności dokumentów nie oznacza konieczności sporządzania na nowo dokumentów przygotowanych na wcześniejszym etapie przygotowania przedsięwzięcia.</w:t>
            </w:r>
          </w:p>
          <w:p w14:paraId="42A24457" w14:textId="7BC64F67" w:rsidR="00D362BE" w:rsidRPr="00E45710" w:rsidRDefault="00D362BE" w:rsidP="00B4010F">
            <w:pPr>
              <w:autoSpaceDE w:val="0"/>
              <w:autoSpaceDN w:val="0"/>
              <w:adjustRightInd w:val="0"/>
              <w:rPr>
                <w:rFonts w:ascii="Lato" w:hAnsi="Lato" w:cstheme="minorHAnsi"/>
                <w:sz w:val="20"/>
                <w:szCs w:val="20"/>
              </w:rPr>
            </w:pPr>
          </w:p>
        </w:tc>
        <w:tc>
          <w:tcPr>
            <w:tcW w:w="4265" w:type="dxa"/>
          </w:tcPr>
          <w:p w14:paraId="66249DA9" w14:textId="08B8782B" w:rsidR="00D362BE" w:rsidRPr="00E45710" w:rsidRDefault="00D362BE" w:rsidP="00B4010F">
            <w:pPr>
              <w:spacing w:line="276" w:lineRule="auto"/>
              <w:rPr>
                <w:rFonts w:ascii="Lato" w:hAnsi="Lato" w:cstheme="minorHAnsi"/>
                <w:i/>
                <w:iCs/>
                <w:sz w:val="20"/>
                <w:szCs w:val="20"/>
              </w:rPr>
            </w:pPr>
            <w:r w:rsidRPr="00E45710">
              <w:rPr>
                <w:rFonts w:ascii="Lato" w:hAnsi="Lato" w:cstheme="minorHAnsi"/>
                <w:sz w:val="20"/>
                <w:szCs w:val="20"/>
              </w:rPr>
              <w:t>0/1</w:t>
            </w:r>
          </w:p>
        </w:tc>
      </w:tr>
      <w:tr w:rsidR="00D362BE" w:rsidRPr="00E45710" w14:paraId="7C0DF021" w14:textId="77777777" w:rsidTr="00B4010F">
        <w:tblPrEx>
          <w:tblCellMar>
            <w:left w:w="108" w:type="dxa"/>
            <w:right w:w="108" w:type="dxa"/>
          </w:tblCellMar>
          <w:tblLook w:val="04A0" w:firstRow="1" w:lastRow="0" w:firstColumn="1" w:lastColumn="0" w:noHBand="0" w:noVBand="1"/>
        </w:tblPrEx>
        <w:tc>
          <w:tcPr>
            <w:tcW w:w="495" w:type="dxa"/>
          </w:tcPr>
          <w:p w14:paraId="110AC12C" w14:textId="386E540E"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5.</w:t>
            </w:r>
          </w:p>
        </w:tc>
        <w:tc>
          <w:tcPr>
            <w:tcW w:w="2091" w:type="dxa"/>
          </w:tcPr>
          <w:p w14:paraId="01E4E8E5"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Zachowanie</w:t>
            </w:r>
          </w:p>
          <w:p w14:paraId="45C75881"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zgodności z zasadą</w:t>
            </w:r>
          </w:p>
          <w:p w14:paraId="0B9B395E"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równości szans</w:t>
            </w:r>
          </w:p>
          <w:p w14:paraId="5CF46FDD"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lastRenderedPageBreak/>
              <w:t>i niedyskryminacji</w:t>
            </w:r>
          </w:p>
          <w:p w14:paraId="28744B47"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oraz zasadą</w:t>
            </w:r>
          </w:p>
          <w:p w14:paraId="10789C0B"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równości szans</w:t>
            </w:r>
          </w:p>
          <w:p w14:paraId="64A160F7" w14:textId="7E06FCC7"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kobiet i mężczyzn</w:t>
            </w:r>
          </w:p>
        </w:tc>
        <w:tc>
          <w:tcPr>
            <w:tcW w:w="5902" w:type="dxa"/>
          </w:tcPr>
          <w:p w14:paraId="149013A3" w14:textId="3BC0EC83"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lastRenderedPageBreak/>
              <w:t xml:space="preserve">Sprawdzana jest zgodność przedsięwzięcia z horyzontalnymi zasadami niedyskryminacji i równości szans ze względu na płeć. W szczególności przedmiotem sprawdzenia jest czy </w:t>
            </w:r>
            <w:r w:rsidRPr="00E45710">
              <w:rPr>
                <w:rFonts w:ascii="Lato" w:hAnsi="Lato" w:cstheme="minorHAnsi"/>
                <w:sz w:val="20"/>
                <w:szCs w:val="20"/>
              </w:rPr>
              <w:lastRenderedPageBreak/>
              <w:t xml:space="preserve">przedsięwzięcie nie ogranicza równego dostępu do zasobów (towarów, usług, infrastruktury) ze względu na płeć, pochodzenie rasowe lub etniczne, religię lub przekonania, niepełnosprawność, wiek lub orientację seksualną. Niedyskryminacyjny charakter przedsięwzięcia oznacza konieczność stosowania zasady uniwersalnego projektowania i racjonalnych usprawnień zapewniających dostępność oraz możliwości korzystania ze wspieranej infrastruktury, w szczególności poprzez zastosowanie </w:t>
            </w:r>
            <w:r w:rsidRPr="00E45710">
              <w:rPr>
                <w:rFonts w:ascii="Lato" w:hAnsi="Lato" w:cstheme="minorHAnsi"/>
                <w:i/>
                <w:iCs/>
                <w:sz w:val="20"/>
                <w:szCs w:val="20"/>
              </w:rPr>
              <w:t>Standardów dostępności dla polityki spójności na lata 2021-2027</w:t>
            </w:r>
            <w:r w:rsidRPr="00E45710">
              <w:rPr>
                <w:rFonts w:ascii="Lato" w:hAnsi="Lato" w:cstheme="minorHAnsi"/>
                <w:sz w:val="20"/>
                <w:szCs w:val="20"/>
              </w:rPr>
              <w:t>.</w:t>
            </w:r>
          </w:p>
          <w:p w14:paraId="2A3686BA" w14:textId="77777777" w:rsidR="00D362BE" w:rsidRPr="00E45710" w:rsidRDefault="00D362BE" w:rsidP="00B4010F">
            <w:pPr>
              <w:spacing w:line="276" w:lineRule="auto"/>
              <w:rPr>
                <w:rFonts w:ascii="Lato" w:hAnsi="Lato" w:cstheme="minorHAnsi"/>
                <w:sz w:val="20"/>
                <w:szCs w:val="20"/>
              </w:rPr>
            </w:pPr>
          </w:p>
          <w:p w14:paraId="71D0F6DE"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Kryterium uznaje się za spełnione, jeżeli przedsięwzięcie:</w:t>
            </w:r>
          </w:p>
          <w:p w14:paraId="79BD1940" w14:textId="2A22523A"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 jest zgodne z zasadą równości szans i niedyskryminacji oraz zasadą równości szans kobiet i mężczyzn. W wyjątkowych sytuacjach dopuszczalne jest uznanie neutralności przedsięwzięcia w stosunku do zasady równości szans kobiet i mężczyzn, o ile ostateczny odbiorca wskaże szczegółowe uzasadnienie, dlaczego dane przedsięwzięcie nie jest w stanie zrealizować jakichkolwiek działań w tym zakresie;</w:t>
            </w:r>
          </w:p>
          <w:p w14:paraId="0C9B579E" w14:textId="77777777" w:rsidR="00D362BE"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 zapewnia dostępność produktów przedsięwzięcia dla osób z niepełnosprawnościami. W wyjątkowych sytuacjach dopuszczalne jest uznanie neutralności produktu przedsięwzięcia w stosunku do niniejszej zasady, o ile ostateczny odbiorca wskaże szczegółowe uzasadnienie, dlaczego dany produkt przedsięwzięcia nie jest w stanie zrealizować jakichkolwiek działań w tym zakresie.</w:t>
            </w:r>
          </w:p>
          <w:p w14:paraId="00339E35" w14:textId="77777777" w:rsidR="00722D56" w:rsidRDefault="00722D56" w:rsidP="00B4010F">
            <w:pPr>
              <w:autoSpaceDE w:val="0"/>
              <w:autoSpaceDN w:val="0"/>
              <w:adjustRightInd w:val="0"/>
              <w:rPr>
                <w:rFonts w:ascii="Lato" w:hAnsi="Lato" w:cstheme="minorHAnsi"/>
                <w:sz w:val="20"/>
                <w:szCs w:val="20"/>
              </w:rPr>
            </w:pPr>
          </w:p>
          <w:p w14:paraId="47DEFCEE" w14:textId="77777777" w:rsidR="00722D56" w:rsidRPr="00722D56" w:rsidRDefault="00722D56" w:rsidP="00B4010F">
            <w:pPr>
              <w:autoSpaceDE w:val="0"/>
              <w:autoSpaceDN w:val="0"/>
              <w:adjustRightInd w:val="0"/>
              <w:rPr>
                <w:rFonts w:ascii="Lato" w:hAnsi="Lato" w:cstheme="minorHAnsi"/>
                <w:sz w:val="20"/>
                <w:szCs w:val="20"/>
                <w:u w:val="single"/>
              </w:rPr>
            </w:pPr>
            <w:r w:rsidRPr="00722D56">
              <w:rPr>
                <w:rFonts w:ascii="Lato" w:hAnsi="Lato" w:cstheme="minorHAnsi"/>
                <w:sz w:val="20"/>
                <w:szCs w:val="20"/>
                <w:u w:val="single"/>
              </w:rPr>
              <w:t>Uwaga:</w:t>
            </w:r>
          </w:p>
          <w:p w14:paraId="276442A9" w14:textId="59F2D880" w:rsidR="00722D56" w:rsidRDefault="00722D56" w:rsidP="00B4010F">
            <w:pPr>
              <w:autoSpaceDE w:val="0"/>
              <w:autoSpaceDN w:val="0"/>
              <w:adjustRightInd w:val="0"/>
              <w:rPr>
                <w:rFonts w:ascii="Lato" w:hAnsi="Lato" w:cstheme="minorHAnsi"/>
                <w:sz w:val="20"/>
                <w:szCs w:val="20"/>
              </w:rPr>
            </w:pPr>
            <w:r w:rsidRPr="00722D56">
              <w:rPr>
                <w:rFonts w:ascii="Lato" w:hAnsi="Lato" w:cstheme="minorHAnsi"/>
                <w:sz w:val="20"/>
                <w:szCs w:val="20"/>
              </w:rPr>
              <w:t>Kryterium podlega ocenie na podstawie deklaracji złożonej przez Wnioskodawcę we Wniosku o objęcie przedsięwzięcia wsparciem.</w:t>
            </w:r>
          </w:p>
          <w:p w14:paraId="1E11D579" w14:textId="1B6F018E" w:rsidR="00D362BE" w:rsidRPr="00E45710" w:rsidRDefault="00D362BE" w:rsidP="00B4010F">
            <w:pPr>
              <w:autoSpaceDE w:val="0"/>
              <w:autoSpaceDN w:val="0"/>
              <w:adjustRightInd w:val="0"/>
              <w:rPr>
                <w:rFonts w:ascii="Lato" w:hAnsi="Lato" w:cstheme="minorHAnsi"/>
                <w:sz w:val="20"/>
                <w:szCs w:val="20"/>
              </w:rPr>
            </w:pPr>
          </w:p>
        </w:tc>
        <w:tc>
          <w:tcPr>
            <w:tcW w:w="4265" w:type="dxa"/>
          </w:tcPr>
          <w:p w14:paraId="2D375275" w14:textId="27E6B4EE" w:rsidR="00D362BE" w:rsidRPr="00E45710" w:rsidRDefault="00D362BE" w:rsidP="00B4010F">
            <w:pPr>
              <w:spacing w:line="276" w:lineRule="auto"/>
              <w:rPr>
                <w:rFonts w:ascii="Lato" w:hAnsi="Lato" w:cstheme="minorHAnsi"/>
                <w:i/>
                <w:iCs/>
                <w:sz w:val="20"/>
                <w:szCs w:val="20"/>
              </w:rPr>
            </w:pPr>
            <w:r w:rsidRPr="00E45710">
              <w:rPr>
                <w:rFonts w:ascii="Lato" w:hAnsi="Lato" w:cstheme="minorHAnsi"/>
                <w:sz w:val="20"/>
                <w:szCs w:val="20"/>
              </w:rPr>
              <w:lastRenderedPageBreak/>
              <w:t>0/1</w:t>
            </w:r>
          </w:p>
        </w:tc>
      </w:tr>
      <w:tr w:rsidR="00D362BE" w:rsidRPr="00E45710" w14:paraId="464F60EF" w14:textId="77777777" w:rsidTr="00B4010F">
        <w:tblPrEx>
          <w:tblCellMar>
            <w:left w:w="108" w:type="dxa"/>
            <w:right w:w="108" w:type="dxa"/>
          </w:tblCellMar>
          <w:tblLook w:val="04A0" w:firstRow="1" w:lastRow="0" w:firstColumn="1" w:lastColumn="0" w:noHBand="0" w:noVBand="1"/>
        </w:tblPrEx>
        <w:tc>
          <w:tcPr>
            <w:tcW w:w="495" w:type="dxa"/>
          </w:tcPr>
          <w:p w14:paraId="32584E25" w14:textId="5C9B1A67"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6.</w:t>
            </w:r>
          </w:p>
        </w:tc>
        <w:tc>
          <w:tcPr>
            <w:tcW w:w="2091" w:type="dxa"/>
          </w:tcPr>
          <w:p w14:paraId="7D8237FA"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Właściwie</w:t>
            </w:r>
          </w:p>
          <w:p w14:paraId="07AA7D44"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określone wydatki</w:t>
            </w:r>
          </w:p>
          <w:p w14:paraId="00BAC2DA" w14:textId="32944E87"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kwalifikowalne</w:t>
            </w:r>
          </w:p>
        </w:tc>
        <w:tc>
          <w:tcPr>
            <w:tcW w:w="5902" w:type="dxa"/>
          </w:tcPr>
          <w:p w14:paraId="1B5D8EB7" w14:textId="2D99DD4D"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Sprawdzana jest kwalifikowalność, adekwatność i racjonalność wydatków planowanych do poniesienia w ramach przedsięwzięcia.</w:t>
            </w:r>
          </w:p>
          <w:p w14:paraId="0E3B0263" w14:textId="7180A92E"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lastRenderedPageBreak/>
              <w:t>Weryfikacja kwalifikowalności obejmuje następujące warunki:</w:t>
            </w:r>
          </w:p>
          <w:p w14:paraId="7AC64285" w14:textId="6F15E831"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 VAT nie jest wydatkiem kwalifikowalnym i nie może być finansowany ze środków RRF w ramach żadnej z inwestycji/przedsięwzięcia;</w:t>
            </w:r>
          </w:p>
          <w:p w14:paraId="2C5BDF15" w14:textId="45D1C52C"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 bieżące wydatki publiczne nie są wydatkami kwalifikowalnymi, w tym koszty instytucji publicznych oraz administracji publicznej, związane z bieżącą obsługą przygotowania i realizacji reform i inwestycji w ramach planu rozwojowego (w tym wynagrodzenia urzędników</w:t>
            </w:r>
            <w:r>
              <w:rPr>
                <w:rStyle w:val="Odwoanieprzypisudolnego"/>
                <w:rFonts w:ascii="Lato" w:hAnsi="Lato" w:cstheme="minorHAnsi"/>
                <w:sz w:val="20"/>
                <w:szCs w:val="20"/>
              </w:rPr>
              <w:footnoteReference w:id="2"/>
            </w:r>
            <w:r w:rsidRPr="00E45710">
              <w:rPr>
                <w:rFonts w:ascii="Lato" w:hAnsi="Lato" w:cstheme="minorHAnsi"/>
                <w:sz w:val="20"/>
                <w:szCs w:val="20"/>
              </w:rPr>
              <w:t>);</w:t>
            </w:r>
          </w:p>
          <w:p w14:paraId="433F739D" w14:textId="5A1A061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 koszty finansowane w ramach planu rozwojowego muszą być powiązane z realizacją prac stanowiących integralną część inwestycji i służą zapewnieniu osiągnięcia jej celów</w:t>
            </w:r>
            <w:r>
              <w:rPr>
                <w:rFonts w:ascii="Lato" w:hAnsi="Lato" w:cstheme="minorHAnsi"/>
                <w:sz w:val="20"/>
                <w:szCs w:val="20"/>
              </w:rPr>
              <w:t>.</w:t>
            </w:r>
          </w:p>
          <w:p w14:paraId="17D1DDC5" w14:textId="069A8A0E" w:rsidR="00D362BE" w:rsidRPr="00E45710" w:rsidRDefault="00D362BE" w:rsidP="00B4010F">
            <w:pPr>
              <w:autoSpaceDE w:val="0"/>
              <w:autoSpaceDN w:val="0"/>
              <w:adjustRightInd w:val="0"/>
              <w:rPr>
                <w:rFonts w:ascii="Lato" w:hAnsi="Lato" w:cstheme="minorHAnsi"/>
                <w:strike/>
                <w:sz w:val="20"/>
                <w:szCs w:val="20"/>
              </w:rPr>
            </w:pPr>
          </w:p>
        </w:tc>
        <w:tc>
          <w:tcPr>
            <w:tcW w:w="4265" w:type="dxa"/>
          </w:tcPr>
          <w:p w14:paraId="6935875C" w14:textId="58B7E7D9" w:rsidR="00D362BE" w:rsidRPr="00E45710" w:rsidRDefault="00D362BE" w:rsidP="00B4010F">
            <w:pPr>
              <w:spacing w:line="276" w:lineRule="auto"/>
              <w:rPr>
                <w:rFonts w:ascii="Lato" w:hAnsi="Lato" w:cstheme="minorHAnsi"/>
                <w:i/>
                <w:iCs/>
                <w:sz w:val="20"/>
                <w:szCs w:val="20"/>
              </w:rPr>
            </w:pPr>
            <w:r w:rsidRPr="00E45710">
              <w:rPr>
                <w:rFonts w:ascii="Lato" w:hAnsi="Lato" w:cstheme="minorHAnsi"/>
                <w:sz w:val="20"/>
                <w:szCs w:val="20"/>
              </w:rPr>
              <w:lastRenderedPageBreak/>
              <w:t>0/1</w:t>
            </w:r>
          </w:p>
        </w:tc>
      </w:tr>
      <w:tr w:rsidR="00D362BE" w:rsidRPr="00E45710" w14:paraId="440C1E04" w14:textId="77777777" w:rsidTr="00B4010F">
        <w:tblPrEx>
          <w:tblCellMar>
            <w:left w:w="108" w:type="dxa"/>
            <w:right w:w="108" w:type="dxa"/>
          </w:tblCellMar>
          <w:tblLook w:val="04A0" w:firstRow="1" w:lastRow="0" w:firstColumn="1" w:lastColumn="0" w:noHBand="0" w:noVBand="1"/>
        </w:tblPrEx>
        <w:tc>
          <w:tcPr>
            <w:tcW w:w="495" w:type="dxa"/>
          </w:tcPr>
          <w:p w14:paraId="597C1D60" w14:textId="0CF30686"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7.</w:t>
            </w:r>
          </w:p>
        </w:tc>
        <w:tc>
          <w:tcPr>
            <w:tcW w:w="2091" w:type="dxa"/>
          </w:tcPr>
          <w:p w14:paraId="10DF7C88"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Sytuacja finansowa</w:t>
            </w:r>
          </w:p>
          <w:p w14:paraId="68B92586"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ostatecznego</w:t>
            </w:r>
          </w:p>
          <w:p w14:paraId="21E187C2"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odbiorcy</w:t>
            </w:r>
          </w:p>
          <w:p w14:paraId="6421DD8A"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i wykonalność</w:t>
            </w:r>
          </w:p>
          <w:p w14:paraId="023CDC97"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finansowa</w:t>
            </w:r>
          </w:p>
          <w:p w14:paraId="097FD65A" w14:textId="73E73E15"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przedsięwzięcia</w:t>
            </w:r>
          </w:p>
        </w:tc>
        <w:tc>
          <w:tcPr>
            <w:tcW w:w="5902" w:type="dxa"/>
          </w:tcPr>
          <w:p w14:paraId="12132E9F" w14:textId="402D28BE"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Weryfikowane jest czy sytuacja finansowa ostatecznego odbiorcy nie zagraża realizacji i utrzymaniu rezultatów przedsięwzięcia oraz czy przedstawione zostały wiarygodne źródła współfinansowania przedsięwzięcia (o ile takie jest wymagane dla jego realizacji).</w:t>
            </w:r>
          </w:p>
          <w:p w14:paraId="5BB9674C" w14:textId="1B68FE71"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W przypadku osób fizycznych otrzymujących wsparcie bezpośrednie weryfikacja zdolności finansowej nie jest realizowana.</w:t>
            </w:r>
          </w:p>
          <w:p w14:paraId="084EF272" w14:textId="71E45E6C"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W przypadku osób fizycznych prowadzących działalność gospodarczą zdolność finansowa może podlegać weryfikacji.</w:t>
            </w:r>
          </w:p>
        </w:tc>
        <w:tc>
          <w:tcPr>
            <w:tcW w:w="4265" w:type="dxa"/>
          </w:tcPr>
          <w:p w14:paraId="58208219" w14:textId="77777777" w:rsidR="00D362BE" w:rsidRDefault="00D362BE" w:rsidP="00B4010F">
            <w:pPr>
              <w:spacing w:line="276" w:lineRule="auto"/>
              <w:rPr>
                <w:rFonts w:ascii="Lato" w:hAnsi="Lato" w:cstheme="minorHAnsi"/>
                <w:sz w:val="20"/>
                <w:szCs w:val="20"/>
              </w:rPr>
            </w:pPr>
            <w:r w:rsidRPr="00E45710">
              <w:rPr>
                <w:rFonts w:ascii="Lato" w:hAnsi="Lato" w:cstheme="minorHAnsi"/>
                <w:sz w:val="20"/>
                <w:szCs w:val="20"/>
              </w:rPr>
              <w:t>Nie dotyczy</w:t>
            </w:r>
          </w:p>
          <w:p w14:paraId="228749EE" w14:textId="77777777" w:rsidR="00D362BE" w:rsidRDefault="00D362BE" w:rsidP="00B4010F">
            <w:pPr>
              <w:spacing w:line="276" w:lineRule="auto"/>
              <w:rPr>
                <w:rFonts w:ascii="Lato" w:hAnsi="Lato" w:cstheme="minorHAnsi"/>
                <w:sz w:val="20"/>
                <w:szCs w:val="20"/>
              </w:rPr>
            </w:pPr>
          </w:p>
          <w:p w14:paraId="74BB797C" w14:textId="77777777" w:rsidR="00D362BE" w:rsidRPr="00E45710" w:rsidRDefault="00D362BE" w:rsidP="00B4010F">
            <w:pPr>
              <w:spacing w:line="276" w:lineRule="auto"/>
              <w:rPr>
                <w:rFonts w:ascii="Lato" w:hAnsi="Lato" w:cstheme="minorHAnsi"/>
                <w:i/>
                <w:iCs/>
                <w:sz w:val="20"/>
                <w:szCs w:val="20"/>
              </w:rPr>
            </w:pPr>
            <w:r w:rsidRPr="00E45710">
              <w:rPr>
                <w:rFonts w:ascii="Lato" w:hAnsi="Lato" w:cstheme="minorHAnsi"/>
                <w:i/>
                <w:iCs/>
                <w:sz w:val="20"/>
                <w:szCs w:val="20"/>
              </w:rPr>
              <w:t>IOI nie zakłada weryfikacji sytuacji finansowej w oparciu o dokumenty finansowe. Weryfikacja taka jest niezasadna w związku z charakterem podmiotów</w:t>
            </w:r>
            <w:r w:rsidRPr="00E45710">
              <w:rPr>
                <w:rFonts w:ascii="Lato" w:hAnsi="Lato" w:cstheme="minorHAnsi"/>
                <w:sz w:val="20"/>
                <w:szCs w:val="20"/>
              </w:rPr>
              <w:t xml:space="preserve"> </w:t>
            </w:r>
            <w:r w:rsidRPr="00E45710">
              <w:rPr>
                <w:rFonts w:ascii="Lato" w:hAnsi="Lato" w:cstheme="minorHAnsi"/>
                <w:i/>
                <w:iCs/>
                <w:sz w:val="20"/>
                <w:szCs w:val="20"/>
              </w:rPr>
              <w:t xml:space="preserve">będących OOW (uczelnie kształcące na kierunkach medycznych) oraz ze względu na Grupę docelową wsparcia (studenci otrzymujący stypendium). </w:t>
            </w:r>
          </w:p>
          <w:p w14:paraId="57306F80" w14:textId="77777777" w:rsidR="00D362BE" w:rsidRPr="00E45710" w:rsidRDefault="00D362BE" w:rsidP="00B4010F">
            <w:pPr>
              <w:spacing w:line="276" w:lineRule="auto"/>
              <w:rPr>
                <w:rFonts w:ascii="Lato" w:hAnsi="Lato" w:cstheme="minorHAnsi"/>
                <w:i/>
                <w:iCs/>
                <w:sz w:val="20"/>
                <w:szCs w:val="20"/>
              </w:rPr>
            </w:pPr>
            <w:r w:rsidRPr="00E45710">
              <w:rPr>
                <w:rFonts w:ascii="Lato" w:hAnsi="Lato" w:cstheme="minorHAnsi"/>
                <w:i/>
                <w:iCs/>
                <w:sz w:val="20"/>
                <w:szCs w:val="20"/>
              </w:rPr>
              <w:t xml:space="preserve">Ponadto, oddzielnie weryfikowana jest jakość uczelni poprzez badanie, czy uczelnia nie jest postawiona w stan likwidacji oraz badanie spełnienia wymogów pochodzących bezpośrednio z systemu zachęt, tj. wymogu związanego z ilością zrekrutowanych studentów w roku akademickim 2022/2023 i </w:t>
            </w:r>
            <w:r w:rsidRPr="00E45710">
              <w:rPr>
                <w:rFonts w:ascii="Lato" w:hAnsi="Lato" w:cstheme="minorHAnsi"/>
                <w:i/>
                <w:iCs/>
                <w:sz w:val="20"/>
                <w:szCs w:val="20"/>
              </w:rPr>
              <w:lastRenderedPageBreak/>
              <w:t>2023/2024 oraz łączną ilością kształconych studentów na kierunkach objętych wsparciem wg stanu na dzień 31.12.2021 r. (dla edycji 2022/2023) i 31.12.2022 r. (dla edycji 2023/2024).</w:t>
            </w:r>
          </w:p>
          <w:p w14:paraId="57B7B849" w14:textId="4A4DB78C" w:rsidR="00D362BE" w:rsidRPr="00E45710" w:rsidRDefault="00D362BE" w:rsidP="00B4010F">
            <w:pPr>
              <w:spacing w:line="276" w:lineRule="auto"/>
              <w:rPr>
                <w:rFonts w:ascii="Lato" w:hAnsi="Lato" w:cstheme="minorHAnsi"/>
                <w:sz w:val="20"/>
                <w:szCs w:val="20"/>
              </w:rPr>
            </w:pPr>
          </w:p>
        </w:tc>
      </w:tr>
      <w:tr w:rsidR="00D362BE" w:rsidRPr="00E45710" w14:paraId="3679EB08" w14:textId="77777777" w:rsidTr="00B4010F">
        <w:tblPrEx>
          <w:tblCellMar>
            <w:left w:w="108" w:type="dxa"/>
            <w:right w:w="108" w:type="dxa"/>
          </w:tblCellMar>
          <w:tblLook w:val="04A0" w:firstRow="1" w:lastRow="0" w:firstColumn="1" w:lastColumn="0" w:noHBand="0" w:noVBand="1"/>
        </w:tblPrEx>
        <w:tc>
          <w:tcPr>
            <w:tcW w:w="495" w:type="dxa"/>
          </w:tcPr>
          <w:p w14:paraId="1363845F" w14:textId="1A4BAAC4"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lastRenderedPageBreak/>
              <w:t>8.</w:t>
            </w:r>
          </w:p>
        </w:tc>
        <w:tc>
          <w:tcPr>
            <w:tcW w:w="2091" w:type="dxa"/>
          </w:tcPr>
          <w:p w14:paraId="0A43846C"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Pomoc publiczna</w:t>
            </w:r>
          </w:p>
          <w:p w14:paraId="5B3BD656"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oraz pomoc de</w:t>
            </w:r>
          </w:p>
          <w:p w14:paraId="6BD9EC14" w14:textId="219A7670" w:rsidR="00D362BE" w:rsidRPr="00E45710" w:rsidRDefault="00D362BE" w:rsidP="00B4010F">
            <w:pPr>
              <w:spacing w:line="276" w:lineRule="auto"/>
              <w:rPr>
                <w:rFonts w:ascii="Lato" w:hAnsi="Lato" w:cstheme="minorHAnsi"/>
                <w:sz w:val="20"/>
                <w:szCs w:val="20"/>
              </w:rPr>
            </w:pPr>
            <w:proofErr w:type="spellStart"/>
            <w:r w:rsidRPr="00E45710">
              <w:rPr>
                <w:rFonts w:ascii="Lato" w:hAnsi="Lato" w:cstheme="minorHAnsi"/>
                <w:sz w:val="20"/>
                <w:szCs w:val="20"/>
              </w:rPr>
              <w:t>minimis</w:t>
            </w:r>
            <w:proofErr w:type="spellEnd"/>
          </w:p>
        </w:tc>
        <w:tc>
          <w:tcPr>
            <w:tcW w:w="5902" w:type="dxa"/>
          </w:tcPr>
          <w:p w14:paraId="643E8528" w14:textId="0A472F0E"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 xml:space="preserve">Sprawdzana jest zgodność przedsięwzięcia z przepisami o pomocy publicznej, tj. czy wsparcie będzie stanowiło pomoc publiczną w rozumieniu art. 107 ust. 1 TFUE oraz czy przedsięwzięcie spełnia wymogi właściwego programu pomocowego, indywidualnej decyzji notyfikacyjnej lub innej podstawy udzielenia pomocy publicznej lub pomocy de </w:t>
            </w:r>
            <w:proofErr w:type="spellStart"/>
            <w:r w:rsidRPr="00E45710">
              <w:rPr>
                <w:rFonts w:ascii="Lato" w:hAnsi="Lato" w:cstheme="minorHAnsi"/>
                <w:sz w:val="20"/>
                <w:szCs w:val="20"/>
              </w:rPr>
              <w:t>minimis</w:t>
            </w:r>
            <w:proofErr w:type="spellEnd"/>
            <w:r w:rsidRPr="00E45710">
              <w:rPr>
                <w:rFonts w:ascii="Lato" w:hAnsi="Lato" w:cstheme="minorHAnsi"/>
                <w:sz w:val="20"/>
                <w:szCs w:val="20"/>
              </w:rPr>
              <w:t>.</w:t>
            </w:r>
          </w:p>
          <w:p w14:paraId="6E1DC5F8" w14:textId="7F586D18"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Jeśli wsparcie nie stanowi pomocy publicznej, sprawdzane jest czy przedstawiono odpowiednie wyjaśnienia. Wyjaśnienia powinny zawierać odniesienia do właściwych dokumentów instytucji Unii Europejskiej, w tym m.in. do:</w:t>
            </w:r>
          </w:p>
          <w:p w14:paraId="2ADD16DE" w14:textId="67A43BDE" w:rsidR="00D362BE" w:rsidRPr="00E45710" w:rsidRDefault="00D362BE" w:rsidP="00B4010F">
            <w:pPr>
              <w:autoSpaceDE w:val="0"/>
              <w:autoSpaceDN w:val="0"/>
              <w:adjustRightInd w:val="0"/>
              <w:rPr>
                <w:rFonts w:ascii="Lato" w:hAnsi="Lato" w:cstheme="minorHAnsi"/>
                <w:i/>
                <w:iCs/>
                <w:color w:val="0563C2"/>
                <w:sz w:val="20"/>
                <w:szCs w:val="20"/>
              </w:rPr>
            </w:pPr>
            <w:r w:rsidRPr="00E45710">
              <w:rPr>
                <w:rFonts w:ascii="Lato" w:hAnsi="Lato" w:cstheme="minorHAnsi"/>
                <w:color w:val="000000"/>
                <w:sz w:val="20"/>
                <w:szCs w:val="20"/>
              </w:rPr>
              <w:t xml:space="preserve">- </w:t>
            </w:r>
            <w:r w:rsidRPr="00E45710">
              <w:rPr>
                <w:rFonts w:ascii="Lato" w:hAnsi="Lato" w:cstheme="minorHAnsi"/>
                <w:i/>
                <w:iCs/>
                <w:color w:val="0563C2"/>
                <w:sz w:val="20"/>
                <w:szCs w:val="20"/>
              </w:rPr>
              <w:t xml:space="preserve">Zawiadomienia Komisji w sprawie pojęcia pomocy państwa w rozumieniu art. 107 ust. 1 Traktatu o funkcjonowaniu Unii Europejskiej </w:t>
            </w:r>
            <w:r w:rsidRPr="00E45710">
              <w:rPr>
                <w:rFonts w:ascii="Lato" w:hAnsi="Lato" w:cstheme="minorHAnsi"/>
                <w:color w:val="0563C2"/>
                <w:sz w:val="20"/>
                <w:szCs w:val="20"/>
              </w:rPr>
              <w:t>(2016/C 262/01)</w:t>
            </w:r>
            <w:r w:rsidRPr="00E45710">
              <w:rPr>
                <w:rFonts w:ascii="Lato" w:hAnsi="Lato" w:cstheme="minorHAnsi"/>
                <w:color w:val="000000"/>
                <w:sz w:val="20"/>
                <w:szCs w:val="20"/>
              </w:rPr>
              <w:t>;</w:t>
            </w:r>
          </w:p>
          <w:p w14:paraId="66FE3D96" w14:textId="63262345" w:rsidR="00D362BE" w:rsidRPr="00E45710" w:rsidRDefault="00D362BE" w:rsidP="00B4010F">
            <w:pPr>
              <w:autoSpaceDE w:val="0"/>
              <w:autoSpaceDN w:val="0"/>
              <w:adjustRightInd w:val="0"/>
              <w:rPr>
                <w:rFonts w:ascii="Lato" w:hAnsi="Lato" w:cstheme="minorHAnsi"/>
                <w:i/>
                <w:iCs/>
                <w:color w:val="0563C2"/>
                <w:sz w:val="20"/>
                <w:szCs w:val="20"/>
                <w:lang w:val="en-GB"/>
              </w:rPr>
            </w:pPr>
            <w:r w:rsidRPr="00E45710">
              <w:rPr>
                <w:rFonts w:ascii="Lato" w:hAnsi="Lato" w:cstheme="minorHAnsi"/>
                <w:color w:val="000000"/>
                <w:sz w:val="20"/>
                <w:szCs w:val="20"/>
                <w:lang w:val="en-GB"/>
              </w:rPr>
              <w:t xml:space="preserve">- </w:t>
            </w:r>
            <w:r w:rsidRPr="00E45710">
              <w:rPr>
                <w:rFonts w:ascii="Lato" w:hAnsi="Lato" w:cstheme="minorHAnsi"/>
                <w:i/>
                <w:iCs/>
                <w:color w:val="0563C2"/>
                <w:sz w:val="20"/>
                <w:szCs w:val="20"/>
                <w:lang w:val="en-GB"/>
              </w:rPr>
              <w:t>Recovery and resilience facility (RRF) guiding templates</w:t>
            </w:r>
            <w:r w:rsidRPr="00E45710">
              <w:rPr>
                <w:rFonts w:ascii="Lato" w:hAnsi="Lato" w:cstheme="minorHAnsi"/>
                <w:color w:val="000000"/>
                <w:sz w:val="20"/>
                <w:szCs w:val="20"/>
                <w:lang w:val="en-GB"/>
              </w:rPr>
              <w:t xml:space="preserve">, </w:t>
            </w:r>
            <w:proofErr w:type="spellStart"/>
            <w:r w:rsidRPr="00E45710">
              <w:rPr>
                <w:rFonts w:ascii="Lato" w:hAnsi="Lato" w:cstheme="minorHAnsi"/>
                <w:color w:val="000000"/>
                <w:sz w:val="20"/>
                <w:szCs w:val="20"/>
                <w:lang w:val="en-GB"/>
              </w:rPr>
              <w:t>dostępne</w:t>
            </w:r>
            <w:proofErr w:type="spellEnd"/>
            <w:r w:rsidRPr="00E45710">
              <w:rPr>
                <w:rFonts w:ascii="Lato" w:hAnsi="Lato" w:cstheme="minorHAnsi"/>
                <w:color w:val="000000"/>
                <w:sz w:val="20"/>
                <w:szCs w:val="20"/>
                <w:lang w:val="en-GB"/>
              </w:rPr>
              <w:t xml:space="preserve"> na </w:t>
            </w:r>
            <w:proofErr w:type="spellStart"/>
            <w:r w:rsidRPr="00E45710">
              <w:rPr>
                <w:rFonts w:ascii="Lato" w:hAnsi="Lato" w:cstheme="minorHAnsi"/>
                <w:color w:val="000000"/>
                <w:sz w:val="20"/>
                <w:szCs w:val="20"/>
                <w:lang w:val="en-GB"/>
              </w:rPr>
              <w:t>stronie</w:t>
            </w:r>
            <w:proofErr w:type="spellEnd"/>
            <w:r w:rsidRPr="00E45710">
              <w:rPr>
                <w:rFonts w:ascii="Lato" w:hAnsi="Lato" w:cstheme="minorHAnsi"/>
                <w:color w:val="000000"/>
                <w:sz w:val="20"/>
                <w:szCs w:val="20"/>
                <w:lang w:val="en-GB"/>
              </w:rPr>
              <w:t xml:space="preserve"> </w:t>
            </w:r>
            <w:proofErr w:type="spellStart"/>
            <w:r w:rsidRPr="00E45710">
              <w:rPr>
                <w:rFonts w:ascii="Lato" w:hAnsi="Lato" w:cstheme="minorHAnsi"/>
                <w:color w:val="000000"/>
                <w:sz w:val="20"/>
                <w:szCs w:val="20"/>
                <w:lang w:val="en-GB"/>
              </w:rPr>
              <w:t>internetowej</w:t>
            </w:r>
            <w:proofErr w:type="spellEnd"/>
            <w:r w:rsidRPr="00E45710">
              <w:rPr>
                <w:rFonts w:ascii="Lato" w:hAnsi="Lato" w:cstheme="minorHAnsi"/>
                <w:color w:val="000000"/>
                <w:sz w:val="20"/>
                <w:szCs w:val="20"/>
                <w:lang w:val="en-GB"/>
              </w:rPr>
              <w:t xml:space="preserve"> DG COMP.</w:t>
            </w:r>
          </w:p>
          <w:p w14:paraId="4CE99F6C" w14:textId="2B764435" w:rsidR="00D362BE" w:rsidRPr="00E45710" w:rsidRDefault="00D362BE" w:rsidP="00B4010F">
            <w:pPr>
              <w:autoSpaceDE w:val="0"/>
              <w:autoSpaceDN w:val="0"/>
              <w:adjustRightInd w:val="0"/>
              <w:rPr>
                <w:rFonts w:ascii="Lato" w:hAnsi="Lato" w:cstheme="minorHAnsi"/>
                <w:color w:val="000000"/>
                <w:sz w:val="20"/>
                <w:szCs w:val="20"/>
              </w:rPr>
            </w:pPr>
            <w:r w:rsidRPr="00E45710">
              <w:rPr>
                <w:rFonts w:ascii="Lato" w:hAnsi="Lato" w:cstheme="minorHAnsi"/>
                <w:color w:val="000000"/>
                <w:sz w:val="20"/>
                <w:szCs w:val="20"/>
              </w:rPr>
              <w:t>W przypadku gdy przedsięwzięcie nie jest objęte pomocą publiczną, należy wskazać ‘nie dotyczy’ wraz z uzasadnieniem.</w:t>
            </w:r>
          </w:p>
          <w:p w14:paraId="18ABAD59" w14:textId="77777777" w:rsidR="00D362BE" w:rsidRPr="00E45710" w:rsidRDefault="00D362BE" w:rsidP="00B4010F">
            <w:pPr>
              <w:autoSpaceDE w:val="0"/>
              <w:autoSpaceDN w:val="0"/>
              <w:adjustRightInd w:val="0"/>
              <w:rPr>
                <w:rFonts w:ascii="Lato" w:hAnsi="Lato" w:cstheme="minorHAnsi"/>
                <w:color w:val="000000"/>
                <w:sz w:val="20"/>
                <w:szCs w:val="20"/>
              </w:rPr>
            </w:pPr>
          </w:p>
          <w:p w14:paraId="47F04339" w14:textId="77777777" w:rsidR="00D362BE" w:rsidRDefault="00D362BE" w:rsidP="00B4010F">
            <w:pPr>
              <w:autoSpaceDE w:val="0"/>
              <w:autoSpaceDN w:val="0"/>
              <w:adjustRightInd w:val="0"/>
              <w:rPr>
                <w:rFonts w:ascii="Lato" w:hAnsi="Lato" w:cstheme="minorHAnsi"/>
                <w:sz w:val="20"/>
                <w:szCs w:val="20"/>
              </w:rPr>
            </w:pPr>
            <w:r w:rsidRPr="00E45710">
              <w:rPr>
                <w:rFonts w:ascii="Lato" w:hAnsi="Lato" w:cstheme="minorHAnsi"/>
                <w:color w:val="000000"/>
                <w:sz w:val="20"/>
                <w:szCs w:val="20"/>
              </w:rPr>
              <w:t xml:space="preserve">Jeśli wsparcie w ramach przedsięwzięcia stanowi pomoc publiczną, sprawdzane jest czy pomoc jest zgodna z rynkiem wewnętrznym i czy wskazano podstawę </w:t>
            </w:r>
            <w:r w:rsidRPr="00E45710">
              <w:rPr>
                <w:rFonts w:ascii="Lato" w:hAnsi="Lato" w:cstheme="minorHAnsi"/>
                <w:sz w:val="20"/>
                <w:szCs w:val="20"/>
              </w:rPr>
              <w:t>zgodności tej pomocy z rynkiem wewnętrznym UE wraz z wyjaśnieniem czy pomoc podlega obowiązkowi notyfikacji Komisji Europejskiej, o którym mowa w art. 108 ust. 3 TFUE.</w:t>
            </w:r>
          </w:p>
          <w:p w14:paraId="2242A49E" w14:textId="2B64752F" w:rsidR="00D362BE" w:rsidRPr="00E45710" w:rsidRDefault="00D362BE" w:rsidP="00B4010F">
            <w:pPr>
              <w:autoSpaceDE w:val="0"/>
              <w:autoSpaceDN w:val="0"/>
              <w:adjustRightInd w:val="0"/>
              <w:rPr>
                <w:rFonts w:ascii="Lato" w:hAnsi="Lato" w:cstheme="minorHAnsi"/>
                <w:color w:val="000000"/>
                <w:sz w:val="20"/>
                <w:szCs w:val="20"/>
              </w:rPr>
            </w:pPr>
          </w:p>
        </w:tc>
        <w:tc>
          <w:tcPr>
            <w:tcW w:w="4265" w:type="dxa"/>
          </w:tcPr>
          <w:p w14:paraId="1DDCF643" w14:textId="07F4CEDA" w:rsidR="00D362BE" w:rsidRDefault="00D362BE" w:rsidP="00B4010F">
            <w:pPr>
              <w:spacing w:line="276" w:lineRule="auto"/>
              <w:rPr>
                <w:rFonts w:ascii="Lato" w:hAnsi="Lato" w:cstheme="minorHAnsi"/>
                <w:sz w:val="20"/>
                <w:szCs w:val="20"/>
              </w:rPr>
            </w:pPr>
            <w:r>
              <w:rPr>
                <w:rFonts w:ascii="Lato" w:hAnsi="Lato" w:cstheme="minorHAnsi"/>
                <w:sz w:val="20"/>
                <w:szCs w:val="20"/>
              </w:rPr>
              <w:t>N</w:t>
            </w:r>
            <w:r w:rsidRPr="00E45710">
              <w:rPr>
                <w:rFonts w:ascii="Lato" w:hAnsi="Lato" w:cstheme="minorHAnsi"/>
                <w:sz w:val="20"/>
                <w:szCs w:val="20"/>
              </w:rPr>
              <w:t>ie dotyczy</w:t>
            </w:r>
          </w:p>
          <w:p w14:paraId="3351971A" w14:textId="77777777" w:rsidR="00D362BE" w:rsidRDefault="00D362BE" w:rsidP="00B4010F">
            <w:pPr>
              <w:spacing w:line="276" w:lineRule="auto"/>
              <w:rPr>
                <w:rFonts w:ascii="Lato" w:hAnsi="Lato" w:cstheme="minorHAnsi"/>
                <w:i/>
                <w:iCs/>
                <w:sz w:val="20"/>
                <w:szCs w:val="20"/>
              </w:rPr>
            </w:pPr>
          </w:p>
          <w:p w14:paraId="105CFB36" w14:textId="7D1546FD" w:rsidR="00D362BE" w:rsidRPr="00B97456" w:rsidRDefault="00D362BE" w:rsidP="00B4010F">
            <w:pPr>
              <w:spacing w:line="276" w:lineRule="auto"/>
              <w:rPr>
                <w:rFonts w:ascii="Lato" w:hAnsi="Lato" w:cstheme="minorHAnsi"/>
                <w:i/>
                <w:iCs/>
                <w:sz w:val="20"/>
                <w:szCs w:val="20"/>
              </w:rPr>
            </w:pPr>
            <w:r w:rsidRPr="00B97456">
              <w:rPr>
                <w:rFonts w:ascii="Lato" w:hAnsi="Lato" w:cstheme="minorHAnsi"/>
                <w:i/>
                <w:iCs/>
                <w:sz w:val="20"/>
                <w:szCs w:val="20"/>
              </w:rPr>
              <w:t xml:space="preserve">Grupa docelową wsparcia, tj. rzeczywistymi odbiorcami wsparcia w ramach Działania </w:t>
            </w:r>
            <w:r w:rsidR="007B17FA">
              <w:rPr>
                <w:rFonts w:ascii="Lato" w:hAnsi="Lato" w:cstheme="minorHAnsi"/>
                <w:i/>
                <w:iCs/>
                <w:sz w:val="20"/>
                <w:szCs w:val="20"/>
              </w:rPr>
              <w:t>2</w:t>
            </w:r>
            <w:r w:rsidRPr="00B97456">
              <w:rPr>
                <w:rFonts w:ascii="Lato" w:hAnsi="Lato" w:cstheme="minorHAnsi"/>
                <w:i/>
                <w:iCs/>
                <w:sz w:val="20"/>
                <w:szCs w:val="20"/>
              </w:rPr>
              <w:t xml:space="preserve"> są studenci</w:t>
            </w:r>
            <w:r w:rsidR="00B4654F">
              <w:rPr>
                <w:rFonts w:ascii="Lato" w:hAnsi="Lato" w:cstheme="minorHAnsi"/>
                <w:i/>
                <w:iCs/>
                <w:sz w:val="20"/>
                <w:szCs w:val="20"/>
              </w:rPr>
              <w:t xml:space="preserve"> wybranych kierunków medycznych</w:t>
            </w:r>
            <w:r w:rsidRPr="00B97456">
              <w:rPr>
                <w:rFonts w:ascii="Lato" w:hAnsi="Lato" w:cstheme="minorHAnsi"/>
                <w:i/>
                <w:iCs/>
                <w:sz w:val="20"/>
                <w:szCs w:val="20"/>
              </w:rPr>
              <w:t>. Środki wypłacane dla danego OOW w całości są przekazywane później do rzeczywistych odbiorców wsparcia.</w:t>
            </w:r>
          </w:p>
          <w:p w14:paraId="71B203DB" w14:textId="4B0C54EA" w:rsidR="00D362BE" w:rsidRPr="00E45710" w:rsidRDefault="00D362BE" w:rsidP="00B4010F">
            <w:pPr>
              <w:spacing w:line="276" w:lineRule="auto"/>
              <w:rPr>
                <w:rFonts w:ascii="Lato" w:hAnsi="Lato" w:cstheme="minorHAnsi"/>
                <w:i/>
                <w:iCs/>
                <w:sz w:val="20"/>
                <w:szCs w:val="20"/>
              </w:rPr>
            </w:pPr>
            <w:r w:rsidRPr="00B97456">
              <w:rPr>
                <w:rFonts w:ascii="Lato" w:hAnsi="Lato" w:cstheme="minorHAnsi"/>
                <w:i/>
                <w:iCs/>
                <w:sz w:val="20"/>
                <w:szCs w:val="20"/>
              </w:rPr>
              <w:t xml:space="preserve">Zatem, przekazywane dla OOW środki w żaden sposób nie stanowią wsparcia finansowego dla OOW. Ponadto, środki przekazywane w ramach Działania </w:t>
            </w:r>
            <w:r w:rsidR="00B32D9A">
              <w:rPr>
                <w:rFonts w:ascii="Lato" w:hAnsi="Lato" w:cstheme="minorHAnsi"/>
                <w:i/>
                <w:iCs/>
                <w:sz w:val="20"/>
                <w:szCs w:val="20"/>
              </w:rPr>
              <w:t>2</w:t>
            </w:r>
            <w:r w:rsidRPr="00B97456">
              <w:rPr>
                <w:rFonts w:ascii="Lato" w:hAnsi="Lato" w:cstheme="minorHAnsi"/>
                <w:i/>
                <w:iCs/>
                <w:sz w:val="20"/>
                <w:szCs w:val="20"/>
              </w:rPr>
              <w:t xml:space="preserve"> w 100% lokowane są w obszarze działalności niegospodarczej uczelni, co stanowi przesłankę do nieuznania ich za pomoc publiczną.</w:t>
            </w:r>
          </w:p>
        </w:tc>
      </w:tr>
      <w:tr w:rsidR="00D362BE" w:rsidRPr="00E45710" w14:paraId="3539FA4F" w14:textId="77777777" w:rsidTr="00B4010F">
        <w:tblPrEx>
          <w:tblCellMar>
            <w:left w:w="108" w:type="dxa"/>
            <w:right w:w="108" w:type="dxa"/>
          </w:tblCellMar>
          <w:tblLook w:val="04A0" w:firstRow="1" w:lastRow="0" w:firstColumn="1" w:lastColumn="0" w:noHBand="0" w:noVBand="1"/>
        </w:tblPrEx>
        <w:tc>
          <w:tcPr>
            <w:tcW w:w="495" w:type="dxa"/>
          </w:tcPr>
          <w:p w14:paraId="269ECBB0" w14:textId="0F4CCA7A" w:rsidR="00D362BE" w:rsidRPr="00E45710" w:rsidRDefault="00D362BE" w:rsidP="00B4010F">
            <w:pPr>
              <w:spacing w:line="276" w:lineRule="auto"/>
              <w:rPr>
                <w:rFonts w:ascii="Lato" w:hAnsi="Lato" w:cstheme="minorHAnsi"/>
                <w:sz w:val="20"/>
                <w:szCs w:val="20"/>
              </w:rPr>
            </w:pPr>
            <w:r>
              <w:rPr>
                <w:rFonts w:ascii="Lato" w:hAnsi="Lato" w:cstheme="minorHAnsi"/>
                <w:sz w:val="20"/>
                <w:szCs w:val="20"/>
              </w:rPr>
              <w:t>9.</w:t>
            </w:r>
          </w:p>
        </w:tc>
        <w:tc>
          <w:tcPr>
            <w:tcW w:w="2091" w:type="dxa"/>
          </w:tcPr>
          <w:p w14:paraId="7EB64102" w14:textId="77777777" w:rsidR="00D362BE" w:rsidRPr="00B97456" w:rsidRDefault="00D362BE" w:rsidP="00B4010F">
            <w:pPr>
              <w:spacing w:line="276" w:lineRule="auto"/>
              <w:rPr>
                <w:rFonts w:ascii="Lato" w:hAnsi="Lato" w:cstheme="minorHAnsi"/>
                <w:sz w:val="20"/>
                <w:szCs w:val="20"/>
              </w:rPr>
            </w:pPr>
            <w:r w:rsidRPr="00B97456">
              <w:rPr>
                <w:rFonts w:ascii="Lato" w:hAnsi="Lato" w:cstheme="minorHAnsi"/>
                <w:sz w:val="20"/>
                <w:szCs w:val="20"/>
              </w:rPr>
              <w:t>Zgodność z zasadą</w:t>
            </w:r>
          </w:p>
          <w:p w14:paraId="30E8D39A" w14:textId="77777777" w:rsidR="00D362BE" w:rsidRPr="00B97456" w:rsidRDefault="00D362BE" w:rsidP="00B4010F">
            <w:pPr>
              <w:spacing w:line="276" w:lineRule="auto"/>
              <w:rPr>
                <w:rFonts w:ascii="Lato" w:hAnsi="Lato" w:cstheme="minorHAnsi"/>
                <w:sz w:val="20"/>
                <w:szCs w:val="20"/>
              </w:rPr>
            </w:pPr>
            <w:r w:rsidRPr="00B97456">
              <w:rPr>
                <w:rFonts w:ascii="Lato" w:hAnsi="Lato" w:cstheme="minorHAnsi"/>
                <w:sz w:val="20"/>
                <w:szCs w:val="20"/>
              </w:rPr>
              <w:t>„niewyrządzania</w:t>
            </w:r>
          </w:p>
          <w:p w14:paraId="6F0A87BF" w14:textId="77777777" w:rsidR="00D362BE" w:rsidRPr="00B97456" w:rsidRDefault="00D362BE" w:rsidP="00B4010F">
            <w:pPr>
              <w:spacing w:line="276" w:lineRule="auto"/>
              <w:rPr>
                <w:rFonts w:ascii="Lato" w:hAnsi="Lato" w:cstheme="minorHAnsi"/>
                <w:sz w:val="20"/>
                <w:szCs w:val="20"/>
              </w:rPr>
            </w:pPr>
            <w:r w:rsidRPr="00B97456">
              <w:rPr>
                <w:rFonts w:ascii="Lato" w:hAnsi="Lato" w:cstheme="minorHAnsi"/>
                <w:sz w:val="20"/>
                <w:szCs w:val="20"/>
              </w:rPr>
              <w:t>znaczącej szkody</w:t>
            </w:r>
          </w:p>
          <w:p w14:paraId="02068B33" w14:textId="77777777" w:rsidR="00D362BE" w:rsidRPr="00B97456" w:rsidRDefault="00D362BE" w:rsidP="00B4010F">
            <w:pPr>
              <w:spacing w:line="276" w:lineRule="auto"/>
              <w:rPr>
                <w:rFonts w:ascii="Lato" w:hAnsi="Lato" w:cstheme="minorHAnsi"/>
                <w:sz w:val="20"/>
                <w:szCs w:val="20"/>
              </w:rPr>
            </w:pPr>
            <w:r w:rsidRPr="00B97456">
              <w:rPr>
                <w:rFonts w:ascii="Lato" w:hAnsi="Lato" w:cstheme="minorHAnsi"/>
                <w:sz w:val="20"/>
                <w:szCs w:val="20"/>
              </w:rPr>
              <w:lastRenderedPageBreak/>
              <w:t>środowisku” (DNSH</w:t>
            </w:r>
          </w:p>
          <w:p w14:paraId="5016CAB7" w14:textId="77777777" w:rsidR="00D362BE" w:rsidRPr="00B97456" w:rsidRDefault="00D362BE" w:rsidP="00B4010F">
            <w:pPr>
              <w:spacing w:line="276" w:lineRule="auto"/>
              <w:rPr>
                <w:rFonts w:ascii="Lato" w:hAnsi="Lato" w:cstheme="minorHAnsi"/>
                <w:sz w:val="20"/>
                <w:szCs w:val="20"/>
              </w:rPr>
            </w:pPr>
            <w:r w:rsidRPr="00B97456">
              <w:rPr>
                <w:rFonts w:ascii="Lato" w:hAnsi="Lato" w:cstheme="minorHAnsi"/>
                <w:sz w:val="20"/>
                <w:szCs w:val="20"/>
              </w:rPr>
              <w:t xml:space="preserve">– „do no </w:t>
            </w:r>
            <w:proofErr w:type="spellStart"/>
            <w:r w:rsidRPr="00B97456">
              <w:rPr>
                <w:rFonts w:ascii="Lato" w:hAnsi="Lato" w:cstheme="minorHAnsi"/>
                <w:sz w:val="20"/>
                <w:szCs w:val="20"/>
              </w:rPr>
              <w:t>significant</w:t>
            </w:r>
            <w:proofErr w:type="spellEnd"/>
          </w:p>
          <w:p w14:paraId="34F8D4A9" w14:textId="156BA840" w:rsidR="00D362BE" w:rsidRPr="00E45710" w:rsidRDefault="00D362BE" w:rsidP="00B4010F">
            <w:pPr>
              <w:spacing w:line="276" w:lineRule="auto"/>
              <w:rPr>
                <w:rFonts w:ascii="Lato" w:hAnsi="Lato" w:cstheme="minorHAnsi"/>
                <w:sz w:val="20"/>
                <w:szCs w:val="20"/>
              </w:rPr>
            </w:pPr>
            <w:proofErr w:type="spellStart"/>
            <w:r w:rsidRPr="00B97456">
              <w:rPr>
                <w:rFonts w:ascii="Lato" w:hAnsi="Lato" w:cstheme="minorHAnsi"/>
                <w:sz w:val="20"/>
                <w:szCs w:val="20"/>
              </w:rPr>
              <w:t>harm</w:t>
            </w:r>
            <w:proofErr w:type="spellEnd"/>
            <w:r w:rsidRPr="00B97456">
              <w:rPr>
                <w:rFonts w:ascii="Lato" w:hAnsi="Lato" w:cstheme="minorHAnsi"/>
                <w:sz w:val="20"/>
                <w:szCs w:val="20"/>
              </w:rPr>
              <w:t>”)</w:t>
            </w:r>
          </w:p>
        </w:tc>
        <w:tc>
          <w:tcPr>
            <w:tcW w:w="5902" w:type="dxa"/>
          </w:tcPr>
          <w:p w14:paraId="610D566F" w14:textId="77777777" w:rsidR="00D362BE" w:rsidRPr="00B97456" w:rsidRDefault="00D362BE" w:rsidP="00B4010F">
            <w:pPr>
              <w:autoSpaceDE w:val="0"/>
              <w:autoSpaceDN w:val="0"/>
              <w:adjustRightInd w:val="0"/>
              <w:rPr>
                <w:rFonts w:ascii="Lato" w:hAnsi="Lato" w:cstheme="minorHAnsi"/>
                <w:sz w:val="20"/>
                <w:szCs w:val="20"/>
              </w:rPr>
            </w:pPr>
            <w:r w:rsidRPr="00B97456">
              <w:rPr>
                <w:rFonts w:ascii="Lato" w:hAnsi="Lato" w:cstheme="minorHAnsi"/>
                <w:sz w:val="20"/>
                <w:szCs w:val="20"/>
              </w:rPr>
              <w:lastRenderedPageBreak/>
              <w:t xml:space="preserve">Weryfikowane jest zachowanie zgodności z zasadą „niewyrządzania znaczącej szkody środowisku” na podstawie Rozporządzenia RRF oraz Wytycznych technicznych dotyczących stosowania zasady „niewyrządzania znaczącej szkody </w:t>
            </w:r>
            <w:r w:rsidRPr="00B97456">
              <w:rPr>
                <w:rFonts w:ascii="Lato" w:hAnsi="Lato" w:cstheme="minorHAnsi"/>
                <w:sz w:val="20"/>
                <w:szCs w:val="20"/>
              </w:rPr>
              <w:lastRenderedPageBreak/>
              <w:t>środowisku” na podstawie rozporządzenia ustanawiającego Instrument na rzecz Odbudowy i Zwiększania Odporności.</w:t>
            </w:r>
          </w:p>
          <w:p w14:paraId="57B9BC43" w14:textId="77777777" w:rsidR="00D362BE" w:rsidRPr="00B97456" w:rsidRDefault="00D362BE" w:rsidP="00B4010F">
            <w:pPr>
              <w:autoSpaceDE w:val="0"/>
              <w:autoSpaceDN w:val="0"/>
              <w:adjustRightInd w:val="0"/>
              <w:rPr>
                <w:rFonts w:ascii="Lato" w:hAnsi="Lato" w:cstheme="minorHAnsi"/>
                <w:sz w:val="20"/>
                <w:szCs w:val="20"/>
              </w:rPr>
            </w:pPr>
            <w:r w:rsidRPr="00B97456">
              <w:rPr>
                <w:rFonts w:ascii="Lato" w:hAnsi="Lato" w:cstheme="minorHAnsi"/>
                <w:sz w:val="20"/>
                <w:szCs w:val="20"/>
              </w:rPr>
              <w:t>Weryfikacja na etapie oceny wniosku o objęcie wsparciem dotyczy inwestycji, dla których w decyzji implementacyjnej wskazano objęcie przedsięwzięć zasadą DNSH.</w:t>
            </w:r>
          </w:p>
          <w:p w14:paraId="0B782B50" w14:textId="77777777" w:rsidR="00D362BE" w:rsidRPr="00B97456" w:rsidRDefault="00D362BE" w:rsidP="00B4010F">
            <w:pPr>
              <w:autoSpaceDE w:val="0"/>
              <w:autoSpaceDN w:val="0"/>
              <w:adjustRightInd w:val="0"/>
              <w:rPr>
                <w:rFonts w:ascii="Lato" w:hAnsi="Lato" w:cstheme="minorHAnsi"/>
                <w:sz w:val="20"/>
                <w:szCs w:val="20"/>
                <w:u w:val="single"/>
              </w:rPr>
            </w:pPr>
          </w:p>
          <w:p w14:paraId="49033A4D" w14:textId="674FAF8E" w:rsidR="00D362BE" w:rsidRPr="00E45710" w:rsidRDefault="00D362BE" w:rsidP="00B4010F">
            <w:pPr>
              <w:autoSpaceDE w:val="0"/>
              <w:autoSpaceDN w:val="0"/>
              <w:adjustRightInd w:val="0"/>
              <w:rPr>
                <w:rFonts w:ascii="Lato" w:hAnsi="Lato" w:cstheme="minorHAnsi"/>
                <w:sz w:val="20"/>
                <w:szCs w:val="20"/>
              </w:rPr>
            </w:pPr>
          </w:p>
        </w:tc>
        <w:tc>
          <w:tcPr>
            <w:tcW w:w="4265" w:type="dxa"/>
          </w:tcPr>
          <w:p w14:paraId="523D472A" w14:textId="77777777" w:rsidR="00D362BE" w:rsidRDefault="00D362BE" w:rsidP="00B4010F">
            <w:pPr>
              <w:spacing w:line="276" w:lineRule="auto"/>
              <w:rPr>
                <w:rFonts w:ascii="Lato" w:hAnsi="Lato" w:cstheme="minorHAnsi"/>
                <w:sz w:val="20"/>
                <w:szCs w:val="20"/>
              </w:rPr>
            </w:pPr>
            <w:r>
              <w:rPr>
                <w:rFonts w:ascii="Lato" w:hAnsi="Lato" w:cstheme="minorHAnsi"/>
                <w:sz w:val="20"/>
                <w:szCs w:val="20"/>
              </w:rPr>
              <w:lastRenderedPageBreak/>
              <w:t>Nie dotyczy</w:t>
            </w:r>
          </w:p>
          <w:p w14:paraId="1F556DB1" w14:textId="77777777" w:rsidR="00D362BE" w:rsidRDefault="00D362BE" w:rsidP="00B4010F">
            <w:pPr>
              <w:spacing w:line="276" w:lineRule="auto"/>
              <w:rPr>
                <w:rFonts w:ascii="Lato" w:hAnsi="Lato" w:cstheme="minorHAnsi"/>
                <w:sz w:val="20"/>
                <w:szCs w:val="20"/>
              </w:rPr>
            </w:pPr>
          </w:p>
          <w:p w14:paraId="06621D1C" w14:textId="528869CB" w:rsidR="00517F77" w:rsidRPr="00517F77" w:rsidRDefault="00517F77" w:rsidP="00B4010F">
            <w:pPr>
              <w:spacing w:line="276" w:lineRule="auto"/>
              <w:rPr>
                <w:rFonts w:ascii="Lato" w:hAnsi="Lato" w:cstheme="minorHAnsi"/>
                <w:i/>
                <w:iCs/>
                <w:sz w:val="20"/>
                <w:szCs w:val="20"/>
              </w:rPr>
            </w:pPr>
            <w:r w:rsidRPr="00517F77">
              <w:rPr>
                <w:rFonts w:ascii="Lato" w:hAnsi="Lato" w:cstheme="minorHAnsi"/>
                <w:i/>
                <w:iCs/>
                <w:sz w:val="20"/>
                <w:szCs w:val="20"/>
              </w:rPr>
              <w:lastRenderedPageBreak/>
              <w:t>Zgodnie z załącznikiem Nr 1 do Decyzji Implementacyjnej, dla przedsięwzięć realizowanych w ramach inwestycji D</w:t>
            </w:r>
            <w:r w:rsidR="004171C3">
              <w:rPr>
                <w:rFonts w:ascii="Lato" w:hAnsi="Lato" w:cstheme="minorHAnsi"/>
                <w:i/>
                <w:iCs/>
                <w:sz w:val="20"/>
                <w:szCs w:val="20"/>
              </w:rPr>
              <w:t>2</w:t>
            </w:r>
            <w:r w:rsidRPr="00517F77">
              <w:rPr>
                <w:rFonts w:ascii="Lato" w:hAnsi="Lato" w:cstheme="minorHAnsi"/>
                <w:i/>
                <w:iCs/>
                <w:sz w:val="20"/>
                <w:szCs w:val="20"/>
              </w:rPr>
              <w:t>.1.1 (w tym   przedsięwzięć związanych ze wskaźnikiem D30G), nie zostało wskazane, że przedsięwzięcia te objęte są zasadą DNSH. Zatem wnioski o objęcie wsparciem składane w ramach naboru dla inwestycji D2.1.1 nie muszą podlegać weryfikacji w oparciu o Zgodność z zasadą” niewyrządzania znaczącej szkody środowisku”.</w:t>
            </w:r>
          </w:p>
          <w:p w14:paraId="1BE06CD3" w14:textId="42691656" w:rsidR="00D362BE" w:rsidRPr="00D362BE" w:rsidRDefault="00D362BE" w:rsidP="00B4010F">
            <w:pPr>
              <w:spacing w:line="276" w:lineRule="auto"/>
              <w:rPr>
                <w:rFonts w:ascii="Lato" w:hAnsi="Lato" w:cstheme="minorHAnsi"/>
                <w:sz w:val="20"/>
                <w:szCs w:val="20"/>
              </w:rPr>
            </w:pPr>
          </w:p>
        </w:tc>
      </w:tr>
      <w:tr w:rsidR="00D362BE" w:rsidRPr="00E45710" w14:paraId="160C4FC3" w14:textId="77777777" w:rsidTr="00B4010F">
        <w:tblPrEx>
          <w:tblCellMar>
            <w:left w:w="108" w:type="dxa"/>
            <w:right w:w="108" w:type="dxa"/>
          </w:tblCellMar>
          <w:tblLook w:val="04A0" w:firstRow="1" w:lastRow="0" w:firstColumn="1" w:lastColumn="0" w:noHBand="0" w:noVBand="1"/>
        </w:tblPrEx>
        <w:tc>
          <w:tcPr>
            <w:tcW w:w="495" w:type="dxa"/>
          </w:tcPr>
          <w:p w14:paraId="135676C7" w14:textId="1BE83819"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lastRenderedPageBreak/>
              <w:t>10.</w:t>
            </w:r>
          </w:p>
        </w:tc>
        <w:tc>
          <w:tcPr>
            <w:tcW w:w="2091" w:type="dxa"/>
          </w:tcPr>
          <w:p w14:paraId="13E6341B"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Zgodność z zasadą</w:t>
            </w:r>
          </w:p>
          <w:p w14:paraId="01699EA5"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zrównoważonego</w:t>
            </w:r>
          </w:p>
          <w:p w14:paraId="4BF7C136"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rozwoju -</w:t>
            </w:r>
          </w:p>
          <w:p w14:paraId="7ABC00F8"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racjonalne</w:t>
            </w:r>
          </w:p>
          <w:p w14:paraId="197E12EC"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wykorzystywanie</w:t>
            </w:r>
          </w:p>
          <w:p w14:paraId="14A89FB5"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zasobów</w:t>
            </w:r>
          </w:p>
          <w:p w14:paraId="771773E0" w14:textId="2403B088"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naturalnych</w:t>
            </w:r>
          </w:p>
        </w:tc>
        <w:tc>
          <w:tcPr>
            <w:tcW w:w="5902" w:type="dxa"/>
          </w:tcPr>
          <w:p w14:paraId="4FE05714" w14:textId="0BC5D636"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Sprawdzane jest czy przedsięwzięcie obejmuje finansowanie działań minimalizujących oddziaływanie działalności człowieka na środowisko. Zasada zrównoważonego rozwoju jest zachowana, jeżeli w ramach przedsięwzięcia zakłada się podejmowanie działań ukierunkowanych na:</w:t>
            </w:r>
          </w:p>
          <w:p w14:paraId="6C797B72"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 racjonalne gospodarowanie zasobami;</w:t>
            </w:r>
          </w:p>
          <w:p w14:paraId="0B81B4CF"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 ograniczenie presji na środowisko;</w:t>
            </w:r>
          </w:p>
          <w:p w14:paraId="10B94C00" w14:textId="476A9D8A"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 uwzględnianie efektów środowiskowych w zarządzaniu;</w:t>
            </w:r>
          </w:p>
          <w:p w14:paraId="778FE2D4" w14:textId="03E3A4B1"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 podnoszenie świadomości ekologicznej społeczeństwa.</w:t>
            </w:r>
          </w:p>
          <w:p w14:paraId="39F324F8" w14:textId="77777777" w:rsidR="00D362BE"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W przypadku kiedy przedsięwzięcie nie jest objęte zasadą zrównoważonego rozwoju, należy wskazać ‘nie dotyczy’ wraz z uzasadnieniem.</w:t>
            </w:r>
          </w:p>
          <w:p w14:paraId="59C5526F" w14:textId="0E56FB4B" w:rsidR="00D362BE" w:rsidRPr="00E45710" w:rsidRDefault="00D362BE" w:rsidP="00B4010F">
            <w:pPr>
              <w:autoSpaceDE w:val="0"/>
              <w:autoSpaceDN w:val="0"/>
              <w:adjustRightInd w:val="0"/>
              <w:rPr>
                <w:rFonts w:ascii="Lato" w:hAnsi="Lato" w:cstheme="minorHAnsi"/>
                <w:sz w:val="20"/>
                <w:szCs w:val="20"/>
              </w:rPr>
            </w:pPr>
          </w:p>
        </w:tc>
        <w:tc>
          <w:tcPr>
            <w:tcW w:w="4265" w:type="dxa"/>
          </w:tcPr>
          <w:p w14:paraId="65705056" w14:textId="39E33556" w:rsidR="00D362BE" w:rsidRDefault="00D362BE" w:rsidP="00B4010F">
            <w:pPr>
              <w:spacing w:line="276" w:lineRule="auto"/>
              <w:rPr>
                <w:rFonts w:ascii="Lato" w:hAnsi="Lato" w:cstheme="minorHAnsi"/>
                <w:sz w:val="20"/>
                <w:szCs w:val="20"/>
              </w:rPr>
            </w:pPr>
            <w:r w:rsidRPr="00E45710">
              <w:rPr>
                <w:rFonts w:ascii="Lato" w:hAnsi="Lato" w:cstheme="minorHAnsi"/>
                <w:sz w:val="20"/>
                <w:szCs w:val="20"/>
              </w:rPr>
              <w:t>Nie dotyczy</w:t>
            </w:r>
          </w:p>
          <w:p w14:paraId="0ABCAD95" w14:textId="77777777" w:rsidR="00D362BE" w:rsidRDefault="00D362BE" w:rsidP="00B4010F">
            <w:pPr>
              <w:spacing w:line="276" w:lineRule="auto"/>
              <w:rPr>
                <w:rFonts w:ascii="Lato" w:hAnsi="Lato" w:cstheme="minorHAnsi"/>
                <w:i/>
                <w:iCs/>
                <w:sz w:val="20"/>
                <w:szCs w:val="20"/>
              </w:rPr>
            </w:pPr>
          </w:p>
          <w:p w14:paraId="01F8421F" w14:textId="2036CDDB" w:rsidR="00D362BE" w:rsidRPr="00D362BE" w:rsidRDefault="00D362BE" w:rsidP="00B4010F">
            <w:pPr>
              <w:spacing w:line="276" w:lineRule="auto"/>
              <w:rPr>
                <w:rFonts w:ascii="Lato" w:hAnsi="Lato" w:cstheme="minorHAnsi"/>
                <w:sz w:val="20"/>
                <w:szCs w:val="20"/>
              </w:rPr>
            </w:pPr>
            <w:r w:rsidRPr="00B97456">
              <w:rPr>
                <w:rFonts w:ascii="Lato" w:hAnsi="Lato" w:cstheme="minorHAnsi"/>
                <w:i/>
                <w:iCs/>
                <w:sz w:val="20"/>
                <w:szCs w:val="20"/>
              </w:rPr>
              <w:t xml:space="preserve">Wsparcie realizowane w ramach Działania </w:t>
            </w:r>
            <w:r w:rsidR="00834A6C">
              <w:rPr>
                <w:rFonts w:ascii="Lato" w:hAnsi="Lato" w:cstheme="minorHAnsi"/>
                <w:i/>
                <w:iCs/>
                <w:sz w:val="20"/>
                <w:szCs w:val="20"/>
              </w:rPr>
              <w:t>2</w:t>
            </w:r>
            <w:r w:rsidRPr="00B97456">
              <w:rPr>
                <w:rFonts w:ascii="Lato" w:hAnsi="Lato" w:cstheme="minorHAnsi"/>
                <w:i/>
                <w:iCs/>
                <w:sz w:val="20"/>
                <w:szCs w:val="20"/>
              </w:rPr>
              <w:t xml:space="preserve"> dotyczy obszaru przedmiotowo niezwiązanego z zakresem, który objęty jest przez dane kryterium, tj. z wymienionymi w ramach kryterium działaniami OOW ukierunkowanymi na zgodność z Zasadą zrównoważonego rozwoju.</w:t>
            </w:r>
          </w:p>
        </w:tc>
      </w:tr>
      <w:tr w:rsidR="00D362BE" w:rsidRPr="00E45710" w14:paraId="7DAFD00B" w14:textId="77777777" w:rsidTr="00B4010F">
        <w:tblPrEx>
          <w:tblCellMar>
            <w:left w:w="108" w:type="dxa"/>
            <w:right w:w="108" w:type="dxa"/>
          </w:tblCellMar>
          <w:tblLook w:val="04A0" w:firstRow="1" w:lastRow="0" w:firstColumn="1" w:lastColumn="0" w:noHBand="0" w:noVBand="1"/>
        </w:tblPrEx>
        <w:tc>
          <w:tcPr>
            <w:tcW w:w="495" w:type="dxa"/>
          </w:tcPr>
          <w:p w14:paraId="5CFD96EF" w14:textId="6E8C3D41"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11.</w:t>
            </w:r>
          </w:p>
        </w:tc>
        <w:tc>
          <w:tcPr>
            <w:tcW w:w="2091" w:type="dxa"/>
          </w:tcPr>
          <w:p w14:paraId="473CA9FC" w14:textId="77777777" w:rsidR="00D362BE" w:rsidRPr="00B97456" w:rsidRDefault="00D362BE" w:rsidP="00B4010F">
            <w:pPr>
              <w:spacing w:line="276" w:lineRule="auto"/>
              <w:rPr>
                <w:rFonts w:ascii="Lato" w:hAnsi="Lato" w:cstheme="minorHAnsi"/>
                <w:sz w:val="20"/>
                <w:szCs w:val="20"/>
              </w:rPr>
            </w:pPr>
            <w:r w:rsidRPr="00B97456">
              <w:rPr>
                <w:rFonts w:ascii="Lato" w:hAnsi="Lato" w:cstheme="minorHAnsi"/>
                <w:sz w:val="20"/>
                <w:szCs w:val="20"/>
              </w:rPr>
              <w:t>Zgodność z zasadą</w:t>
            </w:r>
          </w:p>
          <w:p w14:paraId="7D52154D" w14:textId="77777777" w:rsidR="00D362BE" w:rsidRPr="00B97456" w:rsidRDefault="00D362BE" w:rsidP="00B4010F">
            <w:pPr>
              <w:spacing w:line="276" w:lineRule="auto"/>
              <w:rPr>
                <w:rFonts w:ascii="Lato" w:hAnsi="Lato" w:cstheme="minorHAnsi"/>
                <w:sz w:val="20"/>
                <w:szCs w:val="20"/>
              </w:rPr>
            </w:pPr>
            <w:r w:rsidRPr="00B97456">
              <w:rPr>
                <w:rFonts w:ascii="Lato" w:hAnsi="Lato" w:cstheme="minorHAnsi"/>
                <w:sz w:val="20"/>
                <w:szCs w:val="20"/>
              </w:rPr>
              <w:t>długotrwałego</w:t>
            </w:r>
          </w:p>
          <w:p w14:paraId="510830F2" w14:textId="77777777" w:rsidR="00D362BE" w:rsidRPr="00B97456" w:rsidRDefault="00D362BE" w:rsidP="00B4010F">
            <w:pPr>
              <w:spacing w:line="276" w:lineRule="auto"/>
              <w:rPr>
                <w:rFonts w:ascii="Lato" w:hAnsi="Lato" w:cstheme="minorHAnsi"/>
                <w:sz w:val="20"/>
                <w:szCs w:val="20"/>
              </w:rPr>
            </w:pPr>
            <w:r w:rsidRPr="00B97456">
              <w:rPr>
                <w:rFonts w:ascii="Lato" w:hAnsi="Lato" w:cstheme="minorHAnsi"/>
                <w:sz w:val="20"/>
                <w:szCs w:val="20"/>
              </w:rPr>
              <w:t>wpływu</w:t>
            </w:r>
          </w:p>
          <w:p w14:paraId="424A8510" w14:textId="77777777" w:rsidR="00D362BE" w:rsidRPr="00B97456" w:rsidRDefault="00D362BE" w:rsidP="00B4010F">
            <w:pPr>
              <w:spacing w:line="276" w:lineRule="auto"/>
              <w:rPr>
                <w:rFonts w:ascii="Lato" w:hAnsi="Lato" w:cstheme="minorHAnsi"/>
                <w:sz w:val="20"/>
                <w:szCs w:val="20"/>
              </w:rPr>
            </w:pPr>
            <w:r w:rsidRPr="00B97456">
              <w:rPr>
                <w:rFonts w:ascii="Lato" w:hAnsi="Lato" w:cstheme="minorHAnsi"/>
                <w:sz w:val="20"/>
                <w:szCs w:val="20"/>
              </w:rPr>
              <w:t>przedsięwzięcia na</w:t>
            </w:r>
          </w:p>
          <w:p w14:paraId="3FDF85CA" w14:textId="77777777" w:rsidR="00D362BE" w:rsidRPr="00B97456" w:rsidRDefault="00D362BE" w:rsidP="00B4010F">
            <w:pPr>
              <w:spacing w:line="276" w:lineRule="auto"/>
              <w:rPr>
                <w:rFonts w:ascii="Lato" w:hAnsi="Lato" w:cstheme="minorHAnsi"/>
                <w:sz w:val="20"/>
                <w:szCs w:val="20"/>
              </w:rPr>
            </w:pPr>
            <w:r w:rsidRPr="00B97456">
              <w:rPr>
                <w:rFonts w:ascii="Lato" w:hAnsi="Lato" w:cstheme="minorHAnsi"/>
                <w:sz w:val="20"/>
                <w:szCs w:val="20"/>
              </w:rPr>
              <w:t>wydajność</w:t>
            </w:r>
          </w:p>
          <w:p w14:paraId="7D1C5B17" w14:textId="77777777" w:rsidR="00D362BE" w:rsidRPr="00B97456" w:rsidRDefault="00D362BE" w:rsidP="00B4010F">
            <w:pPr>
              <w:spacing w:line="276" w:lineRule="auto"/>
              <w:rPr>
                <w:rFonts w:ascii="Lato" w:hAnsi="Lato" w:cstheme="minorHAnsi"/>
                <w:sz w:val="20"/>
                <w:szCs w:val="20"/>
              </w:rPr>
            </w:pPr>
            <w:r w:rsidRPr="00B97456">
              <w:rPr>
                <w:rFonts w:ascii="Lato" w:hAnsi="Lato" w:cstheme="minorHAnsi"/>
                <w:sz w:val="20"/>
                <w:szCs w:val="20"/>
              </w:rPr>
              <w:t>i odporność</w:t>
            </w:r>
          </w:p>
          <w:p w14:paraId="07943AA6" w14:textId="43DF70D9" w:rsidR="00D362BE" w:rsidRPr="00E45710" w:rsidRDefault="00D362BE" w:rsidP="00B4010F">
            <w:pPr>
              <w:spacing w:line="276" w:lineRule="auto"/>
              <w:rPr>
                <w:rFonts w:ascii="Lato" w:hAnsi="Lato" w:cstheme="minorHAnsi"/>
                <w:sz w:val="20"/>
                <w:szCs w:val="20"/>
              </w:rPr>
            </w:pPr>
            <w:r w:rsidRPr="00B97456">
              <w:rPr>
                <w:rFonts w:ascii="Lato" w:hAnsi="Lato" w:cstheme="minorHAnsi"/>
                <w:sz w:val="20"/>
                <w:szCs w:val="20"/>
              </w:rPr>
              <w:t>gospodarki polskiej</w:t>
            </w:r>
          </w:p>
        </w:tc>
        <w:tc>
          <w:tcPr>
            <w:tcW w:w="5902" w:type="dxa"/>
          </w:tcPr>
          <w:p w14:paraId="32DF87A2" w14:textId="77777777" w:rsidR="00D362BE" w:rsidRPr="00B97456" w:rsidRDefault="00D362BE" w:rsidP="00B4010F">
            <w:pPr>
              <w:spacing w:line="276" w:lineRule="auto"/>
              <w:rPr>
                <w:rFonts w:ascii="Lato" w:hAnsi="Lato" w:cstheme="minorHAnsi"/>
                <w:sz w:val="20"/>
                <w:szCs w:val="20"/>
              </w:rPr>
            </w:pPr>
            <w:r w:rsidRPr="00B97456">
              <w:rPr>
                <w:rFonts w:ascii="Lato" w:hAnsi="Lato" w:cstheme="minorHAnsi"/>
                <w:sz w:val="20"/>
                <w:szCs w:val="20"/>
              </w:rPr>
              <w:t>Weryfikowane jest czy realizacja przedsięwzięcia zapewnia efekty długoterminowe, tzn. przekraczające ramy czasowe obowiązywania RRF i nie ma charakteru powtarzających się krajowych wydatków budżetowych.</w:t>
            </w:r>
          </w:p>
          <w:p w14:paraId="44632DA4" w14:textId="77777777" w:rsidR="00D362BE" w:rsidRPr="00B97456" w:rsidRDefault="00D362BE" w:rsidP="00B4010F">
            <w:pPr>
              <w:spacing w:line="276" w:lineRule="auto"/>
              <w:rPr>
                <w:rFonts w:ascii="Lato" w:hAnsi="Lato" w:cstheme="minorHAnsi"/>
                <w:sz w:val="20"/>
                <w:szCs w:val="20"/>
                <w:u w:val="single"/>
              </w:rPr>
            </w:pPr>
            <w:r w:rsidRPr="00B97456">
              <w:rPr>
                <w:rFonts w:ascii="Lato" w:hAnsi="Lato" w:cstheme="minorHAnsi"/>
                <w:sz w:val="20"/>
                <w:szCs w:val="20"/>
                <w:u w:val="single"/>
              </w:rPr>
              <w:t xml:space="preserve">Uwaga: </w:t>
            </w:r>
          </w:p>
          <w:p w14:paraId="2BDAB39D" w14:textId="77777777" w:rsidR="00D362BE" w:rsidRPr="00B97456" w:rsidRDefault="00D362BE" w:rsidP="00B4010F">
            <w:pPr>
              <w:spacing w:line="276" w:lineRule="auto"/>
              <w:rPr>
                <w:rFonts w:ascii="Lato" w:hAnsi="Lato" w:cstheme="minorHAnsi"/>
                <w:sz w:val="20"/>
                <w:szCs w:val="20"/>
              </w:rPr>
            </w:pPr>
            <w:r w:rsidRPr="00B97456">
              <w:rPr>
                <w:rFonts w:ascii="Lato" w:hAnsi="Lato" w:cstheme="minorHAnsi"/>
                <w:sz w:val="20"/>
                <w:szCs w:val="20"/>
              </w:rPr>
              <w:t xml:space="preserve">Weryfikacja danego kryterium oparta jest o deklarację Wnioskodawcy w poniżej określonym zakresie. We wniosku o objęcie przedsięwzięcia wsparciem należy zaznaczyć właściwe </w:t>
            </w:r>
            <w:r w:rsidRPr="00B97456">
              <w:rPr>
                <w:rFonts w:ascii="Lato" w:hAnsi="Lato" w:cstheme="minorHAnsi"/>
                <w:sz w:val="20"/>
                <w:szCs w:val="20"/>
              </w:rPr>
              <w:lastRenderedPageBreak/>
              <w:t>pole wyboru w odniesieniu do dwóch poniższych obszarów związanych z realizacją przedsięwzięcia:</w:t>
            </w:r>
          </w:p>
          <w:p w14:paraId="00294902" w14:textId="77777777" w:rsidR="00D362BE" w:rsidRPr="00B97456" w:rsidRDefault="00D362BE" w:rsidP="00B4010F">
            <w:pPr>
              <w:spacing w:line="276" w:lineRule="auto"/>
              <w:rPr>
                <w:rFonts w:ascii="Lato" w:hAnsi="Lato" w:cstheme="minorHAnsi"/>
                <w:sz w:val="20"/>
                <w:szCs w:val="20"/>
              </w:rPr>
            </w:pPr>
            <w:r w:rsidRPr="00B97456">
              <w:rPr>
                <w:rFonts w:ascii="Lato" w:hAnsi="Lato" w:cstheme="minorHAnsi"/>
                <w:sz w:val="20"/>
                <w:szCs w:val="20"/>
              </w:rPr>
              <w:t>Realizacja przedsięwzięcia:</w:t>
            </w:r>
          </w:p>
          <w:p w14:paraId="4AE28354" w14:textId="77777777" w:rsidR="00D362BE" w:rsidRPr="00B97456" w:rsidRDefault="00D362BE" w:rsidP="00B4010F">
            <w:pPr>
              <w:spacing w:line="276" w:lineRule="auto"/>
              <w:rPr>
                <w:rFonts w:ascii="Lato" w:hAnsi="Lato" w:cstheme="minorHAnsi"/>
                <w:sz w:val="20"/>
                <w:szCs w:val="20"/>
              </w:rPr>
            </w:pPr>
            <w:r w:rsidRPr="00B97456">
              <w:rPr>
                <w:rFonts w:ascii="Lato" w:hAnsi="Lato" w:cstheme="minorHAnsi"/>
                <w:sz w:val="20"/>
                <w:szCs w:val="20"/>
              </w:rPr>
              <w:t xml:space="preserve">TAK </w:t>
            </w:r>
            <w:r w:rsidRPr="00B97456">
              <w:rPr>
                <w:rFonts w:ascii="Lato" w:hAnsi="Lato" w:cstheme="minorHAnsi"/>
                <w:sz w:val="20"/>
                <w:szCs w:val="20"/>
              </w:rPr>
              <w:sym w:font="Symbol" w:char="F086"/>
            </w:r>
            <w:r w:rsidRPr="00B97456">
              <w:rPr>
                <w:rFonts w:ascii="Lato" w:hAnsi="Lato" w:cstheme="minorHAnsi"/>
                <w:sz w:val="20"/>
                <w:szCs w:val="20"/>
              </w:rPr>
              <w:t xml:space="preserve"> NIE </w:t>
            </w:r>
            <w:r w:rsidRPr="00B97456">
              <w:rPr>
                <w:rFonts w:ascii="Lato" w:hAnsi="Lato" w:cstheme="minorHAnsi"/>
                <w:sz w:val="20"/>
                <w:szCs w:val="20"/>
              </w:rPr>
              <w:sym w:font="Symbol" w:char="F086"/>
            </w:r>
            <w:r w:rsidRPr="00B97456">
              <w:rPr>
                <w:rFonts w:ascii="Lato" w:hAnsi="Lato" w:cstheme="minorHAnsi"/>
                <w:sz w:val="20"/>
                <w:szCs w:val="20"/>
              </w:rPr>
              <w:t xml:space="preserve">–ma efekt długoterminowy, jakim jest zwiększenie dostępności kadr medycznych w krajowym systemie zdrowia, który przekracza ramy czasowe obowiązywania RRF. </w:t>
            </w:r>
          </w:p>
          <w:p w14:paraId="436BFE79" w14:textId="77777777" w:rsidR="00D362BE" w:rsidRDefault="00D362BE" w:rsidP="00B4010F">
            <w:pPr>
              <w:spacing w:line="276" w:lineRule="auto"/>
              <w:rPr>
                <w:rFonts w:ascii="Lato" w:hAnsi="Lato" w:cstheme="minorHAnsi"/>
                <w:sz w:val="20"/>
                <w:szCs w:val="20"/>
              </w:rPr>
            </w:pPr>
            <w:r w:rsidRPr="00B97456">
              <w:rPr>
                <w:rFonts w:ascii="Lato" w:hAnsi="Lato" w:cstheme="minorHAnsi"/>
                <w:sz w:val="20"/>
                <w:szCs w:val="20"/>
              </w:rPr>
              <w:t xml:space="preserve">TAK </w:t>
            </w:r>
            <w:r w:rsidRPr="00B97456">
              <w:rPr>
                <w:rFonts w:ascii="Lato" w:hAnsi="Lato" w:cstheme="minorHAnsi"/>
                <w:sz w:val="20"/>
                <w:szCs w:val="20"/>
              </w:rPr>
              <w:sym w:font="Symbol" w:char="F086"/>
            </w:r>
            <w:r w:rsidRPr="00B97456">
              <w:rPr>
                <w:rFonts w:ascii="Lato" w:hAnsi="Lato" w:cstheme="minorHAnsi"/>
                <w:sz w:val="20"/>
                <w:szCs w:val="20"/>
              </w:rPr>
              <w:t xml:space="preserve"> NIE </w:t>
            </w:r>
            <w:r w:rsidRPr="00B97456">
              <w:rPr>
                <w:rFonts w:ascii="Lato" w:hAnsi="Lato" w:cstheme="minorHAnsi"/>
                <w:sz w:val="20"/>
                <w:szCs w:val="20"/>
              </w:rPr>
              <w:sym w:font="Symbol" w:char="F086"/>
            </w:r>
            <w:r w:rsidRPr="00B97456">
              <w:rPr>
                <w:rFonts w:ascii="Lato" w:hAnsi="Lato" w:cstheme="minorHAnsi"/>
                <w:sz w:val="20"/>
                <w:szCs w:val="20"/>
              </w:rPr>
              <w:t>– nie ma charakteru powtarzających się krajowych wydatków budżetowych.</w:t>
            </w:r>
          </w:p>
          <w:p w14:paraId="5C9AB464" w14:textId="3FDE04D4" w:rsidR="00D362BE" w:rsidRPr="00E45710" w:rsidRDefault="00D362BE" w:rsidP="00B4010F">
            <w:pPr>
              <w:spacing w:line="276" w:lineRule="auto"/>
              <w:rPr>
                <w:rFonts w:ascii="Lato" w:hAnsi="Lato" w:cstheme="minorHAnsi"/>
                <w:sz w:val="20"/>
                <w:szCs w:val="20"/>
              </w:rPr>
            </w:pPr>
          </w:p>
        </w:tc>
        <w:tc>
          <w:tcPr>
            <w:tcW w:w="4265" w:type="dxa"/>
          </w:tcPr>
          <w:p w14:paraId="3607421C" w14:textId="42B6459C" w:rsidR="00D362BE" w:rsidRPr="00D362BE" w:rsidRDefault="00D362BE" w:rsidP="00B4010F">
            <w:pPr>
              <w:spacing w:line="276" w:lineRule="auto"/>
              <w:rPr>
                <w:rFonts w:ascii="Lato" w:hAnsi="Lato" w:cstheme="minorHAnsi"/>
                <w:sz w:val="20"/>
                <w:szCs w:val="20"/>
              </w:rPr>
            </w:pPr>
            <w:r>
              <w:rPr>
                <w:rFonts w:ascii="Lato" w:hAnsi="Lato" w:cstheme="minorHAnsi"/>
                <w:sz w:val="20"/>
                <w:szCs w:val="20"/>
              </w:rPr>
              <w:lastRenderedPageBreak/>
              <w:t>0/1</w:t>
            </w:r>
          </w:p>
        </w:tc>
      </w:tr>
      <w:tr w:rsidR="00D362BE" w:rsidRPr="00E45710" w14:paraId="466862F1" w14:textId="77777777" w:rsidTr="00B4010F">
        <w:tblPrEx>
          <w:tblCellMar>
            <w:left w:w="108" w:type="dxa"/>
            <w:right w:w="108" w:type="dxa"/>
          </w:tblCellMar>
          <w:tblLook w:val="04A0" w:firstRow="1" w:lastRow="0" w:firstColumn="1" w:lastColumn="0" w:noHBand="0" w:noVBand="1"/>
        </w:tblPrEx>
        <w:tc>
          <w:tcPr>
            <w:tcW w:w="495" w:type="dxa"/>
          </w:tcPr>
          <w:p w14:paraId="3968390F" w14:textId="357D5914"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12.</w:t>
            </w:r>
          </w:p>
        </w:tc>
        <w:tc>
          <w:tcPr>
            <w:tcW w:w="2091" w:type="dxa"/>
          </w:tcPr>
          <w:p w14:paraId="7669F551"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Wpływ na</w:t>
            </w:r>
          </w:p>
          <w:p w14:paraId="59F51591"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wskaźniki i cele</w:t>
            </w:r>
          </w:p>
          <w:p w14:paraId="2A49404E"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inwestycji w planie</w:t>
            </w:r>
          </w:p>
          <w:p w14:paraId="6E61D388" w14:textId="5734C800"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rozwojowym i RRF</w:t>
            </w:r>
          </w:p>
        </w:tc>
        <w:tc>
          <w:tcPr>
            <w:tcW w:w="5902" w:type="dxa"/>
          </w:tcPr>
          <w:p w14:paraId="7EB88823" w14:textId="02A595E5" w:rsidR="00D362BE" w:rsidRPr="00E45710" w:rsidRDefault="00D362BE" w:rsidP="00B4010F">
            <w:pPr>
              <w:autoSpaceDE w:val="0"/>
              <w:autoSpaceDN w:val="0"/>
              <w:adjustRightInd w:val="0"/>
              <w:rPr>
                <w:rFonts w:ascii="Lato" w:hAnsi="Lato" w:cstheme="minorHAnsi"/>
                <w:color w:val="000000"/>
                <w:sz w:val="20"/>
                <w:szCs w:val="20"/>
              </w:rPr>
            </w:pPr>
            <w:r w:rsidRPr="00E45710">
              <w:rPr>
                <w:rFonts w:ascii="Lato" w:hAnsi="Lato" w:cstheme="minorHAnsi"/>
                <w:color w:val="000000"/>
                <w:sz w:val="20"/>
                <w:szCs w:val="20"/>
              </w:rPr>
              <w:t xml:space="preserve">Analizowane jest czy przedsięwzięcie ma pozytywny i bezpośredni wpływ na wskaźniki i cele określone w planie rozwojowym (decyzji implementacyjnej), jak również </w:t>
            </w:r>
            <w:r w:rsidRPr="00E45710">
              <w:rPr>
                <w:rFonts w:ascii="Lato" w:hAnsi="Lato" w:cstheme="minorHAnsi"/>
                <w:color w:val="0563C2"/>
                <w:sz w:val="20"/>
                <w:szCs w:val="20"/>
              </w:rPr>
              <w:t>wskaźniki wspólne</w:t>
            </w:r>
            <w:r w:rsidRPr="00E45710">
              <w:rPr>
                <w:rFonts w:ascii="Lato" w:hAnsi="Lato" w:cstheme="minorHAnsi"/>
                <w:color w:val="000000"/>
                <w:sz w:val="20"/>
                <w:szCs w:val="20"/>
              </w:rPr>
              <w:t>, a metodyka ich wyliczania jest wiarygodna.</w:t>
            </w:r>
          </w:p>
          <w:p w14:paraId="7EDED568" w14:textId="64670594"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Spełnienie kryterium oznacza, iż realizacja danego przedsięwzięcia przyczynia się do osiągnięcia celu i/lub wskaźnika dla danej inwestycji w planie rozwojowym i/lub realizuje wspólne wskaźniki na poziomie RRF (jeżeli dotyczy).</w:t>
            </w:r>
          </w:p>
          <w:p w14:paraId="3D2F8790" w14:textId="77777777" w:rsidR="00D362BE"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W przypadku gdy przedsięwzięcie nie wpływa na realizację wskaźników i celów planu rozwojowego, należy wskazać ‘nie dotyczy’ wraz z uzasadnieniem.</w:t>
            </w:r>
          </w:p>
          <w:p w14:paraId="39FCF581" w14:textId="210E5069" w:rsidR="00D362BE" w:rsidRPr="00E45710" w:rsidRDefault="00D362BE" w:rsidP="00B4010F">
            <w:pPr>
              <w:autoSpaceDE w:val="0"/>
              <w:autoSpaceDN w:val="0"/>
              <w:adjustRightInd w:val="0"/>
              <w:rPr>
                <w:rFonts w:ascii="Lato" w:hAnsi="Lato" w:cstheme="minorHAnsi"/>
                <w:sz w:val="20"/>
                <w:szCs w:val="20"/>
              </w:rPr>
            </w:pPr>
          </w:p>
        </w:tc>
        <w:tc>
          <w:tcPr>
            <w:tcW w:w="4265" w:type="dxa"/>
          </w:tcPr>
          <w:p w14:paraId="38631B53" w14:textId="198FEA5A" w:rsidR="00D362BE" w:rsidRPr="00E45710" w:rsidRDefault="00D362BE" w:rsidP="00B4010F">
            <w:pPr>
              <w:spacing w:line="276" w:lineRule="auto"/>
              <w:rPr>
                <w:rFonts w:ascii="Lato" w:hAnsi="Lato" w:cstheme="minorHAnsi"/>
                <w:i/>
                <w:iCs/>
                <w:sz w:val="20"/>
                <w:szCs w:val="20"/>
              </w:rPr>
            </w:pPr>
            <w:r w:rsidRPr="00E45710">
              <w:rPr>
                <w:rFonts w:ascii="Lato" w:hAnsi="Lato" w:cstheme="minorHAnsi"/>
                <w:sz w:val="20"/>
                <w:szCs w:val="20"/>
              </w:rPr>
              <w:t>0/1/</w:t>
            </w:r>
          </w:p>
        </w:tc>
      </w:tr>
      <w:tr w:rsidR="00D362BE" w:rsidRPr="00E45710" w14:paraId="65DBC1E9" w14:textId="77777777" w:rsidTr="00B4010F">
        <w:tblPrEx>
          <w:tblCellMar>
            <w:left w:w="108" w:type="dxa"/>
            <w:right w:w="108" w:type="dxa"/>
          </w:tblCellMar>
          <w:tblLook w:val="04A0" w:firstRow="1" w:lastRow="0" w:firstColumn="1" w:lastColumn="0" w:noHBand="0" w:noVBand="1"/>
        </w:tblPrEx>
        <w:trPr>
          <w:trHeight w:val="1900"/>
        </w:trPr>
        <w:tc>
          <w:tcPr>
            <w:tcW w:w="495" w:type="dxa"/>
          </w:tcPr>
          <w:p w14:paraId="730B6380" w14:textId="23A8790B"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13.</w:t>
            </w:r>
          </w:p>
        </w:tc>
        <w:tc>
          <w:tcPr>
            <w:tcW w:w="2091" w:type="dxa"/>
          </w:tcPr>
          <w:p w14:paraId="0A2D1BEF"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Adekwatność</w:t>
            </w:r>
          </w:p>
          <w:p w14:paraId="7F955BFD"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wskaźników</w:t>
            </w:r>
          </w:p>
          <w:p w14:paraId="1FF6F3A5" w14:textId="77777777"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własnych</w:t>
            </w:r>
          </w:p>
          <w:p w14:paraId="16F51885" w14:textId="5FEDC8CC"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przedsięwzięcia</w:t>
            </w:r>
          </w:p>
        </w:tc>
        <w:tc>
          <w:tcPr>
            <w:tcW w:w="5902" w:type="dxa"/>
          </w:tcPr>
          <w:p w14:paraId="0CB10365" w14:textId="0A6E6E8A" w:rsidR="00D362BE" w:rsidRPr="00E45710"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Analizowane jest czy wskaźniki własne przedsięwzięcia (inne niż wskaźniki dla inwestycji w planie rozwojowym i wspólne wskaźniki na poziomie RRF) są adekwatne do celu i zakresu danego przedsięwzięcia oraz mierzalne i realne.</w:t>
            </w:r>
          </w:p>
          <w:p w14:paraId="6D20FC1F" w14:textId="77777777" w:rsidR="00D362BE" w:rsidRDefault="00D362BE" w:rsidP="00B4010F">
            <w:pPr>
              <w:autoSpaceDE w:val="0"/>
              <w:autoSpaceDN w:val="0"/>
              <w:adjustRightInd w:val="0"/>
              <w:rPr>
                <w:rFonts w:ascii="Lato" w:hAnsi="Lato" w:cstheme="minorHAnsi"/>
                <w:sz w:val="20"/>
                <w:szCs w:val="20"/>
              </w:rPr>
            </w:pPr>
            <w:r w:rsidRPr="00E45710">
              <w:rPr>
                <w:rFonts w:ascii="Lato" w:hAnsi="Lato" w:cstheme="minorHAnsi"/>
                <w:sz w:val="20"/>
                <w:szCs w:val="20"/>
              </w:rPr>
              <w:t>W przypadku gdy przedsięwzięcie nie ma wskaźników własnych, należy wskazać ‘nie dotyczy’.</w:t>
            </w:r>
          </w:p>
          <w:p w14:paraId="53BA52E6" w14:textId="63707AB9" w:rsidR="00D362BE" w:rsidRPr="00E45710" w:rsidRDefault="00D362BE" w:rsidP="00B4010F">
            <w:pPr>
              <w:autoSpaceDE w:val="0"/>
              <w:autoSpaceDN w:val="0"/>
              <w:adjustRightInd w:val="0"/>
              <w:rPr>
                <w:rFonts w:ascii="Lato" w:hAnsi="Lato" w:cstheme="minorHAnsi"/>
                <w:sz w:val="20"/>
                <w:szCs w:val="20"/>
              </w:rPr>
            </w:pPr>
          </w:p>
        </w:tc>
        <w:tc>
          <w:tcPr>
            <w:tcW w:w="4265" w:type="dxa"/>
          </w:tcPr>
          <w:p w14:paraId="2E0B1E51" w14:textId="47A76600" w:rsidR="00D362BE" w:rsidRPr="00E45710" w:rsidRDefault="00D362BE" w:rsidP="00B4010F">
            <w:pPr>
              <w:spacing w:line="276" w:lineRule="auto"/>
              <w:rPr>
                <w:rFonts w:ascii="Lato" w:hAnsi="Lato" w:cstheme="minorHAnsi"/>
                <w:i/>
                <w:iCs/>
                <w:sz w:val="20"/>
                <w:szCs w:val="20"/>
              </w:rPr>
            </w:pPr>
            <w:r w:rsidRPr="00E45710">
              <w:rPr>
                <w:rFonts w:ascii="Lato" w:hAnsi="Lato" w:cstheme="minorHAnsi"/>
                <w:sz w:val="20"/>
                <w:szCs w:val="20"/>
              </w:rPr>
              <w:t>0/1</w:t>
            </w:r>
          </w:p>
        </w:tc>
      </w:tr>
      <w:tr w:rsidR="00C66B16" w:rsidRPr="00E45710" w14:paraId="7FA80C8D" w14:textId="77777777" w:rsidTr="00B4010F">
        <w:tblPrEx>
          <w:tblCellMar>
            <w:left w:w="108" w:type="dxa"/>
            <w:right w:w="108" w:type="dxa"/>
          </w:tblCellMar>
          <w:tblLook w:val="04A0" w:firstRow="1" w:lastRow="0" w:firstColumn="1" w:lastColumn="0" w:noHBand="0" w:noVBand="1"/>
        </w:tblPrEx>
        <w:trPr>
          <w:trHeight w:val="357"/>
        </w:trPr>
        <w:tc>
          <w:tcPr>
            <w:tcW w:w="12753" w:type="dxa"/>
            <w:gridSpan w:val="4"/>
          </w:tcPr>
          <w:p w14:paraId="06442765" w14:textId="2B91BE0B" w:rsidR="00C66B16" w:rsidRPr="00E95C15" w:rsidRDefault="00C66B16" w:rsidP="00B4010F">
            <w:pPr>
              <w:spacing w:line="276" w:lineRule="auto"/>
              <w:rPr>
                <w:rFonts w:ascii="Lato" w:hAnsi="Lato" w:cstheme="minorHAnsi"/>
                <w:b/>
                <w:bCs/>
              </w:rPr>
            </w:pPr>
            <w:r w:rsidRPr="00E95C15">
              <w:rPr>
                <w:rFonts w:ascii="Lato" w:hAnsi="Lato" w:cstheme="minorHAnsi"/>
                <w:b/>
                <w:bCs/>
              </w:rPr>
              <w:t>Kryteria szczegółowe</w:t>
            </w:r>
          </w:p>
        </w:tc>
      </w:tr>
      <w:tr w:rsidR="00D362BE" w:rsidRPr="00E45710" w14:paraId="72B53FD4" w14:textId="77777777" w:rsidTr="00B4010F">
        <w:tblPrEx>
          <w:tblCellMar>
            <w:left w:w="108" w:type="dxa"/>
            <w:right w:w="108" w:type="dxa"/>
          </w:tblCellMar>
          <w:tblLook w:val="04A0" w:firstRow="1" w:lastRow="0" w:firstColumn="1" w:lastColumn="0" w:noHBand="0" w:noVBand="1"/>
        </w:tblPrEx>
        <w:tc>
          <w:tcPr>
            <w:tcW w:w="495" w:type="dxa"/>
            <w:shd w:val="clear" w:color="auto" w:fill="B4C6E7" w:themeFill="accent1" w:themeFillTint="66"/>
          </w:tcPr>
          <w:p w14:paraId="1E57596D" w14:textId="77777777"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LP</w:t>
            </w:r>
          </w:p>
        </w:tc>
        <w:tc>
          <w:tcPr>
            <w:tcW w:w="2091" w:type="dxa"/>
            <w:shd w:val="clear" w:color="auto" w:fill="B4C6E7" w:themeFill="accent1" w:themeFillTint="66"/>
          </w:tcPr>
          <w:p w14:paraId="180E6A97" w14:textId="77777777"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Nazwa kryterium</w:t>
            </w:r>
          </w:p>
        </w:tc>
        <w:tc>
          <w:tcPr>
            <w:tcW w:w="5902" w:type="dxa"/>
            <w:shd w:val="clear" w:color="auto" w:fill="B4C6E7" w:themeFill="accent1" w:themeFillTint="66"/>
          </w:tcPr>
          <w:p w14:paraId="7C1BDAF9" w14:textId="77777777"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Opis kryterium</w:t>
            </w:r>
          </w:p>
        </w:tc>
        <w:tc>
          <w:tcPr>
            <w:tcW w:w="4265" w:type="dxa"/>
            <w:shd w:val="clear" w:color="auto" w:fill="B4C6E7" w:themeFill="accent1" w:themeFillTint="66"/>
          </w:tcPr>
          <w:p w14:paraId="53AC8488" w14:textId="77777777"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Sposób weryfikacji</w:t>
            </w:r>
          </w:p>
        </w:tc>
      </w:tr>
      <w:tr w:rsidR="00D362BE" w:rsidRPr="00E45710" w14:paraId="7196B9AA" w14:textId="77777777" w:rsidTr="00B4010F">
        <w:tblPrEx>
          <w:tblCellMar>
            <w:left w:w="108" w:type="dxa"/>
            <w:right w:w="108" w:type="dxa"/>
          </w:tblCellMar>
          <w:tblLook w:val="04A0" w:firstRow="1" w:lastRow="0" w:firstColumn="1" w:lastColumn="0" w:noHBand="0" w:noVBand="1"/>
        </w:tblPrEx>
        <w:tc>
          <w:tcPr>
            <w:tcW w:w="495" w:type="dxa"/>
            <w:shd w:val="clear" w:color="auto" w:fill="auto"/>
          </w:tcPr>
          <w:p w14:paraId="71EBB3A8" w14:textId="0C282F40"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1.</w:t>
            </w:r>
          </w:p>
        </w:tc>
        <w:tc>
          <w:tcPr>
            <w:tcW w:w="2091" w:type="dxa"/>
            <w:shd w:val="clear" w:color="auto" w:fill="auto"/>
          </w:tcPr>
          <w:p w14:paraId="7A582505" w14:textId="612CF807"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 xml:space="preserve">Złożenie Wniosku wstępnego </w:t>
            </w:r>
          </w:p>
        </w:tc>
        <w:tc>
          <w:tcPr>
            <w:tcW w:w="5902" w:type="dxa"/>
            <w:shd w:val="clear" w:color="auto" w:fill="auto"/>
          </w:tcPr>
          <w:p w14:paraId="1C9D94B0" w14:textId="60D40326" w:rsidR="00D362BE" w:rsidRPr="00D22E70" w:rsidRDefault="00D362BE" w:rsidP="00B4010F">
            <w:pPr>
              <w:spacing w:line="276" w:lineRule="auto"/>
              <w:rPr>
                <w:rFonts w:ascii="Lato" w:hAnsi="Lato" w:cstheme="minorHAnsi"/>
                <w:b/>
                <w:bCs/>
                <w:sz w:val="20"/>
                <w:szCs w:val="20"/>
              </w:rPr>
            </w:pPr>
            <w:r w:rsidRPr="00D22E70">
              <w:rPr>
                <w:rFonts w:ascii="Lato" w:hAnsi="Lato" w:cstheme="minorHAnsi"/>
                <w:b/>
                <w:bCs/>
                <w:sz w:val="20"/>
                <w:szCs w:val="20"/>
              </w:rPr>
              <w:t>Wniosek wstępny</w:t>
            </w:r>
          </w:p>
          <w:p w14:paraId="2DF8B94D" w14:textId="7183FF88" w:rsidR="00D362BE" w:rsidRPr="00B97456" w:rsidRDefault="00D362BE" w:rsidP="00B4010F">
            <w:pPr>
              <w:spacing w:line="276" w:lineRule="auto"/>
              <w:rPr>
                <w:rFonts w:ascii="Lato" w:hAnsi="Lato" w:cstheme="minorHAnsi"/>
                <w:sz w:val="20"/>
                <w:szCs w:val="20"/>
              </w:rPr>
            </w:pPr>
            <w:r w:rsidRPr="00B97456">
              <w:rPr>
                <w:rFonts w:ascii="Lato" w:hAnsi="Lato" w:cstheme="minorHAnsi"/>
                <w:sz w:val="20"/>
                <w:szCs w:val="20"/>
              </w:rPr>
              <w:lastRenderedPageBreak/>
              <w:t xml:space="preserve">Uczelnia złożyła wniosek wstępny, o którym mowa w regulaminie  wyboru przedsięwzięć do objęcia wsparciem dotyczących Działania </w:t>
            </w:r>
            <w:r>
              <w:rPr>
                <w:rFonts w:ascii="Lato" w:hAnsi="Lato" w:cstheme="minorHAnsi"/>
                <w:sz w:val="20"/>
                <w:szCs w:val="20"/>
              </w:rPr>
              <w:t>2</w:t>
            </w:r>
            <w:r w:rsidR="00834A6C">
              <w:rPr>
                <w:rFonts w:ascii="Lato" w:hAnsi="Lato" w:cstheme="minorHAnsi"/>
                <w:sz w:val="20"/>
                <w:szCs w:val="20"/>
              </w:rPr>
              <w:t xml:space="preserve"> </w:t>
            </w:r>
            <w:r w:rsidRPr="00B97456">
              <w:rPr>
                <w:rFonts w:ascii="Lato" w:hAnsi="Lato" w:cstheme="minorHAnsi"/>
                <w:sz w:val="20"/>
                <w:szCs w:val="20"/>
              </w:rPr>
              <w:t>Systemu zachęt</w:t>
            </w:r>
            <w:r>
              <w:rPr>
                <w:rFonts w:ascii="Lato" w:hAnsi="Lato" w:cstheme="minorHAnsi"/>
                <w:sz w:val="20"/>
                <w:szCs w:val="20"/>
              </w:rPr>
              <w:t>.</w:t>
            </w:r>
          </w:p>
          <w:p w14:paraId="46904A98" w14:textId="77777777" w:rsidR="00D362BE" w:rsidRDefault="00D362BE" w:rsidP="00B4010F">
            <w:pPr>
              <w:spacing w:line="276" w:lineRule="auto"/>
              <w:rPr>
                <w:rFonts w:ascii="Lato" w:hAnsi="Lato" w:cstheme="minorHAnsi"/>
                <w:i/>
                <w:iCs/>
                <w:sz w:val="20"/>
                <w:szCs w:val="20"/>
              </w:rPr>
            </w:pPr>
          </w:p>
          <w:p w14:paraId="2D39AF8B" w14:textId="77777777" w:rsidR="00B4654F" w:rsidRDefault="00D362BE" w:rsidP="00B4010F">
            <w:pPr>
              <w:spacing w:line="276" w:lineRule="auto"/>
              <w:rPr>
                <w:rFonts w:ascii="Lato" w:hAnsi="Lato" w:cstheme="minorHAnsi"/>
                <w:sz w:val="20"/>
                <w:szCs w:val="20"/>
              </w:rPr>
            </w:pPr>
            <w:r w:rsidRPr="00D22E70">
              <w:rPr>
                <w:rFonts w:ascii="Lato" w:hAnsi="Lato" w:cstheme="minorHAnsi"/>
                <w:sz w:val="20"/>
                <w:szCs w:val="20"/>
                <w:u w:val="single"/>
              </w:rPr>
              <w:t>Uwaga:</w:t>
            </w:r>
            <w:r w:rsidRPr="00D362BE">
              <w:rPr>
                <w:rFonts w:ascii="Lato" w:hAnsi="Lato" w:cstheme="minorHAnsi"/>
                <w:sz w:val="20"/>
                <w:szCs w:val="20"/>
              </w:rPr>
              <w:t xml:space="preserve"> </w:t>
            </w:r>
          </w:p>
          <w:p w14:paraId="1A6DA5C6" w14:textId="7CE8CDDD" w:rsidR="00D362BE" w:rsidRDefault="00B4654F" w:rsidP="00B4010F">
            <w:pPr>
              <w:spacing w:line="276" w:lineRule="auto"/>
              <w:rPr>
                <w:rFonts w:ascii="Lato" w:hAnsi="Lato" w:cstheme="minorHAnsi"/>
                <w:sz w:val="20"/>
                <w:szCs w:val="20"/>
              </w:rPr>
            </w:pPr>
            <w:r>
              <w:rPr>
                <w:rFonts w:ascii="Lato" w:hAnsi="Lato" w:cstheme="minorHAnsi"/>
                <w:sz w:val="20"/>
                <w:szCs w:val="20"/>
              </w:rPr>
              <w:t>W</w:t>
            </w:r>
            <w:r w:rsidR="00D362BE" w:rsidRPr="00D362BE">
              <w:rPr>
                <w:rFonts w:ascii="Lato" w:hAnsi="Lato" w:cstheme="minorHAnsi"/>
                <w:sz w:val="20"/>
                <w:szCs w:val="20"/>
              </w:rPr>
              <w:t xml:space="preserve">eryfikacja spełnienia kryterium zostanie przeprowadzona w oparciu o Wnioski wstępne złożone przez </w:t>
            </w:r>
            <w:proofErr w:type="spellStart"/>
            <w:r w:rsidR="00D362BE" w:rsidRPr="00D362BE">
              <w:rPr>
                <w:rFonts w:ascii="Lato" w:hAnsi="Lato" w:cstheme="minorHAnsi"/>
                <w:sz w:val="20"/>
                <w:szCs w:val="20"/>
              </w:rPr>
              <w:t>ePUAP</w:t>
            </w:r>
            <w:proofErr w:type="spellEnd"/>
            <w:r w:rsidR="00D362BE">
              <w:rPr>
                <w:rFonts w:ascii="Lato" w:hAnsi="Lato" w:cstheme="minorHAnsi"/>
                <w:sz w:val="20"/>
                <w:szCs w:val="20"/>
              </w:rPr>
              <w:t>.</w:t>
            </w:r>
          </w:p>
          <w:p w14:paraId="22912DB9" w14:textId="25752733" w:rsidR="00D362BE" w:rsidRPr="00B97456" w:rsidRDefault="00D362BE" w:rsidP="00B4010F">
            <w:pPr>
              <w:spacing w:line="276" w:lineRule="auto"/>
              <w:rPr>
                <w:rFonts w:ascii="Lato" w:hAnsi="Lato" w:cstheme="minorHAnsi"/>
                <w:sz w:val="20"/>
                <w:szCs w:val="20"/>
              </w:rPr>
            </w:pPr>
          </w:p>
        </w:tc>
        <w:tc>
          <w:tcPr>
            <w:tcW w:w="4265" w:type="dxa"/>
            <w:shd w:val="clear" w:color="auto" w:fill="auto"/>
          </w:tcPr>
          <w:p w14:paraId="3693E441" w14:textId="65C33142" w:rsidR="00D362BE" w:rsidRPr="00E45710" w:rsidRDefault="00D362BE" w:rsidP="00B4010F">
            <w:pPr>
              <w:spacing w:line="276" w:lineRule="auto"/>
              <w:rPr>
                <w:rFonts w:ascii="Lato" w:hAnsi="Lato" w:cstheme="minorHAnsi"/>
                <w:sz w:val="20"/>
                <w:szCs w:val="20"/>
              </w:rPr>
            </w:pPr>
            <w:r>
              <w:rPr>
                <w:rFonts w:ascii="Lato" w:hAnsi="Lato" w:cstheme="minorHAnsi"/>
                <w:sz w:val="20"/>
                <w:szCs w:val="20"/>
              </w:rPr>
              <w:lastRenderedPageBreak/>
              <w:t>0/1</w:t>
            </w:r>
          </w:p>
        </w:tc>
      </w:tr>
      <w:tr w:rsidR="00D362BE" w:rsidRPr="00E45710" w14:paraId="290642EA" w14:textId="77777777" w:rsidTr="00B4010F">
        <w:tblPrEx>
          <w:tblCellMar>
            <w:left w:w="108" w:type="dxa"/>
            <w:right w:w="108" w:type="dxa"/>
          </w:tblCellMar>
          <w:tblLook w:val="04A0" w:firstRow="1" w:lastRow="0" w:firstColumn="1" w:lastColumn="0" w:noHBand="0" w:noVBand="1"/>
        </w:tblPrEx>
        <w:tc>
          <w:tcPr>
            <w:tcW w:w="495" w:type="dxa"/>
          </w:tcPr>
          <w:p w14:paraId="23B35099" w14:textId="09B10C68"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2.</w:t>
            </w:r>
          </w:p>
        </w:tc>
        <w:tc>
          <w:tcPr>
            <w:tcW w:w="2091" w:type="dxa"/>
          </w:tcPr>
          <w:p w14:paraId="3127BACD" w14:textId="34707D99"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Opublikowanie Regulaminu stypendiów w ramach Systemu zachęt</w:t>
            </w:r>
          </w:p>
        </w:tc>
        <w:tc>
          <w:tcPr>
            <w:tcW w:w="5902" w:type="dxa"/>
          </w:tcPr>
          <w:p w14:paraId="2973C8DD" w14:textId="719B2F88" w:rsidR="00D362BE" w:rsidRPr="00D22E70" w:rsidRDefault="00D362BE" w:rsidP="00B4010F">
            <w:pPr>
              <w:spacing w:line="276" w:lineRule="auto"/>
              <w:rPr>
                <w:rFonts w:ascii="Lato" w:hAnsi="Lato" w:cstheme="minorHAnsi"/>
                <w:b/>
                <w:bCs/>
                <w:sz w:val="20"/>
                <w:szCs w:val="20"/>
              </w:rPr>
            </w:pPr>
            <w:r w:rsidRPr="00D22E70">
              <w:rPr>
                <w:rFonts w:ascii="Lato" w:hAnsi="Lato" w:cstheme="minorHAnsi"/>
                <w:b/>
                <w:bCs/>
                <w:sz w:val="20"/>
                <w:szCs w:val="20"/>
              </w:rPr>
              <w:t>Regulamin stypendiów</w:t>
            </w:r>
          </w:p>
          <w:p w14:paraId="7ACDD3A8" w14:textId="77777777" w:rsidR="00D362BE" w:rsidRDefault="00D362BE" w:rsidP="00B4010F">
            <w:pPr>
              <w:spacing w:line="276" w:lineRule="auto"/>
              <w:rPr>
                <w:rFonts w:ascii="Lato" w:hAnsi="Lato" w:cstheme="minorHAnsi"/>
                <w:sz w:val="20"/>
                <w:szCs w:val="20"/>
              </w:rPr>
            </w:pPr>
            <w:r w:rsidRPr="00E45710">
              <w:rPr>
                <w:rFonts w:ascii="Lato" w:hAnsi="Lato" w:cstheme="minorHAnsi"/>
                <w:sz w:val="20"/>
                <w:szCs w:val="20"/>
              </w:rPr>
              <w:t>Uczelnia uchwali regulamin stypendiów w ramach Systemu zachęt, w którym określone będą m.in. zasady wyłaniania stypendystów z uwzględnieniem listy rankingowej przyjęć na studia, w szczególności mając na uwadze wyniki osiągnięte przez studentów z egzaminów maturalnych oraz punktację osiągniętą w procesie rekrutacji.</w:t>
            </w:r>
          </w:p>
          <w:p w14:paraId="63FAB632" w14:textId="77777777" w:rsidR="00D362BE" w:rsidRDefault="00D362BE" w:rsidP="00B4010F">
            <w:pPr>
              <w:spacing w:line="276" w:lineRule="auto"/>
              <w:rPr>
                <w:rFonts w:ascii="Lato" w:hAnsi="Lato" w:cstheme="minorHAnsi"/>
                <w:sz w:val="20"/>
                <w:szCs w:val="20"/>
              </w:rPr>
            </w:pPr>
          </w:p>
          <w:p w14:paraId="41F2CD39" w14:textId="77777777" w:rsidR="00D362BE" w:rsidRPr="000739DB" w:rsidRDefault="00D362BE" w:rsidP="00B4010F">
            <w:pPr>
              <w:spacing w:line="276" w:lineRule="auto"/>
              <w:rPr>
                <w:rFonts w:ascii="Lato" w:hAnsi="Lato" w:cstheme="minorHAnsi"/>
                <w:sz w:val="20"/>
                <w:szCs w:val="20"/>
                <w:u w:val="single"/>
              </w:rPr>
            </w:pPr>
            <w:r w:rsidRPr="000739DB">
              <w:rPr>
                <w:rFonts w:ascii="Lato" w:hAnsi="Lato" w:cstheme="minorHAnsi"/>
                <w:sz w:val="20"/>
                <w:szCs w:val="20"/>
                <w:u w:val="single"/>
              </w:rPr>
              <w:t>Uwaga:</w:t>
            </w:r>
          </w:p>
          <w:p w14:paraId="11E712EE" w14:textId="77777777" w:rsidR="00D362BE" w:rsidRDefault="00D362BE" w:rsidP="00B4010F">
            <w:pPr>
              <w:spacing w:line="276" w:lineRule="auto"/>
              <w:rPr>
                <w:rFonts w:ascii="Lato" w:hAnsi="Lato" w:cstheme="minorHAnsi"/>
                <w:sz w:val="20"/>
                <w:szCs w:val="20"/>
              </w:rPr>
            </w:pPr>
            <w:r w:rsidRPr="000739DB">
              <w:rPr>
                <w:rFonts w:ascii="Lato" w:hAnsi="Lato" w:cstheme="minorHAnsi"/>
                <w:sz w:val="20"/>
                <w:szCs w:val="20"/>
              </w:rPr>
              <w:t>Weryfikacja spełnienia kryterium zostanie przeprowadzona w oparciu o kopię regulaminu przekazaną jako załącznik do  wniosku o objęcie przedsięwzięcia wsparciem</w:t>
            </w:r>
            <w:r>
              <w:rPr>
                <w:rFonts w:ascii="Lato" w:hAnsi="Lato" w:cstheme="minorHAnsi"/>
                <w:sz w:val="20"/>
                <w:szCs w:val="20"/>
              </w:rPr>
              <w:t>.</w:t>
            </w:r>
          </w:p>
          <w:p w14:paraId="5C360D4F" w14:textId="7B7D5306" w:rsidR="00D362BE" w:rsidRPr="00E45710" w:rsidRDefault="00D362BE" w:rsidP="00B4010F">
            <w:pPr>
              <w:spacing w:line="276" w:lineRule="auto"/>
              <w:rPr>
                <w:rFonts w:ascii="Lato" w:hAnsi="Lato" w:cstheme="minorHAnsi"/>
                <w:sz w:val="20"/>
                <w:szCs w:val="20"/>
              </w:rPr>
            </w:pPr>
          </w:p>
        </w:tc>
        <w:tc>
          <w:tcPr>
            <w:tcW w:w="4265" w:type="dxa"/>
          </w:tcPr>
          <w:p w14:paraId="20A96A71" w14:textId="593536DF" w:rsidR="00D362BE" w:rsidRPr="00E45710" w:rsidRDefault="00D362BE" w:rsidP="00B4010F">
            <w:pPr>
              <w:spacing w:line="276" w:lineRule="auto"/>
              <w:rPr>
                <w:rFonts w:ascii="Lato" w:hAnsi="Lato" w:cstheme="minorHAnsi"/>
                <w:i/>
                <w:iCs/>
                <w:sz w:val="20"/>
                <w:szCs w:val="20"/>
              </w:rPr>
            </w:pPr>
            <w:r>
              <w:rPr>
                <w:rFonts w:ascii="Lato" w:hAnsi="Lato" w:cstheme="minorHAnsi"/>
                <w:sz w:val="20"/>
                <w:szCs w:val="20"/>
              </w:rPr>
              <w:t>0/1</w:t>
            </w:r>
          </w:p>
        </w:tc>
      </w:tr>
      <w:tr w:rsidR="00D362BE" w:rsidRPr="00E45710" w14:paraId="609BF390" w14:textId="2E0AD692" w:rsidTr="00B4010F">
        <w:tblPrEx>
          <w:tblCellMar>
            <w:left w:w="108" w:type="dxa"/>
            <w:right w:w="108" w:type="dxa"/>
          </w:tblCellMar>
          <w:tblLook w:val="04A0" w:firstRow="1" w:lastRow="0" w:firstColumn="1" w:lastColumn="0" w:noHBand="0" w:noVBand="1"/>
        </w:tblPrEx>
        <w:tc>
          <w:tcPr>
            <w:tcW w:w="495" w:type="dxa"/>
          </w:tcPr>
          <w:p w14:paraId="5F990EB9" w14:textId="6FEBC5CC"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3.</w:t>
            </w:r>
          </w:p>
        </w:tc>
        <w:tc>
          <w:tcPr>
            <w:tcW w:w="2091" w:type="dxa"/>
          </w:tcPr>
          <w:p w14:paraId="0DD6AFB8" w14:textId="6A56518B"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Uczelnia – ostateczny odbiorca wsparcia</w:t>
            </w:r>
          </w:p>
        </w:tc>
        <w:tc>
          <w:tcPr>
            <w:tcW w:w="5902" w:type="dxa"/>
          </w:tcPr>
          <w:p w14:paraId="3D295B7A" w14:textId="77777777"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Stypendium będzie przyznawane określonemu procentowi najlepszych studentów w każdej uczelni, która:</w:t>
            </w:r>
          </w:p>
          <w:p w14:paraId="5EBF707C" w14:textId="77777777" w:rsidR="00D362BE" w:rsidRDefault="00D362BE" w:rsidP="00B4010F">
            <w:pPr>
              <w:spacing w:line="276" w:lineRule="auto"/>
              <w:rPr>
                <w:rFonts w:ascii="Lato" w:hAnsi="Lato" w:cstheme="minorHAnsi"/>
                <w:sz w:val="20"/>
                <w:szCs w:val="20"/>
              </w:rPr>
            </w:pPr>
          </w:p>
          <w:p w14:paraId="3DA28823" w14:textId="77777777" w:rsidR="00D362BE" w:rsidRPr="000739DB" w:rsidRDefault="00D362BE" w:rsidP="00B4010F">
            <w:pPr>
              <w:spacing w:line="276" w:lineRule="auto"/>
              <w:rPr>
                <w:rFonts w:ascii="Lato" w:hAnsi="Lato" w:cstheme="minorHAnsi"/>
                <w:sz w:val="20"/>
                <w:szCs w:val="20"/>
                <w:u w:val="single"/>
              </w:rPr>
            </w:pPr>
            <w:r w:rsidRPr="000739DB">
              <w:rPr>
                <w:rFonts w:ascii="Lato" w:hAnsi="Lato" w:cstheme="minorHAnsi"/>
                <w:sz w:val="20"/>
                <w:szCs w:val="20"/>
                <w:u w:val="single"/>
              </w:rPr>
              <w:t>Uwaga:</w:t>
            </w:r>
          </w:p>
          <w:p w14:paraId="1F4D746B" w14:textId="77777777" w:rsidR="00D362BE" w:rsidRPr="000739DB" w:rsidRDefault="00D362BE" w:rsidP="00B4010F">
            <w:pPr>
              <w:spacing w:line="276" w:lineRule="auto"/>
              <w:rPr>
                <w:rFonts w:ascii="Lato" w:hAnsi="Lato" w:cstheme="minorHAnsi"/>
                <w:sz w:val="20"/>
                <w:szCs w:val="20"/>
              </w:rPr>
            </w:pPr>
            <w:r w:rsidRPr="000739DB">
              <w:rPr>
                <w:rFonts w:ascii="Lato" w:hAnsi="Lato" w:cstheme="minorHAnsi"/>
                <w:sz w:val="20"/>
                <w:szCs w:val="20"/>
              </w:rPr>
              <w:t>Deklaracja we wniosku o objęcie przedsięwzięcia wsparciem – dotyczy pkt 3.1 do 3.4.</w:t>
            </w:r>
          </w:p>
          <w:p w14:paraId="001FD787" w14:textId="5468874E" w:rsidR="00D362BE" w:rsidRPr="00E45710" w:rsidRDefault="00D362BE" w:rsidP="00B4010F">
            <w:pPr>
              <w:spacing w:line="276" w:lineRule="auto"/>
              <w:rPr>
                <w:rFonts w:ascii="Lato" w:hAnsi="Lato" w:cstheme="minorHAnsi"/>
                <w:sz w:val="20"/>
                <w:szCs w:val="20"/>
              </w:rPr>
            </w:pPr>
          </w:p>
        </w:tc>
        <w:tc>
          <w:tcPr>
            <w:tcW w:w="4265" w:type="dxa"/>
          </w:tcPr>
          <w:p w14:paraId="4A9CD4A9" w14:textId="45DE58B4" w:rsidR="00D362BE" w:rsidRPr="00E45710" w:rsidRDefault="00D362BE" w:rsidP="00B4010F">
            <w:pPr>
              <w:spacing w:line="276" w:lineRule="auto"/>
              <w:rPr>
                <w:rFonts w:ascii="Lato" w:hAnsi="Lato" w:cstheme="minorHAnsi"/>
                <w:sz w:val="20"/>
                <w:szCs w:val="20"/>
              </w:rPr>
            </w:pPr>
            <w:r>
              <w:rPr>
                <w:rFonts w:ascii="Lato" w:hAnsi="Lato" w:cstheme="minorHAnsi"/>
                <w:sz w:val="20"/>
                <w:szCs w:val="20"/>
              </w:rPr>
              <w:t>0/1</w:t>
            </w:r>
          </w:p>
        </w:tc>
      </w:tr>
      <w:tr w:rsidR="00D362BE" w:rsidRPr="00E45710" w14:paraId="3D7B17AA" w14:textId="6B4D6AEC" w:rsidTr="00B4010F">
        <w:tblPrEx>
          <w:tblCellMar>
            <w:left w:w="108" w:type="dxa"/>
            <w:right w:w="108" w:type="dxa"/>
          </w:tblCellMar>
          <w:tblLook w:val="04A0" w:firstRow="1" w:lastRow="0" w:firstColumn="1" w:lastColumn="0" w:noHBand="0" w:noVBand="1"/>
        </w:tblPrEx>
        <w:tc>
          <w:tcPr>
            <w:tcW w:w="495" w:type="dxa"/>
          </w:tcPr>
          <w:p w14:paraId="5165832C" w14:textId="79239380"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3.1</w:t>
            </w:r>
          </w:p>
        </w:tc>
        <w:tc>
          <w:tcPr>
            <w:tcW w:w="2091" w:type="dxa"/>
          </w:tcPr>
          <w:p w14:paraId="3E6604A1" w14:textId="77777777" w:rsidR="00D362BE" w:rsidRPr="00E45710" w:rsidRDefault="00D362BE" w:rsidP="00B4010F">
            <w:pPr>
              <w:spacing w:line="276" w:lineRule="auto"/>
              <w:rPr>
                <w:rFonts w:ascii="Lato" w:hAnsi="Lato" w:cstheme="minorHAnsi"/>
                <w:sz w:val="20"/>
                <w:szCs w:val="20"/>
              </w:rPr>
            </w:pPr>
          </w:p>
        </w:tc>
        <w:tc>
          <w:tcPr>
            <w:tcW w:w="5902" w:type="dxa"/>
          </w:tcPr>
          <w:p w14:paraId="41850FFE" w14:textId="1831FCCA" w:rsidR="00D362BE" w:rsidRDefault="00D362BE" w:rsidP="00B4010F">
            <w:pPr>
              <w:spacing w:line="276" w:lineRule="auto"/>
              <w:ind w:left="360"/>
              <w:rPr>
                <w:rFonts w:ascii="Lato" w:hAnsi="Lato" w:cstheme="minorHAnsi"/>
                <w:sz w:val="20"/>
                <w:szCs w:val="20"/>
              </w:rPr>
            </w:pPr>
            <w:r w:rsidRPr="00E45710">
              <w:rPr>
                <w:rFonts w:ascii="Lato" w:hAnsi="Lato" w:cstheme="minorHAnsi"/>
                <w:sz w:val="20"/>
                <w:szCs w:val="20"/>
              </w:rPr>
              <w:t>zrekrutuje na rok akademicki 2022/2023, wg stanu na 1 listopada 2022 r., na</w:t>
            </w:r>
            <w:r>
              <w:rPr>
                <w:rFonts w:ascii="Lato" w:hAnsi="Lato" w:cstheme="minorHAnsi"/>
                <w:sz w:val="20"/>
                <w:szCs w:val="20"/>
              </w:rPr>
              <w:t xml:space="preserve"> </w:t>
            </w:r>
            <w:r w:rsidRPr="00E45710">
              <w:rPr>
                <w:rFonts w:ascii="Lato" w:hAnsi="Lato" w:cstheme="minorHAnsi"/>
                <w:sz w:val="20"/>
                <w:szCs w:val="20"/>
              </w:rPr>
              <w:t xml:space="preserve">kierunki studiów </w:t>
            </w:r>
            <w:r>
              <w:rPr>
                <w:rFonts w:ascii="Lato" w:hAnsi="Lato" w:cstheme="minorHAnsi"/>
                <w:sz w:val="20"/>
                <w:szCs w:val="20"/>
              </w:rPr>
              <w:t xml:space="preserve">objęte wsparciem w ramach Działania 2, </w:t>
            </w:r>
            <w:r w:rsidRPr="00E45710">
              <w:rPr>
                <w:rFonts w:ascii="Lato" w:hAnsi="Lato" w:cstheme="minorHAnsi"/>
                <w:sz w:val="20"/>
                <w:szCs w:val="20"/>
              </w:rPr>
              <w:t xml:space="preserve">łącznie co najmniej 60 osób – Polaków </w:t>
            </w:r>
            <w:r w:rsidRPr="00E45710">
              <w:rPr>
                <w:rFonts w:ascii="Lato" w:hAnsi="Lato" w:cstheme="minorHAnsi"/>
                <w:sz w:val="20"/>
                <w:szCs w:val="20"/>
              </w:rPr>
              <w:lastRenderedPageBreak/>
              <w:t>oraz cudzoziemców, o których mowa w art. 324 ust. 2 ustawy – Prawo o szkolnictwie wyższym i nauce (Dz. U. z 202</w:t>
            </w:r>
            <w:r>
              <w:rPr>
                <w:rFonts w:ascii="Lato" w:hAnsi="Lato" w:cstheme="minorHAnsi"/>
                <w:sz w:val="20"/>
                <w:szCs w:val="20"/>
              </w:rPr>
              <w:t>3</w:t>
            </w:r>
            <w:r w:rsidRPr="00E45710">
              <w:rPr>
                <w:rFonts w:ascii="Lato" w:hAnsi="Lato" w:cstheme="minorHAnsi"/>
                <w:sz w:val="20"/>
                <w:szCs w:val="20"/>
              </w:rPr>
              <w:t xml:space="preserve"> r. poz. 7</w:t>
            </w:r>
            <w:r w:rsidR="00B4654F">
              <w:rPr>
                <w:rFonts w:ascii="Lato" w:hAnsi="Lato" w:cstheme="minorHAnsi"/>
                <w:sz w:val="20"/>
                <w:szCs w:val="20"/>
              </w:rPr>
              <w:t>4</w:t>
            </w:r>
            <w:r>
              <w:rPr>
                <w:rFonts w:ascii="Lato" w:hAnsi="Lato" w:cstheme="minorHAnsi"/>
                <w:sz w:val="20"/>
                <w:szCs w:val="20"/>
              </w:rPr>
              <w:t>2</w:t>
            </w:r>
            <w:r w:rsidRPr="00E45710">
              <w:rPr>
                <w:rFonts w:ascii="Lato" w:hAnsi="Lato" w:cstheme="minorHAnsi"/>
                <w:sz w:val="20"/>
                <w:szCs w:val="20"/>
              </w:rPr>
              <w:t>, z późn. zm.);</w:t>
            </w:r>
          </w:p>
          <w:p w14:paraId="0499AE33" w14:textId="77777777" w:rsidR="00D362BE" w:rsidRPr="000739DB" w:rsidRDefault="00D362BE" w:rsidP="00B4010F">
            <w:pPr>
              <w:spacing w:line="276" w:lineRule="auto"/>
              <w:ind w:left="360"/>
              <w:rPr>
                <w:rFonts w:ascii="Lato" w:hAnsi="Lato" w:cstheme="minorHAnsi"/>
                <w:sz w:val="20"/>
                <w:szCs w:val="20"/>
              </w:rPr>
            </w:pPr>
          </w:p>
          <w:p w14:paraId="77425C7E" w14:textId="1E5C03E0" w:rsidR="00D362BE" w:rsidRPr="00D22E70" w:rsidRDefault="00D362BE" w:rsidP="00B4010F">
            <w:pPr>
              <w:spacing w:line="276" w:lineRule="auto"/>
              <w:rPr>
                <w:rFonts w:ascii="Lato" w:hAnsi="Lato" w:cstheme="minorHAnsi"/>
                <w:sz w:val="20"/>
                <w:szCs w:val="20"/>
                <w:u w:val="single"/>
              </w:rPr>
            </w:pPr>
            <w:r w:rsidRPr="00D22E70">
              <w:rPr>
                <w:rFonts w:ascii="Lato" w:hAnsi="Lato" w:cstheme="minorHAnsi"/>
                <w:sz w:val="20"/>
                <w:szCs w:val="20"/>
                <w:u w:val="single"/>
              </w:rPr>
              <w:t xml:space="preserve">Uwaga: </w:t>
            </w:r>
          </w:p>
          <w:p w14:paraId="36EA69F0" w14:textId="77777777" w:rsidR="00D362BE" w:rsidRDefault="00D362BE" w:rsidP="00B4010F">
            <w:pPr>
              <w:spacing w:line="276" w:lineRule="auto"/>
              <w:rPr>
                <w:rFonts w:ascii="Lato" w:hAnsi="Lato" w:cstheme="minorHAnsi"/>
                <w:sz w:val="20"/>
                <w:szCs w:val="20"/>
              </w:rPr>
            </w:pPr>
            <w:r>
              <w:rPr>
                <w:rFonts w:ascii="Lato" w:hAnsi="Lato" w:cstheme="minorHAnsi"/>
                <w:sz w:val="20"/>
                <w:szCs w:val="20"/>
              </w:rPr>
              <w:t>W</w:t>
            </w:r>
            <w:r w:rsidRPr="00D362BE">
              <w:rPr>
                <w:rFonts w:ascii="Lato" w:hAnsi="Lato" w:cstheme="minorHAnsi"/>
                <w:sz w:val="20"/>
                <w:szCs w:val="20"/>
              </w:rPr>
              <w:t xml:space="preserve"> kryterium sprawdzane będzie czy w danym roku akademickim uczelnia zrekrutowała co najmniej 60 osób na kierunkach objętych wsparciem. Weryfikacja zostanie przeprowadzona w oparciu o dane zawarte przez uczelnię w systemie POL</w:t>
            </w:r>
            <w:r>
              <w:rPr>
                <w:rFonts w:ascii="Lato" w:hAnsi="Lato" w:cstheme="minorHAnsi"/>
                <w:sz w:val="20"/>
                <w:szCs w:val="20"/>
              </w:rPr>
              <w:t>-on.</w:t>
            </w:r>
          </w:p>
          <w:p w14:paraId="6ACC5F90" w14:textId="5BBFFDE6" w:rsidR="00B4654F" w:rsidRPr="00D362BE" w:rsidRDefault="00B4654F" w:rsidP="00B4010F">
            <w:pPr>
              <w:spacing w:line="276" w:lineRule="auto"/>
              <w:rPr>
                <w:rFonts w:ascii="Lato" w:hAnsi="Lato" w:cstheme="minorHAnsi"/>
                <w:sz w:val="20"/>
                <w:szCs w:val="20"/>
              </w:rPr>
            </w:pPr>
          </w:p>
        </w:tc>
        <w:tc>
          <w:tcPr>
            <w:tcW w:w="4265" w:type="dxa"/>
          </w:tcPr>
          <w:p w14:paraId="2EC6BFC2" w14:textId="77777777" w:rsidR="00D362BE" w:rsidRPr="00E45710" w:rsidRDefault="00D362BE" w:rsidP="00B4010F">
            <w:pPr>
              <w:spacing w:line="276" w:lineRule="auto"/>
              <w:rPr>
                <w:rFonts w:ascii="Lato" w:hAnsi="Lato" w:cstheme="minorHAnsi"/>
                <w:sz w:val="20"/>
                <w:szCs w:val="20"/>
              </w:rPr>
            </w:pPr>
          </w:p>
        </w:tc>
      </w:tr>
      <w:tr w:rsidR="00D362BE" w:rsidRPr="00E45710" w14:paraId="3C719D0C" w14:textId="77777777" w:rsidTr="00B4010F">
        <w:tblPrEx>
          <w:tblCellMar>
            <w:left w:w="108" w:type="dxa"/>
            <w:right w:w="108" w:type="dxa"/>
          </w:tblCellMar>
          <w:tblLook w:val="04A0" w:firstRow="1" w:lastRow="0" w:firstColumn="1" w:lastColumn="0" w:noHBand="0" w:noVBand="1"/>
        </w:tblPrEx>
        <w:tc>
          <w:tcPr>
            <w:tcW w:w="495" w:type="dxa"/>
          </w:tcPr>
          <w:p w14:paraId="1159F7F0" w14:textId="64DE8464"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3.2</w:t>
            </w:r>
          </w:p>
        </w:tc>
        <w:tc>
          <w:tcPr>
            <w:tcW w:w="2091" w:type="dxa"/>
          </w:tcPr>
          <w:p w14:paraId="438977A5" w14:textId="77777777" w:rsidR="00D362BE" w:rsidRPr="00E45710" w:rsidRDefault="00D362BE" w:rsidP="00B4010F">
            <w:pPr>
              <w:spacing w:line="276" w:lineRule="auto"/>
              <w:rPr>
                <w:rFonts w:ascii="Lato" w:hAnsi="Lato" w:cstheme="minorHAnsi"/>
                <w:sz w:val="20"/>
                <w:szCs w:val="20"/>
              </w:rPr>
            </w:pPr>
          </w:p>
        </w:tc>
        <w:tc>
          <w:tcPr>
            <w:tcW w:w="5902" w:type="dxa"/>
          </w:tcPr>
          <w:p w14:paraId="7E793545" w14:textId="77777777" w:rsidR="00D362BE" w:rsidRDefault="00D362BE" w:rsidP="00B4010F">
            <w:pPr>
              <w:spacing w:line="276" w:lineRule="auto"/>
              <w:ind w:left="360"/>
              <w:rPr>
                <w:rFonts w:ascii="Lato" w:hAnsi="Lato" w:cstheme="minorHAnsi"/>
                <w:sz w:val="20"/>
                <w:szCs w:val="20"/>
              </w:rPr>
            </w:pPr>
            <w:r w:rsidRPr="00E45710">
              <w:rPr>
                <w:rFonts w:ascii="Lato" w:hAnsi="Lato" w:cstheme="minorHAnsi"/>
                <w:sz w:val="20"/>
                <w:szCs w:val="20"/>
              </w:rPr>
              <w:t xml:space="preserve">według stanu w Zintegrowanym Systemie Informacji o Szkolnictwie Wyższym i Nauce POL-on na dzień 31 grudnia 2021 r. (dla edycji 2022/2023) będzie kształciła co najmniej 200 studentów łącznie na  kierunkach </w:t>
            </w:r>
            <w:r>
              <w:rPr>
                <w:rFonts w:ascii="Lato" w:hAnsi="Lato" w:cstheme="minorHAnsi"/>
                <w:sz w:val="20"/>
                <w:szCs w:val="20"/>
              </w:rPr>
              <w:t xml:space="preserve">studiów objętych wsparciem w ramach Działania 2 </w:t>
            </w:r>
            <w:r w:rsidRPr="00E45710">
              <w:rPr>
                <w:rFonts w:ascii="Lato" w:hAnsi="Lato" w:cstheme="minorHAnsi"/>
                <w:sz w:val="20"/>
                <w:szCs w:val="20"/>
              </w:rPr>
              <w:t>na studiach stacjonarnych – Polaków oraz cudzoziemców, o których mowa w art. 324 ust. 2 ustawy – Prawo o szkolnictwie wyższym i nauce;</w:t>
            </w:r>
          </w:p>
          <w:p w14:paraId="0BBFDD65" w14:textId="6A4BDD86" w:rsidR="00B4654F" w:rsidRPr="00E45710" w:rsidRDefault="00B4654F" w:rsidP="00B4010F">
            <w:pPr>
              <w:spacing w:line="276" w:lineRule="auto"/>
              <w:ind w:left="360"/>
              <w:rPr>
                <w:rFonts w:ascii="Lato" w:hAnsi="Lato" w:cstheme="minorHAnsi"/>
                <w:sz w:val="20"/>
                <w:szCs w:val="20"/>
              </w:rPr>
            </w:pPr>
          </w:p>
        </w:tc>
        <w:tc>
          <w:tcPr>
            <w:tcW w:w="4265" w:type="dxa"/>
          </w:tcPr>
          <w:p w14:paraId="5A9D271C" w14:textId="77777777" w:rsidR="00D362BE" w:rsidRPr="00E45710" w:rsidRDefault="00D362BE" w:rsidP="00B4010F">
            <w:pPr>
              <w:spacing w:line="276" w:lineRule="auto"/>
              <w:rPr>
                <w:rFonts w:ascii="Lato" w:hAnsi="Lato" w:cstheme="minorHAnsi"/>
                <w:sz w:val="20"/>
                <w:szCs w:val="20"/>
              </w:rPr>
            </w:pPr>
          </w:p>
        </w:tc>
      </w:tr>
      <w:tr w:rsidR="00D362BE" w:rsidRPr="00E45710" w14:paraId="59D7B395" w14:textId="77777777" w:rsidTr="00B4010F">
        <w:tblPrEx>
          <w:tblCellMar>
            <w:left w:w="108" w:type="dxa"/>
            <w:right w:w="108" w:type="dxa"/>
          </w:tblCellMar>
          <w:tblLook w:val="04A0" w:firstRow="1" w:lastRow="0" w:firstColumn="1" w:lastColumn="0" w:noHBand="0" w:noVBand="1"/>
        </w:tblPrEx>
        <w:tc>
          <w:tcPr>
            <w:tcW w:w="495" w:type="dxa"/>
          </w:tcPr>
          <w:p w14:paraId="21DE1D3E" w14:textId="4342D7CE" w:rsidR="00D362BE" w:rsidRPr="00E45710" w:rsidRDefault="00D362BE" w:rsidP="00B4010F">
            <w:pPr>
              <w:spacing w:line="276" w:lineRule="auto"/>
              <w:rPr>
                <w:rFonts w:ascii="Lato" w:hAnsi="Lato" w:cstheme="minorHAnsi"/>
                <w:sz w:val="20"/>
                <w:szCs w:val="20"/>
              </w:rPr>
            </w:pPr>
            <w:r w:rsidRPr="00E45710">
              <w:rPr>
                <w:rFonts w:ascii="Lato" w:hAnsi="Lato" w:cstheme="minorHAnsi"/>
                <w:sz w:val="20"/>
                <w:szCs w:val="20"/>
              </w:rPr>
              <w:t>3.3</w:t>
            </w:r>
          </w:p>
        </w:tc>
        <w:tc>
          <w:tcPr>
            <w:tcW w:w="2091" w:type="dxa"/>
          </w:tcPr>
          <w:p w14:paraId="6114966F" w14:textId="77777777" w:rsidR="00D362BE" w:rsidRPr="00E45710" w:rsidRDefault="00D362BE" w:rsidP="00B4010F">
            <w:pPr>
              <w:spacing w:line="276" w:lineRule="auto"/>
              <w:rPr>
                <w:rFonts w:ascii="Lato" w:hAnsi="Lato" w:cstheme="minorHAnsi"/>
                <w:sz w:val="20"/>
                <w:szCs w:val="20"/>
              </w:rPr>
            </w:pPr>
          </w:p>
        </w:tc>
        <w:tc>
          <w:tcPr>
            <w:tcW w:w="5902" w:type="dxa"/>
          </w:tcPr>
          <w:p w14:paraId="4FAA1C31" w14:textId="77777777" w:rsidR="00D362BE" w:rsidRDefault="00D362BE" w:rsidP="00B4010F">
            <w:pPr>
              <w:spacing w:line="276" w:lineRule="auto"/>
              <w:ind w:left="360"/>
              <w:rPr>
                <w:rFonts w:ascii="Lato" w:hAnsi="Lato" w:cstheme="minorHAnsi"/>
                <w:sz w:val="20"/>
                <w:szCs w:val="20"/>
              </w:rPr>
            </w:pPr>
            <w:r w:rsidRPr="00E45710">
              <w:rPr>
                <w:rFonts w:ascii="Lato" w:hAnsi="Lato" w:cstheme="minorHAnsi"/>
                <w:sz w:val="20"/>
                <w:szCs w:val="20"/>
              </w:rPr>
              <w:t>nie jest postawiona w stan likwidacji;</w:t>
            </w:r>
          </w:p>
          <w:p w14:paraId="6DDC0207" w14:textId="0F65FF93" w:rsidR="00B4654F" w:rsidRPr="00E45710" w:rsidRDefault="00B4654F" w:rsidP="00B4010F">
            <w:pPr>
              <w:spacing w:line="276" w:lineRule="auto"/>
              <w:ind w:left="360"/>
              <w:rPr>
                <w:rFonts w:ascii="Lato" w:hAnsi="Lato" w:cstheme="minorHAnsi"/>
                <w:sz w:val="20"/>
                <w:szCs w:val="20"/>
              </w:rPr>
            </w:pPr>
          </w:p>
        </w:tc>
        <w:tc>
          <w:tcPr>
            <w:tcW w:w="4265" w:type="dxa"/>
          </w:tcPr>
          <w:p w14:paraId="2C46C15A" w14:textId="77777777" w:rsidR="00D362BE" w:rsidRPr="00E45710" w:rsidRDefault="00D362BE" w:rsidP="00B4010F">
            <w:pPr>
              <w:spacing w:line="276" w:lineRule="auto"/>
              <w:rPr>
                <w:rFonts w:ascii="Lato" w:hAnsi="Lato" w:cstheme="minorHAnsi"/>
                <w:sz w:val="20"/>
                <w:szCs w:val="20"/>
              </w:rPr>
            </w:pPr>
          </w:p>
        </w:tc>
      </w:tr>
      <w:tr w:rsidR="00D362BE" w:rsidRPr="00E45710" w14:paraId="6A2415FA" w14:textId="77777777" w:rsidTr="00B4010F">
        <w:tblPrEx>
          <w:tblCellMar>
            <w:left w:w="108" w:type="dxa"/>
            <w:right w:w="108" w:type="dxa"/>
          </w:tblCellMar>
          <w:tblLook w:val="04A0" w:firstRow="1" w:lastRow="0" w:firstColumn="1" w:lastColumn="0" w:noHBand="0" w:noVBand="1"/>
        </w:tblPrEx>
        <w:tc>
          <w:tcPr>
            <w:tcW w:w="495" w:type="dxa"/>
          </w:tcPr>
          <w:p w14:paraId="2894F607" w14:textId="5FDCAF84" w:rsidR="00D362BE" w:rsidRPr="00E45710" w:rsidRDefault="00D362BE" w:rsidP="00B4010F">
            <w:pPr>
              <w:spacing w:line="276" w:lineRule="auto"/>
              <w:rPr>
                <w:rFonts w:ascii="Lato" w:hAnsi="Lato" w:cstheme="minorHAnsi"/>
                <w:sz w:val="20"/>
                <w:szCs w:val="20"/>
              </w:rPr>
            </w:pPr>
            <w:bookmarkStart w:id="0" w:name="_Hlk136185169"/>
            <w:r w:rsidRPr="00E45710">
              <w:rPr>
                <w:rFonts w:ascii="Lato" w:hAnsi="Lato" w:cstheme="minorHAnsi"/>
                <w:sz w:val="20"/>
                <w:szCs w:val="20"/>
              </w:rPr>
              <w:t>3.4</w:t>
            </w:r>
          </w:p>
        </w:tc>
        <w:tc>
          <w:tcPr>
            <w:tcW w:w="2091" w:type="dxa"/>
          </w:tcPr>
          <w:p w14:paraId="75AF2B81" w14:textId="77777777" w:rsidR="00D362BE" w:rsidRPr="00E45710" w:rsidRDefault="00D362BE" w:rsidP="00B4010F">
            <w:pPr>
              <w:spacing w:line="276" w:lineRule="auto"/>
              <w:rPr>
                <w:rFonts w:ascii="Lato" w:hAnsi="Lato" w:cstheme="minorHAnsi"/>
                <w:sz w:val="20"/>
                <w:szCs w:val="20"/>
              </w:rPr>
            </w:pPr>
          </w:p>
        </w:tc>
        <w:tc>
          <w:tcPr>
            <w:tcW w:w="5902" w:type="dxa"/>
          </w:tcPr>
          <w:p w14:paraId="0378B3A9" w14:textId="77777777" w:rsidR="00D362BE" w:rsidRDefault="00D362BE" w:rsidP="00B4010F">
            <w:pPr>
              <w:spacing w:line="276" w:lineRule="auto"/>
              <w:ind w:left="360"/>
              <w:rPr>
                <w:rFonts w:ascii="Lato" w:hAnsi="Lato" w:cstheme="minorHAnsi"/>
                <w:sz w:val="20"/>
                <w:szCs w:val="20"/>
              </w:rPr>
            </w:pPr>
            <w:r w:rsidRPr="00E45710">
              <w:rPr>
                <w:rFonts w:ascii="Lato" w:hAnsi="Lato" w:cstheme="minorHAnsi"/>
                <w:sz w:val="20"/>
                <w:szCs w:val="20"/>
              </w:rPr>
              <w:t>w latach 2019–2022 żaden kierunek studiów prowadzonych przez uczelnię nie został oceniony negatywnie w wyniku przeprowadzonej przez Polską Komisję Akredytacyjną, oceny jakości kształcenia.</w:t>
            </w:r>
          </w:p>
          <w:p w14:paraId="5C24E035" w14:textId="7FFA7430" w:rsidR="00B4654F" w:rsidRPr="00E45710" w:rsidRDefault="00B4654F" w:rsidP="00B4010F">
            <w:pPr>
              <w:spacing w:line="276" w:lineRule="auto"/>
              <w:ind w:left="360"/>
              <w:rPr>
                <w:rFonts w:ascii="Lato" w:hAnsi="Lato" w:cstheme="minorHAnsi"/>
                <w:sz w:val="20"/>
                <w:szCs w:val="20"/>
              </w:rPr>
            </w:pPr>
          </w:p>
        </w:tc>
        <w:tc>
          <w:tcPr>
            <w:tcW w:w="4265" w:type="dxa"/>
          </w:tcPr>
          <w:p w14:paraId="0DBA4446" w14:textId="77777777" w:rsidR="00D362BE" w:rsidRPr="00E45710" w:rsidRDefault="00D362BE" w:rsidP="00B4010F">
            <w:pPr>
              <w:spacing w:line="276" w:lineRule="auto"/>
              <w:rPr>
                <w:rFonts w:ascii="Lato" w:hAnsi="Lato" w:cstheme="minorHAnsi"/>
                <w:sz w:val="20"/>
                <w:szCs w:val="20"/>
              </w:rPr>
            </w:pPr>
          </w:p>
        </w:tc>
      </w:tr>
      <w:bookmarkEnd w:id="0"/>
      <w:tr w:rsidR="00D362BE" w:rsidRPr="00E45710" w14:paraId="05132E36" w14:textId="77777777" w:rsidTr="00B4010F">
        <w:tblPrEx>
          <w:tblCellMar>
            <w:left w:w="108" w:type="dxa"/>
            <w:right w:w="108" w:type="dxa"/>
          </w:tblCellMar>
          <w:tblLook w:val="04A0" w:firstRow="1" w:lastRow="0" w:firstColumn="1" w:lastColumn="0" w:noHBand="0" w:noVBand="1"/>
        </w:tblPrEx>
        <w:tc>
          <w:tcPr>
            <w:tcW w:w="495" w:type="dxa"/>
          </w:tcPr>
          <w:p w14:paraId="2477CC9E" w14:textId="50F4CDAE" w:rsidR="00D362BE" w:rsidRPr="00E45710" w:rsidRDefault="00D362BE" w:rsidP="00B4010F">
            <w:pPr>
              <w:spacing w:line="276" w:lineRule="auto"/>
              <w:rPr>
                <w:rFonts w:ascii="Lato" w:hAnsi="Lato" w:cstheme="minorHAnsi"/>
                <w:sz w:val="20"/>
                <w:szCs w:val="20"/>
              </w:rPr>
            </w:pPr>
            <w:r>
              <w:rPr>
                <w:rFonts w:ascii="Lato" w:hAnsi="Lato" w:cstheme="minorHAnsi"/>
                <w:sz w:val="20"/>
                <w:szCs w:val="20"/>
              </w:rPr>
              <w:t>4.</w:t>
            </w:r>
          </w:p>
        </w:tc>
        <w:tc>
          <w:tcPr>
            <w:tcW w:w="2091" w:type="dxa"/>
          </w:tcPr>
          <w:p w14:paraId="22F198D3" w14:textId="057BFA2F" w:rsidR="00D362BE" w:rsidRPr="00E45710" w:rsidRDefault="00D362BE" w:rsidP="00B4010F">
            <w:pPr>
              <w:spacing w:line="276" w:lineRule="auto"/>
              <w:rPr>
                <w:rFonts w:ascii="Lato" w:hAnsi="Lato" w:cstheme="minorHAnsi"/>
                <w:sz w:val="20"/>
                <w:szCs w:val="20"/>
              </w:rPr>
            </w:pPr>
            <w:r w:rsidRPr="0008595E">
              <w:rPr>
                <w:rFonts w:ascii="Lato" w:hAnsi="Lato" w:cstheme="minorHAnsi"/>
                <w:sz w:val="20"/>
                <w:szCs w:val="20"/>
              </w:rPr>
              <w:t>Liczba studentów zgłoszonych do wsparcia</w:t>
            </w:r>
          </w:p>
        </w:tc>
        <w:tc>
          <w:tcPr>
            <w:tcW w:w="5902" w:type="dxa"/>
          </w:tcPr>
          <w:p w14:paraId="659212DC" w14:textId="77777777" w:rsidR="00D362BE" w:rsidRDefault="00D362BE" w:rsidP="00B4010F">
            <w:pPr>
              <w:spacing w:line="276" w:lineRule="auto"/>
              <w:rPr>
                <w:rFonts w:ascii="Lato" w:hAnsi="Lato" w:cstheme="minorHAnsi"/>
                <w:sz w:val="20"/>
                <w:szCs w:val="20"/>
              </w:rPr>
            </w:pPr>
            <w:r w:rsidRPr="0008595E">
              <w:rPr>
                <w:rFonts w:ascii="Lato" w:hAnsi="Lato" w:cstheme="minorHAnsi"/>
                <w:sz w:val="20"/>
                <w:szCs w:val="20"/>
              </w:rPr>
              <w:t xml:space="preserve">Weryfikowane jest czy liczba studentów zgłoszonych we wniosku o objęcie wsparciem przedsięwzięcia nie jest większa niż liczba studentów określona dla danej uczelni zgodnie z § 16 ust. 2 Regulaminu wyboru przedsięwzięć do objęcia wsparciem dla Działania </w:t>
            </w:r>
            <w:r>
              <w:rPr>
                <w:rFonts w:ascii="Lato" w:hAnsi="Lato" w:cstheme="minorHAnsi"/>
                <w:sz w:val="20"/>
                <w:szCs w:val="20"/>
              </w:rPr>
              <w:t>2</w:t>
            </w:r>
            <w:r w:rsidRPr="0008595E">
              <w:rPr>
                <w:rFonts w:ascii="Lato" w:hAnsi="Lato" w:cstheme="minorHAnsi"/>
                <w:sz w:val="20"/>
                <w:szCs w:val="20"/>
              </w:rPr>
              <w:t xml:space="preserve"> Systemu zachęt.</w:t>
            </w:r>
          </w:p>
          <w:p w14:paraId="29809ECF" w14:textId="5CBD88BC" w:rsidR="00B4654F" w:rsidRPr="00E45710" w:rsidRDefault="00B4654F" w:rsidP="00B4010F">
            <w:pPr>
              <w:spacing w:line="276" w:lineRule="auto"/>
              <w:rPr>
                <w:rFonts w:ascii="Lato" w:hAnsi="Lato" w:cstheme="minorHAnsi"/>
                <w:sz w:val="20"/>
                <w:szCs w:val="20"/>
              </w:rPr>
            </w:pPr>
          </w:p>
        </w:tc>
        <w:tc>
          <w:tcPr>
            <w:tcW w:w="4265" w:type="dxa"/>
          </w:tcPr>
          <w:p w14:paraId="465941F7" w14:textId="2F25A964" w:rsidR="00D362BE" w:rsidRPr="00E45710" w:rsidRDefault="00D362BE" w:rsidP="00B4010F">
            <w:pPr>
              <w:spacing w:line="276" w:lineRule="auto"/>
              <w:rPr>
                <w:rFonts w:ascii="Lato" w:hAnsi="Lato" w:cstheme="minorHAnsi"/>
                <w:sz w:val="20"/>
                <w:szCs w:val="20"/>
              </w:rPr>
            </w:pPr>
            <w:r>
              <w:rPr>
                <w:rFonts w:ascii="Lato" w:hAnsi="Lato" w:cstheme="minorHAnsi"/>
                <w:sz w:val="20"/>
                <w:szCs w:val="20"/>
              </w:rPr>
              <w:t>0/1</w:t>
            </w:r>
          </w:p>
        </w:tc>
      </w:tr>
    </w:tbl>
    <w:p w14:paraId="7073CC33" w14:textId="77777777" w:rsidR="00AB3E4F" w:rsidRPr="0008595E" w:rsidRDefault="00AB3E4F">
      <w:pPr>
        <w:rPr>
          <w:rFonts w:ascii="Lato" w:hAnsi="Lato"/>
          <w:sz w:val="20"/>
          <w:szCs w:val="20"/>
        </w:rPr>
      </w:pPr>
    </w:p>
    <w:sectPr w:rsidR="00AB3E4F" w:rsidRPr="0008595E" w:rsidSect="00FB770B">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B302" w14:textId="77777777" w:rsidR="00E45710" w:rsidRDefault="00E45710" w:rsidP="00E45710">
      <w:pPr>
        <w:spacing w:after="0" w:line="240" w:lineRule="auto"/>
      </w:pPr>
      <w:r>
        <w:separator/>
      </w:r>
    </w:p>
  </w:endnote>
  <w:endnote w:type="continuationSeparator" w:id="0">
    <w:p w14:paraId="1608F934" w14:textId="77777777" w:rsidR="00E45710" w:rsidRDefault="00E45710" w:rsidP="00E4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800000AF" w:usb1="4000604A" w:usb2="00000000" w:usb3="00000000" w:csb0="00000093" w:csb1="00000000"/>
  </w:font>
  <w:font w:name="Calibri-Bold">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C187" w14:textId="77777777" w:rsidR="00E45710" w:rsidRDefault="00E45710" w:rsidP="00E45710">
      <w:pPr>
        <w:spacing w:after="0" w:line="240" w:lineRule="auto"/>
      </w:pPr>
      <w:r>
        <w:separator/>
      </w:r>
    </w:p>
  </w:footnote>
  <w:footnote w:type="continuationSeparator" w:id="0">
    <w:p w14:paraId="14A96ACE" w14:textId="77777777" w:rsidR="00E45710" w:rsidRDefault="00E45710" w:rsidP="00E45710">
      <w:pPr>
        <w:spacing w:after="0" w:line="240" w:lineRule="auto"/>
      </w:pPr>
      <w:r>
        <w:continuationSeparator/>
      </w:r>
    </w:p>
  </w:footnote>
  <w:footnote w:id="1">
    <w:p w14:paraId="13452858" w14:textId="795CCCE7" w:rsidR="00D362BE" w:rsidRDefault="00D362BE">
      <w:pPr>
        <w:pStyle w:val="Tekstprzypisudolnego"/>
      </w:pPr>
      <w:r>
        <w:rPr>
          <w:rStyle w:val="Odwoanieprzypisudolnego"/>
        </w:rPr>
        <w:footnoteRef/>
      </w:r>
      <w:r w:rsidRPr="00E45710">
        <w:t xml:space="preserve"> W przypadku instrumentów o charakterze zwrotnym jako zakończenie przedsięwzięcia rozumieć można udzielenie pożyczek lub dokonanie inwestycji, jeśli wskaźniki określone dla danej inwestycji nie wymagają, aby inwestycje lub pożyczki zostały zrealizowane wcześniej.</w:t>
      </w:r>
    </w:p>
  </w:footnote>
  <w:footnote w:id="2">
    <w:p w14:paraId="1B85F198" w14:textId="336892B2" w:rsidR="00D362BE" w:rsidRDefault="00D362BE">
      <w:pPr>
        <w:pStyle w:val="Tekstprzypisudolnego"/>
      </w:pPr>
      <w:r>
        <w:rPr>
          <w:rStyle w:val="Odwoanieprzypisudolnego"/>
        </w:rPr>
        <w:footnoteRef/>
      </w:r>
      <w:r>
        <w:t xml:space="preserve"> </w:t>
      </w:r>
      <w:r w:rsidRPr="00E45710">
        <w:t>Chyba, że szczegółowe ustalenia z KE dotyczące poszczególnych inwestycji przewidują inaczej (do potwierdzenia przez IK KPO w odniesieniu do poszczególnych inwestycji po zakończeniu bieżącego dialogu technicznego z 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1BFD" w14:textId="00458629" w:rsidR="00B4654F" w:rsidRDefault="00B4654F" w:rsidP="00B4654F">
    <w:pPr>
      <w:pStyle w:val="Nagwek"/>
      <w:jc w:val="center"/>
    </w:pPr>
    <w:r>
      <w:rPr>
        <w:noProof/>
      </w:rPr>
      <w:drawing>
        <wp:inline distT="0" distB="0" distL="0" distR="0" wp14:anchorId="7CA09631" wp14:editId="1757041D">
          <wp:extent cx="5669915" cy="694690"/>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91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F4D5B"/>
    <w:multiLevelType w:val="hybridMultilevel"/>
    <w:tmpl w:val="BF5CD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67D37BF"/>
    <w:multiLevelType w:val="multilevel"/>
    <w:tmpl w:val="92EC01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838760C"/>
    <w:multiLevelType w:val="hybridMultilevel"/>
    <w:tmpl w:val="63D8CB96"/>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9312B47"/>
    <w:multiLevelType w:val="hybridMultilevel"/>
    <w:tmpl w:val="501809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69877573">
    <w:abstractNumId w:val="1"/>
  </w:num>
  <w:num w:numId="2" w16cid:durableId="2016498014">
    <w:abstractNumId w:val="2"/>
  </w:num>
  <w:num w:numId="3" w16cid:durableId="194077166">
    <w:abstractNumId w:val="0"/>
  </w:num>
  <w:num w:numId="4" w16cid:durableId="266813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4F"/>
    <w:rsid w:val="00006419"/>
    <w:rsid w:val="000739DB"/>
    <w:rsid w:val="0008595E"/>
    <w:rsid w:val="000A095A"/>
    <w:rsid w:val="000C6195"/>
    <w:rsid w:val="000C652F"/>
    <w:rsid w:val="00107934"/>
    <w:rsid w:val="00161F15"/>
    <w:rsid w:val="001836E0"/>
    <w:rsid w:val="001D05DD"/>
    <w:rsid w:val="001D336F"/>
    <w:rsid w:val="00205EAC"/>
    <w:rsid w:val="00206776"/>
    <w:rsid w:val="00257C46"/>
    <w:rsid w:val="002B5410"/>
    <w:rsid w:val="002C3AF7"/>
    <w:rsid w:val="002D1387"/>
    <w:rsid w:val="002E655D"/>
    <w:rsid w:val="002F036D"/>
    <w:rsid w:val="002F7746"/>
    <w:rsid w:val="00350A5A"/>
    <w:rsid w:val="003518DD"/>
    <w:rsid w:val="003644E4"/>
    <w:rsid w:val="00374234"/>
    <w:rsid w:val="00381533"/>
    <w:rsid w:val="003910E6"/>
    <w:rsid w:val="00392299"/>
    <w:rsid w:val="00397904"/>
    <w:rsid w:val="003A7DC9"/>
    <w:rsid w:val="003F5A46"/>
    <w:rsid w:val="004171C3"/>
    <w:rsid w:val="004214AC"/>
    <w:rsid w:val="004302F8"/>
    <w:rsid w:val="004C0504"/>
    <w:rsid w:val="004C0CE4"/>
    <w:rsid w:val="004D7708"/>
    <w:rsid w:val="00517F77"/>
    <w:rsid w:val="005273B6"/>
    <w:rsid w:val="00573CD8"/>
    <w:rsid w:val="0059289C"/>
    <w:rsid w:val="005A6AD5"/>
    <w:rsid w:val="00611615"/>
    <w:rsid w:val="00611E29"/>
    <w:rsid w:val="006A5D9A"/>
    <w:rsid w:val="006B6543"/>
    <w:rsid w:val="007113DF"/>
    <w:rsid w:val="00715667"/>
    <w:rsid w:val="00722D56"/>
    <w:rsid w:val="00735E84"/>
    <w:rsid w:val="007A3839"/>
    <w:rsid w:val="007B17FA"/>
    <w:rsid w:val="007B4542"/>
    <w:rsid w:val="007D2380"/>
    <w:rsid w:val="007D39C5"/>
    <w:rsid w:val="007D7F4F"/>
    <w:rsid w:val="007E6C9B"/>
    <w:rsid w:val="00802C7D"/>
    <w:rsid w:val="0081682E"/>
    <w:rsid w:val="00832238"/>
    <w:rsid w:val="00834A6C"/>
    <w:rsid w:val="00851134"/>
    <w:rsid w:val="00887BEE"/>
    <w:rsid w:val="00891606"/>
    <w:rsid w:val="008A4B34"/>
    <w:rsid w:val="008B6037"/>
    <w:rsid w:val="008C0F69"/>
    <w:rsid w:val="008C66B4"/>
    <w:rsid w:val="008D36BD"/>
    <w:rsid w:val="009060DB"/>
    <w:rsid w:val="00925EF8"/>
    <w:rsid w:val="00931F50"/>
    <w:rsid w:val="0095714C"/>
    <w:rsid w:val="00987ED5"/>
    <w:rsid w:val="009D210A"/>
    <w:rsid w:val="009F07EB"/>
    <w:rsid w:val="00A31DC7"/>
    <w:rsid w:val="00A45A50"/>
    <w:rsid w:val="00AB3E4F"/>
    <w:rsid w:val="00AD12CA"/>
    <w:rsid w:val="00AE465F"/>
    <w:rsid w:val="00AF7124"/>
    <w:rsid w:val="00B058E6"/>
    <w:rsid w:val="00B32D9A"/>
    <w:rsid w:val="00B4010F"/>
    <w:rsid w:val="00B4654F"/>
    <w:rsid w:val="00B7183B"/>
    <w:rsid w:val="00B97456"/>
    <w:rsid w:val="00BC4816"/>
    <w:rsid w:val="00C06766"/>
    <w:rsid w:val="00C369FC"/>
    <w:rsid w:val="00C50CEA"/>
    <w:rsid w:val="00C66B16"/>
    <w:rsid w:val="00CA64FD"/>
    <w:rsid w:val="00CC1514"/>
    <w:rsid w:val="00CF5344"/>
    <w:rsid w:val="00CF7E58"/>
    <w:rsid w:val="00D22E70"/>
    <w:rsid w:val="00D362BE"/>
    <w:rsid w:val="00D71926"/>
    <w:rsid w:val="00D814EB"/>
    <w:rsid w:val="00D911B2"/>
    <w:rsid w:val="00DA5A79"/>
    <w:rsid w:val="00DC26C2"/>
    <w:rsid w:val="00DE0B94"/>
    <w:rsid w:val="00DF03D6"/>
    <w:rsid w:val="00E35E28"/>
    <w:rsid w:val="00E45710"/>
    <w:rsid w:val="00E54CE0"/>
    <w:rsid w:val="00E67028"/>
    <w:rsid w:val="00E95C15"/>
    <w:rsid w:val="00EB1492"/>
    <w:rsid w:val="00EB26EE"/>
    <w:rsid w:val="00EB3945"/>
    <w:rsid w:val="00EB3D0F"/>
    <w:rsid w:val="00EC2D3C"/>
    <w:rsid w:val="00ED24AF"/>
    <w:rsid w:val="00F10C38"/>
    <w:rsid w:val="00F15E84"/>
    <w:rsid w:val="00F274B1"/>
    <w:rsid w:val="00F97091"/>
    <w:rsid w:val="00FB4F28"/>
    <w:rsid w:val="00FB770B"/>
    <w:rsid w:val="00FD37B4"/>
    <w:rsid w:val="00FE23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B90537"/>
  <w15:chartTrackingRefBased/>
  <w15:docId w15:val="{81C7A8B6-A480-4C33-9C1F-729F36EE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E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B1492"/>
    <w:pPr>
      <w:ind w:left="720"/>
      <w:contextualSpacing/>
    </w:pPr>
  </w:style>
  <w:style w:type="paragraph" w:styleId="Poprawka">
    <w:name w:val="Revision"/>
    <w:hidden/>
    <w:uiPriority w:val="99"/>
    <w:semiHidden/>
    <w:rsid w:val="007B4542"/>
    <w:pPr>
      <w:spacing w:after="0" w:line="240" w:lineRule="auto"/>
    </w:pPr>
  </w:style>
  <w:style w:type="character" w:styleId="Odwoaniedokomentarza">
    <w:name w:val="annotation reference"/>
    <w:basedOn w:val="Domylnaczcionkaakapitu"/>
    <w:uiPriority w:val="99"/>
    <w:semiHidden/>
    <w:unhideWhenUsed/>
    <w:rsid w:val="007E6C9B"/>
    <w:rPr>
      <w:sz w:val="16"/>
      <w:szCs w:val="16"/>
    </w:rPr>
  </w:style>
  <w:style w:type="paragraph" w:styleId="Tekstkomentarza">
    <w:name w:val="annotation text"/>
    <w:basedOn w:val="Normalny"/>
    <w:link w:val="TekstkomentarzaZnak"/>
    <w:uiPriority w:val="99"/>
    <w:unhideWhenUsed/>
    <w:rsid w:val="007E6C9B"/>
    <w:pPr>
      <w:spacing w:line="240" w:lineRule="auto"/>
    </w:pPr>
    <w:rPr>
      <w:sz w:val="20"/>
      <w:szCs w:val="20"/>
    </w:rPr>
  </w:style>
  <w:style w:type="character" w:customStyle="1" w:styleId="TekstkomentarzaZnak">
    <w:name w:val="Tekst komentarza Znak"/>
    <w:basedOn w:val="Domylnaczcionkaakapitu"/>
    <w:link w:val="Tekstkomentarza"/>
    <w:uiPriority w:val="99"/>
    <w:rsid w:val="007E6C9B"/>
    <w:rPr>
      <w:sz w:val="20"/>
      <w:szCs w:val="20"/>
    </w:rPr>
  </w:style>
  <w:style w:type="paragraph" w:styleId="Tematkomentarza">
    <w:name w:val="annotation subject"/>
    <w:basedOn w:val="Tekstkomentarza"/>
    <w:next w:val="Tekstkomentarza"/>
    <w:link w:val="TematkomentarzaZnak"/>
    <w:uiPriority w:val="99"/>
    <w:semiHidden/>
    <w:unhideWhenUsed/>
    <w:rsid w:val="007E6C9B"/>
    <w:rPr>
      <w:b/>
      <w:bCs/>
    </w:rPr>
  </w:style>
  <w:style w:type="character" w:customStyle="1" w:styleId="TematkomentarzaZnak">
    <w:name w:val="Temat komentarza Znak"/>
    <w:basedOn w:val="TekstkomentarzaZnak"/>
    <w:link w:val="Tematkomentarza"/>
    <w:uiPriority w:val="99"/>
    <w:semiHidden/>
    <w:rsid w:val="007E6C9B"/>
    <w:rPr>
      <w:b/>
      <w:bCs/>
      <w:sz w:val="20"/>
      <w:szCs w:val="20"/>
    </w:rPr>
  </w:style>
  <w:style w:type="paragraph" w:customStyle="1" w:styleId="pf0">
    <w:name w:val="pf0"/>
    <w:basedOn w:val="Normalny"/>
    <w:rsid w:val="00350A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350A5A"/>
    <w:rPr>
      <w:rFonts w:ascii="Segoe UI" w:hAnsi="Segoe UI" w:cs="Segoe UI" w:hint="default"/>
      <w:sz w:val="18"/>
      <w:szCs w:val="18"/>
    </w:rPr>
  </w:style>
  <w:style w:type="paragraph" w:styleId="Tekstprzypisudolnego">
    <w:name w:val="footnote text"/>
    <w:basedOn w:val="Normalny"/>
    <w:link w:val="TekstprzypisudolnegoZnak"/>
    <w:uiPriority w:val="99"/>
    <w:semiHidden/>
    <w:unhideWhenUsed/>
    <w:rsid w:val="00E457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5710"/>
    <w:rPr>
      <w:sz w:val="20"/>
      <w:szCs w:val="20"/>
    </w:rPr>
  </w:style>
  <w:style w:type="character" w:styleId="Odwoanieprzypisudolnego">
    <w:name w:val="footnote reference"/>
    <w:basedOn w:val="Domylnaczcionkaakapitu"/>
    <w:uiPriority w:val="99"/>
    <w:semiHidden/>
    <w:unhideWhenUsed/>
    <w:rsid w:val="00E45710"/>
    <w:rPr>
      <w:vertAlign w:val="superscript"/>
    </w:rPr>
  </w:style>
  <w:style w:type="paragraph" w:styleId="Nagwek">
    <w:name w:val="header"/>
    <w:basedOn w:val="Normalny"/>
    <w:link w:val="NagwekZnak"/>
    <w:uiPriority w:val="99"/>
    <w:unhideWhenUsed/>
    <w:rsid w:val="00B465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654F"/>
  </w:style>
  <w:style w:type="paragraph" w:styleId="Stopka">
    <w:name w:val="footer"/>
    <w:basedOn w:val="Normalny"/>
    <w:link w:val="StopkaZnak"/>
    <w:uiPriority w:val="99"/>
    <w:unhideWhenUsed/>
    <w:rsid w:val="00B465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6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4787">
      <w:bodyDiv w:val="1"/>
      <w:marLeft w:val="0"/>
      <w:marRight w:val="0"/>
      <w:marTop w:val="0"/>
      <w:marBottom w:val="0"/>
      <w:divBdr>
        <w:top w:val="none" w:sz="0" w:space="0" w:color="auto"/>
        <w:left w:val="none" w:sz="0" w:space="0" w:color="auto"/>
        <w:bottom w:val="none" w:sz="0" w:space="0" w:color="auto"/>
        <w:right w:val="none" w:sz="0" w:space="0" w:color="auto"/>
      </w:divBdr>
    </w:div>
    <w:div w:id="591667547">
      <w:bodyDiv w:val="1"/>
      <w:marLeft w:val="0"/>
      <w:marRight w:val="0"/>
      <w:marTop w:val="0"/>
      <w:marBottom w:val="0"/>
      <w:divBdr>
        <w:top w:val="none" w:sz="0" w:space="0" w:color="auto"/>
        <w:left w:val="none" w:sz="0" w:space="0" w:color="auto"/>
        <w:bottom w:val="none" w:sz="0" w:space="0" w:color="auto"/>
        <w:right w:val="none" w:sz="0" w:space="0" w:color="auto"/>
      </w:divBdr>
    </w:div>
    <w:div w:id="13997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AC572-6363-40DF-B26F-E2AADDBC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2164</Words>
  <Characters>12990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 Mariusz</dc:creator>
  <cp:keywords/>
  <dc:description/>
  <cp:lastModifiedBy>Białas Aneta</cp:lastModifiedBy>
  <cp:revision>27</cp:revision>
  <dcterms:created xsi:type="dcterms:W3CDTF">2023-03-15T09:56:00Z</dcterms:created>
  <dcterms:modified xsi:type="dcterms:W3CDTF">2023-11-28T17:02:00Z</dcterms:modified>
</cp:coreProperties>
</file>