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8A2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402"/>
        <w:gridCol w:w="3119"/>
        <w:gridCol w:w="5328"/>
      </w:tblGrid>
      <w:tr w:rsidR="00A06425" w:rsidRPr="00A06425" w14:paraId="621ED65A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5689F84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19BC4327" w14:textId="77777777" w:rsidR="00A06425" w:rsidRPr="006262CB" w:rsidRDefault="006262CB" w:rsidP="00B871B6">
            <w:pPr>
              <w:spacing w:before="120" w:after="120"/>
            </w:pPr>
            <w:r w:rsidRPr="006262CB">
              <w:t>Raport z postępu rzeczowo-finansowego projektu informatycznego za I kwartał 2022 r. projektu „</w:t>
            </w:r>
            <w:r w:rsidRPr="006262CB">
              <w:rPr>
                <w:i/>
                <w:color w:val="000000" w:themeColor="text1"/>
              </w:rPr>
              <w:t>e-Doręczenia – usługa rejestrowanego doręczenia elektronicznego w  Polsce</w:t>
            </w:r>
            <w:r w:rsidRPr="006262CB">
              <w:rPr>
                <w:color w:val="000000" w:themeColor="text1"/>
              </w:rPr>
              <w:t>”</w:t>
            </w:r>
          </w:p>
          <w:p w14:paraId="6668EB7C" w14:textId="77777777" w:rsidR="006262CB" w:rsidRPr="00A06425" w:rsidRDefault="006262CB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66B8957" w14:textId="77777777" w:rsidTr="007F3861">
        <w:tc>
          <w:tcPr>
            <w:tcW w:w="562" w:type="dxa"/>
            <w:shd w:val="clear" w:color="auto" w:fill="auto"/>
            <w:vAlign w:val="center"/>
          </w:tcPr>
          <w:p w14:paraId="5412208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7688C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68FFF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32FCAB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B80C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328" w:type="dxa"/>
            <w:vAlign w:val="center"/>
          </w:tcPr>
          <w:p w14:paraId="773564D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006F43C" w14:textId="77777777" w:rsidTr="007F3861">
        <w:tc>
          <w:tcPr>
            <w:tcW w:w="562" w:type="dxa"/>
            <w:shd w:val="clear" w:color="auto" w:fill="auto"/>
          </w:tcPr>
          <w:p w14:paraId="7680AFA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DEE2AC" w14:textId="77777777" w:rsidR="006262CB" w:rsidRPr="00A06425" w:rsidRDefault="006262CB" w:rsidP="00B914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MRiRW</w:t>
            </w:r>
          </w:p>
        </w:tc>
        <w:tc>
          <w:tcPr>
            <w:tcW w:w="1843" w:type="dxa"/>
            <w:shd w:val="clear" w:color="auto" w:fill="auto"/>
          </w:tcPr>
          <w:p w14:paraId="1EAAAE0A" w14:textId="77777777" w:rsidR="00A06425" w:rsidRPr="00A06425" w:rsidRDefault="006262C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62CB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3402" w:type="dxa"/>
            <w:shd w:val="clear" w:color="auto" w:fill="auto"/>
          </w:tcPr>
          <w:p w14:paraId="14E36909" w14:textId="77777777" w:rsidR="00A06425" w:rsidRPr="00A06425" w:rsidRDefault="00B91438" w:rsidP="00B914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6262CB">
              <w:rPr>
                <w:rFonts w:asciiTheme="minorHAnsi" w:hAnsiTheme="minorHAnsi" w:cstheme="minorHAnsi"/>
                <w:sz w:val="22"/>
                <w:szCs w:val="22"/>
              </w:rPr>
              <w:t>asadn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ym wydaje się </w:t>
            </w:r>
            <w:r w:rsidR="006262CB">
              <w:rPr>
                <w:rFonts w:asciiTheme="minorHAnsi" w:hAnsiTheme="minorHAnsi" w:cstheme="minorHAnsi"/>
                <w:sz w:val="22"/>
                <w:szCs w:val="22"/>
              </w:rPr>
              <w:t>stosowani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6262CB">
              <w:rPr>
                <w:rFonts w:asciiTheme="minorHAnsi" w:hAnsiTheme="minorHAnsi" w:cstheme="minorHAnsi"/>
                <w:sz w:val="22"/>
                <w:szCs w:val="22"/>
              </w:rPr>
              <w:t xml:space="preserve"> KP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6262CB">
              <w:rPr>
                <w:rFonts w:asciiTheme="minorHAnsi" w:hAnsiTheme="minorHAnsi" w:cstheme="minorHAnsi"/>
                <w:sz w:val="22"/>
                <w:szCs w:val="22"/>
              </w:rPr>
              <w:t xml:space="preserve"> dot. przestrzeni dyskowa serwerowni. Nie odnosi się on stricte do efektywności projektu. Ponadto wartość 21,40 TB – biorąc pod uwagę ogólnokrajową skalę projektu – jest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zbyt </w:t>
            </w:r>
            <w:r w:rsidR="006262CB">
              <w:rPr>
                <w:rFonts w:asciiTheme="minorHAnsi" w:hAnsiTheme="minorHAnsi" w:cstheme="minorHAnsi"/>
                <w:sz w:val="22"/>
                <w:szCs w:val="22"/>
              </w:rPr>
              <w:t>niska.</w:t>
            </w:r>
          </w:p>
        </w:tc>
        <w:tc>
          <w:tcPr>
            <w:tcW w:w="3119" w:type="dxa"/>
            <w:shd w:val="clear" w:color="auto" w:fill="auto"/>
          </w:tcPr>
          <w:p w14:paraId="734148F8" w14:textId="77777777" w:rsidR="00A06425" w:rsidRPr="00A06425" w:rsidRDefault="006262CB" w:rsidP="00B914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Usunięcie ze wskaźników efektywności projektu (KPI) wskaźnika „</w:t>
            </w:r>
            <w:r w:rsidRPr="006262CB">
              <w:rPr>
                <w:rFonts w:asciiTheme="minorHAnsi" w:hAnsiTheme="minorHAnsi" w:cstheme="minorHAnsi"/>
                <w:i/>
                <w:sz w:val="22"/>
                <w:szCs w:val="22"/>
              </w:rPr>
              <w:t>Przestrzeń dyskowa serwerowni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W przypadku konieczności jego zostawienia, prośba o przekazanie jego </w:t>
            </w:r>
            <w:r w:rsidR="00B91438">
              <w:rPr>
                <w:rFonts w:asciiTheme="minorHAnsi" w:hAnsiTheme="minorHAnsi" w:cstheme="minorHAnsi"/>
                <w:sz w:val="22"/>
                <w:szCs w:val="22"/>
              </w:rPr>
              <w:t>wpływu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efektywność projektu</w:t>
            </w:r>
          </w:p>
        </w:tc>
        <w:tc>
          <w:tcPr>
            <w:tcW w:w="5328" w:type="dxa"/>
          </w:tcPr>
          <w:p w14:paraId="2A9955F8" w14:textId="77777777" w:rsidR="007F3861" w:rsidRDefault="007F3861" w:rsidP="007F38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 jest finansowany z środków Unii Europejskiej z</w:t>
            </w:r>
            <w:r w:rsidR="00BE24F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Programu Operacyjnego Polska Cyfrowa. P</w:t>
            </w:r>
            <w:r w:rsidRPr="007F3861">
              <w:rPr>
                <w:rFonts w:asciiTheme="minorHAnsi" w:hAnsiTheme="minorHAnsi" w:cstheme="minorHAnsi"/>
                <w:sz w:val="22"/>
                <w:szCs w:val="22"/>
              </w:rPr>
              <w:t>odpisanie porozumienia o jego dofinansowaniu było poprzedzone oceną formalną i merytoryczną dokonaną przez ekspertów CPPC (w oparciu o dedykowane kryteria wyboru projektów dla działania 2.1 POPC). To w trakcie oceny badano</w:t>
            </w:r>
            <w:r w:rsidR="00BE24F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F3861">
              <w:rPr>
                <w:rFonts w:asciiTheme="minorHAnsi" w:hAnsiTheme="minorHAnsi" w:cstheme="minorHAnsi"/>
                <w:sz w:val="22"/>
                <w:szCs w:val="22"/>
              </w:rPr>
              <w:t xml:space="preserve"> czy projekt jest efektywny kosztowo i czy w prawidłowy sposób Wnioskodawca określił wskaźniki produktu i rezultatu.</w:t>
            </w:r>
            <w:r>
              <w:t xml:space="preserve"> </w:t>
            </w:r>
            <w:r w:rsidRPr="007F3861">
              <w:rPr>
                <w:rFonts w:asciiTheme="minorHAnsi" w:hAnsiTheme="minorHAnsi" w:cstheme="minorHAnsi"/>
                <w:sz w:val="22"/>
                <w:szCs w:val="22"/>
              </w:rPr>
              <w:t>Co więcej, wskaźniki wymienione w</w:t>
            </w:r>
            <w:r w:rsidR="00BE24F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F3861">
              <w:rPr>
                <w:rFonts w:asciiTheme="minorHAnsi" w:hAnsiTheme="minorHAnsi" w:cstheme="minorHAnsi"/>
                <w:sz w:val="22"/>
                <w:szCs w:val="22"/>
              </w:rPr>
              <w:t>raporcie dla projektu e</w:t>
            </w:r>
            <w:r w:rsidR="00BE24F6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7F3861">
              <w:rPr>
                <w:rFonts w:asciiTheme="minorHAnsi" w:hAnsiTheme="minorHAnsi" w:cstheme="minorHAnsi"/>
                <w:sz w:val="22"/>
                <w:szCs w:val="22"/>
              </w:rPr>
              <w:t>Doręczenia wynikają bezpośrednio ze Wspólnej Listy Wskaźników Kluczowych 2014-2020, która stanowi załącznik do Wytycznych w zakresie monitorowania postępu rzeczowego realizacji programów operacyjnych na lata 2014-2020. W</w:t>
            </w:r>
            <w:r w:rsidR="00BE24F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F3861">
              <w:rPr>
                <w:rFonts w:asciiTheme="minorHAnsi" w:hAnsiTheme="minorHAnsi" w:cstheme="minorHAnsi"/>
                <w:sz w:val="22"/>
                <w:szCs w:val="22"/>
              </w:rPr>
              <w:t>dokumencie tym określono wspólny dla wszystkich programów operacyjnych na lata 2014-2020 obowiązkowy zestaw wskaźników kluczowych, które bezpośrednio wynikają z interwencji i/lub są powiązane z</w:t>
            </w:r>
            <w:r w:rsidR="00BE24F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F3861">
              <w:rPr>
                <w:rFonts w:asciiTheme="minorHAnsi" w:hAnsiTheme="minorHAnsi" w:cstheme="minorHAnsi"/>
                <w:sz w:val="22"/>
                <w:szCs w:val="22"/>
              </w:rPr>
              <w:t>zakresem interwencji podejmowanych w ramach Europejskiego Funduszu Rozwoju Regionalnego, Funduszu Spójności i Europejskiego Funduszu Społecznego.</w:t>
            </w:r>
          </w:p>
          <w:p w14:paraId="5783D8F1" w14:textId="77777777" w:rsidR="00CA2640" w:rsidRDefault="00CA2640" w:rsidP="007F386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268B2F" w14:textId="77CA185E" w:rsidR="00CA2640" w:rsidRDefault="00CA2640" w:rsidP="007F386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662B">
              <w:rPr>
                <w:rFonts w:asciiTheme="minorHAnsi" w:hAnsiTheme="minorHAnsi" w:cstheme="minorHAnsi"/>
                <w:sz w:val="22"/>
                <w:szCs w:val="22"/>
              </w:rPr>
              <w:t xml:space="preserve">Podany wskaźnik został wyliczony tylko dla przestrzeni dyskowej, którą w ramach projektu </w:t>
            </w:r>
            <w:r w:rsidR="00D73E1F">
              <w:rPr>
                <w:rFonts w:asciiTheme="minorHAnsi" w:hAnsiTheme="minorHAnsi" w:cstheme="minorHAnsi"/>
                <w:sz w:val="22"/>
                <w:szCs w:val="22"/>
              </w:rPr>
              <w:t>zapewni</w:t>
            </w:r>
            <w:r w:rsidR="00D73E1F" w:rsidRPr="005166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662B">
              <w:rPr>
                <w:rFonts w:asciiTheme="minorHAnsi" w:hAnsiTheme="minorHAnsi" w:cstheme="minorHAnsi"/>
                <w:sz w:val="22"/>
                <w:szCs w:val="22"/>
              </w:rPr>
              <w:t>Beneficjent (MC)</w:t>
            </w:r>
            <w:r w:rsidR="0027267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1662B">
              <w:rPr>
                <w:rFonts w:asciiTheme="minorHAnsi" w:hAnsiTheme="minorHAnsi" w:cstheme="minorHAnsi"/>
                <w:sz w:val="22"/>
                <w:szCs w:val="22"/>
              </w:rPr>
              <w:t xml:space="preserve"> a która będzie wykorzystywana dla aplikacji umożlwiającej </w:t>
            </w:r>
            <w:r w:rsidR="00322CC8">
              <w:rPr>
                <w:rFonts w:asciiTheme="minorHAnsi" w:hAnsiTheme="minorHAnsi" w:cstheme="minorHAnsi"/>
                <w:sz w:val="22"/>
                <w:szCs w:val="22"/>
              </w:rPr>
              <w:t xml:space="preserve">utrzymanie Bazy Adresów </w:t>
            </w:r>
            <w:r w:rsidR="00322CC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Elektronicznych,</w:t>
            </w:r>
            <w:r w:rsidRPr="0051662B">
              <w:rPr>
                <w:rFonts w:asciiTheme="minorHAnsi" w:hAnsiTheme="minorHAnsi" w:cstheme="minorHAnsi"/>
                <w:sz w:val="22"/>
                <w:szCs w:val="22"/>
              </w:rPr>
              <w:t xml:space="preserve"> e-usług dot. BAE, </w:t>
            </w:r>
            <w:r w:rsidR="0051662B" w:rsidRPr="0051662B">
              <w:rPr>
                <w:rFonts w:asciiTheme="minorHAnsi" w:hAnsiTheme="minorHAnsi" w:cstheme="minorHAnsi"/>
                <w:sz w:val="22"/>
                <w:szCs w:val="22"/>
              </w:rPr>
              <w:t>Systemu Komunikacyjnego (aplikacja obsługująca procesy po stronie MC</w:t>
            </w:r>
            <w:r w:rsidR="0051662B">
              <w:rPr>
                <w:rFonts w:asciiTheme="minorHAnsi" w:hAnsiTheme="minorHAnsi" w:cstheme="minorHAnsi"/>
                <w:sz w:val="22"/>
                <w:szCs w:val="22"/>
              </w:rPr>
              <w:t xml:space="preserve"> wraz z </w:t>
            </w:r>
            <w:r w:rsidR="0051662B" w:rsidRPr="00FE7400">
              <w:rPr>
                <w:rFonts w:asciiTheme="minorHAnsi" w:hAnsiTheme="minorHAnsi" w:cstheme="minorHAnsi"/>
                <w:sz w:val="22"/>
                <w:szCs w:val="22"/>
              </w:rPr>
              <w:t>inter</w:t>
            </w:r>
            <w:r w:rsidR="0027267F" w:rsidRPr="00FE7400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51662B" w:rsidRPr="00FE740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27267F" w:rsidRPr="00FE7400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51662B" w:rsidRPr="00FE7400">
              <w:rPr>
                <w:rFonts w:asciiTheme="minorHAnsi" w:hAnsiTheme="minorHAnsi" w:cstheme="minorHAnsi"/>
                <w:sz w:val="22"/>
                <w:szCs w:val="22"/>
              </w:rPr>
              <w:t>sami</w:t>
            </w:r>
            <w:r w:rsidR="0051662B">
              <w:rPr>
                <w:rFonts w:asciiTheme="minorHAnsi" w:hAnsiTheme="minorHAnsi" w:cstheme="minorHAnsi"/>
                <w:sz w:val="22"/>
                <w:szCs w:val="22"/>
              </w:rPr>
              <w:t xml:space="preserve"> komunikacyjnymi</w:t>
            </w:r>
            <w:r w:rsidR="00322CC8">
              <w:rPr>
                <w:rFonts w:asciiTheme="minorHAnsi" w:hAnsiTheme="minorHAnsi" w:cstheme="minorHAnsi"/>
                <w:sz w:val="22"/>
                <w:szCs w:val="22"/>
              </w:rPr>
              <w:t xml:space="preserve">) oraz </w:t>
            </w:r>
            <w:r w:rsidRPr="0051662B">
              <w:rPr>
                <w:rFonts w:asciiTheme="minorHAnsi" w:hAnsiTheme="minorHAnsi" w:cstheme="minorHAnsi"/>
                <w:sz w:val="22"/>
                <w:szCs w:val="22"/>
              </w:rPr>
              <w:t>system</w:t>
            </w:r>
            <w:r w:rsidR="0051662B" w:rsidRPr="0051662B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51662B">
              <w:rPr>
                <w:rFonts w:asciiTheme="minorHAnsi" w:hAnsiTheme="minorHAnsi" w:cstheme="minorHAnsi"/>
                <w:sz w:val="22"/>
                <w:szCs w:val="22"/>
              </w:rPr>
              <w:t xml:space="preserve"> brzegow</w:t>
            </w:r>
            <w:r w:rsidR="0051662B" w:rsidRPr="0051662B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51662B">
              <w:rPr>
                <w:rFonts w:asciiTheme="minorHAnsi" w:hAnsiTheme="minorHAnsi" w:cstheme="minorHAnsi"/>
                <w:sz w:val="22"/>
                <w:szCs w:val="22"/>
              </w:rPr>
              <w:t xml:space="preserve"> umożliwiając</w:t>
            </w:r>
            <w:r w:rsidR="0027267F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51662B">
              <w:rPr>
                <w:rFonts w:asciiTheme="minorHAnsi" w:hAnsiTheme="minorHAnsi" w:cstheme="minorHAnsi"/>
                <w:sz w:val="22"/>
                <w:szCs w:val="22"/>
              </w:rPr>
              <w:t xml:space="preserve"> komunikację Krajowego Systemu Doręczeń z podmiotami zlokalizowanymi w UE</w:t>
            </w:r>
            <w:r w:rsidR="0051662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9B69104" w14:textId="77777777" w:rsidR="0051662B" w:rsidRPr="0051662B" w:rsidRDefault="0051662B" w:rsidP="007F386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E64BE6" w14:textId="1F5E5E82" w:rsidR="006A48B0" w:rsidRPr="006A48B0" w:rsidRDefault="006A48B0" w:rsidP="006A48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podkreślić, że zgodnie z założeniami Studium Wykonalności projektu oraz przyjętej architektury rozwiązania </w:t>
            </w:r>
            <w:r w:rsidRPr="006A48B0">
              <w:rPr>
                <w:rFonts w:asciiTheme="minorHAnsi" w:hAnsiTheme="minorHAnsi" w:cstheme="minorHAnsi"/>
                <w:sz w:val="22"/>
                <w:szCs w:val="22"/>
              </w:rPr>
              <w:t>System Operatora</w:t>
            </w:r>
            <w:r w:rsidR="0027267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A48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czyli</w:t>
            </w:r>
            <w:r w:rsidRPr="006A48B0">
              <w:rPr>
                <w:rFonts w:asciiTheme="minorHAnsi" w:hAnsiTheme="minorHAnsi" w:cstheme="minorHAnsi"/>
                <w:sz w:val="22"/>
                <w:szCs w:val="22"/>
              </w:rPr>
              <w:t xml:space="preserve"> systemem dostarczony przez operatora wyznaczonego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(do 2025 rok Poczta Polska S.A.)</w:t>
            </w:r>
            <w:r w:rsidRPr="006A48B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jest odpowiedzialny</w:t>
            </w:r>
            <w:r w:rsidRPr="006A48B0">
              <w:rPr>
                <w:rFonts w:asciiTheme="minorHAnsi" w:hAnsiTheme="minorHAnsi" w:cstheme="minorHAnsi"/>
                <w:sz w:val="22"/>
                <w:szCs w:val="22"/>
              </w:rPr>
              <w:t xml:space="preserve"> za realizację publicznej usługi rejestrowanego doręczenia elektronicznego oraz obsługę skrzynek do doręczeń elektronicznych.</w:t>
            </w:r>
          </w:p>
          <w:p w14:paraId="7CFAA3B9" w14:textId="6B4F9E0F" w:rsidR="007F3861" w:rsidRDefault="006A48B0" w:rsidP="006A48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48B0">
              <w:rPr>
                <w:rFonts w:asciiTheme="minorHAnsi" w:hAnsiTheme="minorHAnsi" w:cstheme="minorHAnsi"/>
                <w:sz w:val="22"/>
                <w:szCs w:val="22"/>
              </w:rPr>
              <w:t xml:space="preserve">System Operatora powinien przygotować się na przyrost danych, które należy składować. Należy założyć, że przyrost danych będzie większy się niż obecnie obserwowany na platformie </w:t>
            </w:r>
            <w:proofErr w:type="spellStart"/>
            <w:r w:rsidRPr="006A48B0">
              <w:rPr>
                <w:rFonts w:asciiTheme="minorHAnsi" w:hAnsiTheme="minorHAnsi" w:cstheme="minorHAnsi"/>
                <w:sz w:val="22"/>
                <w:szCs w:val="22"/>
              </w:rPr>
              <w:t>ePUAP</w:t>
            </w:r>
            <w:proofErr w:type="spellEnd"/>
            <w:r w:rsidRPr="006A48B0">
              <w:rPr>
                <w:rFonts w:asciiTheme="minorHAnsi" w:hAnsiTheme="minorHAnsi" w:cstheme="minorHAnsi"/>
                <w:sz w:val="22"/>
                <w:szCs w:val="22"/>
              </w:rPr>
              <w:t xml:space="preserve">, ponieważ zostaną udostępnione usługi dla podmiotów niepublicznych oraz osób fizycznych. </w:t>
            </w:r>
            <w:r w:rsidR="00FE7400">
              <w:rPr>
                <w:rFonts w:asciiTheme="minorHAnsi" w:hAnsiTheme="minorHAnsi" w:cstheme="minorHAnsi"/>
                <w:sz w:val="22"/>
                <w:szCs w:val="22"/>
              </w:rPr>
              <w:t xml:space="preserve">Zgodnie ze Studium Wykonalności projektu </w:t>
            </w:r>
            <w:r w:rsidRPr="00FE7400">
              <w:rPr>
                <w:rFonts w:asciiTheme="minorHAnsi" w:hAnsiTheme="minorHAnsi" w:cstheme="minorHAnsi"/>
                <w:sz w:val="22"/>
                <w:szCs w:val="22"/>
              </w:rPr>
              <w:t>System Operatora powinien dla celów projektu zapewnić dodatkową przestrze</w:t>
            </w:r>
            <w:r w:rsidR="0027267F" w:rsidRPr="00FE7400">
              <w:rPr>
                <w:rFonts w:asciiTheme="minorHAnsi" w:hAnsiTheme="minorHAnsi" w:cstheme="minorHAnsi"/>
                <w:sz w:val="22"/>
                <w:szCs w:val="22"/>
              </w:rPr>
              <w:t>ń</w:t>
            </w:r>
            <w:r w:rsidRPr="00FE7400">
              <w:rPr>
                <w:rFonts w:asciiTheme="minorHAnsi" w:hAnsiTheme="minorHAnsi" w:cstheme="minorHAnsi"/>
                <w:sz w:val="22"/>
                <w:szCs w:val="22"/>
              </w:rPr>
              <w:t xml:space="preserve"> dyskową na poziomie 2x100</w:t>
            </w:r>
            <w:r w:rsidR="0027267F" w:rsidRPr="00FE74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7400">
              <w:rPr>
                <w:rFonts w:asciiTheme="minorHAnsi" w:hAnsiTheme="minorHAnsi" w:cstheme="minorHAnsi"/>
                <w:sz w:val="22"/>
                <w:szCs w:val="22"/>
              </w:rPr>
              <w:t>TB</w:t>
            </w:r>
            <w:r w:rsidRPr="006A48B0">
              <w:rPr>
                <w:rFonts w:asciiTheme="minorHAnsi" w:hAnsiTheme="minorHAnsi" w:cstheme="minorHAnsi"/>
                <w:sz w:val="22"/>
                <w:szCs w:val="22"/>
              </w:rPr>
              <w:t xml:space="preserve"> (baza oraz pliki składowane na systemie plików).</w:t>
            </w:r>
          </w:p>
          <w:p w14:paraId="3667E313" w14:textId="633D2D7E" w:rsidR="006A48B0" w:rsidRDefault="0051662B" w:rsidP="006A48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Dodatkowo w ramach projektu przewiduje się</w:t>
            </w:r>
            <w:r w:rsidR="0027267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że usługi będą świadczyć również Kwalifikowani Dostawcy Usług, którzy również po swojej stronie będą zapewniać przestrzeń dyskową dla skrzynek do doręczeń elektronicznych. </w:t>
            </w:r>
          </w:p>
          <w:p w14:paraId="4A7F14E9" w14:textId="77777777" w:rsidR="0051662B" w:rsidRDefault="0051662B" w:rsidP="006A48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5213A7" w14:textId="5E9E1676" w:rsidR="00322CC8" w:rsidRDefault="007F3861" w:rsidP="00BE24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3861">
              <w:rPr>
                <w:rFonts w:asciiTheme="minorHAnsi" w:hAnsiTheme="minorHAnsi" w:cstheme="minorHAnsi"/>
                <w:sz w:val="22"/>
                <w:szCs w:val="22"/>
              </w:rPr>
              <w:t xml:space="preserve">Podsumowując, wymieniony w uwadze </w:t>
            </w:r>
            <w:proofErr w:type="spellStart"/>
            <w:r w:rsidRPr="007F3861">
              <w:rPr>
                <w:rFonts w:asciiTheme="minorHAnsi" w:hAnsiTheme="minorHAnsi" w:cstheme="minorHAnsi"/>
                <w:sz w:val="22"/>
                <w:szCs w:val="22"/>
              </w:rPr>
              <w:t>MRiRW</w:t>
            </w:r>
            <w:proofErr w:type="spellEnd"/>
            <w:r w:rsidRPr="007F3861">
              <w:rPr>
                <w:rFonts w:asciiTheme="minorHAnsi" w:hAnsiTheme="minorHAnsi" w:cstheme="minorHAnsi"/>
                <w:sz w:val="22"/>
                <w:szCs w:val="22"/>
              </w:rPr>
              <w:t xml:space="preserve"> wskaźnik </w:t>
            </w:r>
            <w:r w:rsidRPr="007F3861">
              <w:rPr>
                <w:rFonts w:asciiTheme="minorHAnsi" w:hAnsiTheme="minorHAnsi" w:cstheme="minorHAnsi"/>
                <w:i/>
                <w:sz w:val="22"/>
                <w:szCs w:val="22"/>
              </w:rPr>
              <w:t>Przestrzeń dyskowa serwerowni</w:t>
            </w:r>
            <w:r w:rsidRPr="007F3861">
              <w:rPr>
                <w:rFonts w:asciiTheme="minorHAnsi" w:hAnsiTheme="minorHAnsi" w:cstheme="minorHAnsi"/>
                <w:sz w:val="22"/>
                <w:szCs w:val="22"/>
              </w:rPr>
              <w:t xml:space="preserve"> należy do wskaźników kluczowych produktu projektu, które określane są na etapie przygotowywania wniosku o dofinansowanie. </w:t>
            </w:r>
            <w:r w:rsidR="00322CC8">
              <w:rPr>
                <w:rFonts w:asciiTheme="minorHAnsi" w:hAnsiTheme="minorHAnsi" w:cstheme="minorHAnsi"/>
                <w:sz w:val="22"/>
                <w:szCs w:val="22"/>
              </w:rPr>
              <w:t>Wskaźnik został podany w odniesieniu do przestrzeni dyskowej Beneficjenta (MC)</w:t>
            </w:r>
            <w:r w:rsidR="0027267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22CC8">
              <w:rPr>
                <w:rFonts w:asciiTheme="minorHAnsi" w:hAnsiTheme="minorHAnsi" w:cstheme="minorHAnsi"/>
                <w:sz w:val="22"/>
                <w:szCs w:val="22"/>
              </w:rPr>
              <w:t xml:space="preserve"> natomiast w samym </w:t>
            </w:r>
            <w:r w:rsidR="00322CC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rozwiązaniu przestrzeń dyskowa będzie znacznie większa (ok</w:t>
            </w:r>
            <w:r w:rsidR="0027267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22CC8">
              <w:rPr>
                <w:rFonts w:asciiTheme="minorHAnsi" w:hAnsiTheme="minorHAnsi" w:cstheme="minorHAnsi"/>
                <w:sz w:val="22"/>
                <w:szCs w:val="22"/>
              </w:rPr>
              <w:t xml:space="preserve"> 200 TB po stronie OW).</w:t>
            </w:r>
          </w:p>
          <w:p w14:paraId="4FC89B73" w14:textId="77777777" w:rsidR="00322CC8" w:rsidRDefault="00322CC8" w:rsidP="00BE24F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0063F1" w14:textId="321BD379" w:rsidR="00A06425" w:rsidRPr="00A06425" w:rsidRDefault="007F3861" w:rsidP="00BE24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3861">
              <w:rPr>
                <w:rFonts w:asciiTheme="minorHAnsi" w:hAnsiTheme="minorHAnsi" w:cstheme="minorHAnsi"/>
                <w:sz w:val="22"/>
                <w:szCs w:val="22"/>
              </w:rPr>
              <w:t>Wymóg taki wynika z kryteriów wyboru projektów dla działania 2.1 POPC oraz Instrukcji wypełniania wniosku o</w:t>
            </w:r>
            <w:r w:rsidR="00BE24F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F3861">
              <w:rPr>
                <w:rFonts w:asciiTheme="minorHAnsi" w:hAnsiTheme="minorHAnsi" w:cstheme="minorHAnsi"/>
                <w:sz w:val="22"/>
                <w:szCs w:val="22"/>
              </w:rPr>
              <w:t>dofinansowanie dla działania 2.1 POPC</w:t>
            </w:r>
            <w:r w:rsidR="0027267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F3861">
              <w:rPr>
                <w:rFonts w:asciiTheme="minorHAnsi" w:hAnsiTheme="minorHAnsi" w:cstheme="minorHAnsi"/>
                <w:sz w:val="22"/>
                <w:szCs w:val="22"/>
              </w:rPr>
              <w:t xml:space="preserve"> zatem </w:t>
            </w:r>
            <w:r w:rsidRPr="009F735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nie ma możliwości usunięcia wskaźnika lub też jego korygowania</w:t>
            </w:r>
            <w:r w:rsidRPr="007F3861">
              <w:rPr>
                <w:rFonts w:asciiTheme="minorHAnsi" w:hAnsiTheme="minorHAnsi" w:cstheme="minorHAnsi"/>
                <w:sz w:val="22"/>
                <w:szCs w:val="22"/>
              </w:rPr>
              <w:t xml:space="preserve"> w oparciu o zgłoszoną uwagę do raportu za I kwartał 2022 r.</w:t>
            </w:r>
          </w:p>
        </w:tc>
      </w:tr>
    </w:tbl>
    <w:p w14:paraId="35D479EA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27267F"/>
    <w:rsid w:val="003124D1"/>
    <w:rsid w:val="00322CC8"/>
    <w:rsid w:val="003B4105"/>
    <w:rsid w:val="004427FF"/>
    <w:rsid w:val="004D086F"/>
    <w:rsid w:val="0051662B"/>
    <w:rsid w:val="005F6527"/>
    <w:rsid w:val="006262CB"/>
    <w:rsid w:val="006705EC"/>
    <w:rsid w:val="006A48B0"/>
    <w:rsid w:val="006E16E9"/>
    <w:rsid w:val="007F3861"/>
    <w:rsid w:val="00807385"/>
    <w:rsid w:val="008C3C30"/>
    <w:rsid w:val="00944932"/>
    <w:rsid w:val="009E5FDB"/>
    <w:rsid w:val="009F735E"/>
    <w:rsid w:val="00A06425"/>
    <w:rsid w:val="00AC7796"/>
    <w:rsid w:val="00B871B6"/>
    <w:rsid w:val="00B91438"/>
    <w:rsid w:val="00BE24F6"/>
    <w:rsid w:val="00C64B1B"/>
    <w:rsid w:val="00CA2640"/>
    <w:rsid w:val="00CD5EB0"/>
    <w:rsid w:val="00D73E1F"/>
    <w:rsid w:val="00E14C33"/>
    <w:rsid w:val="00FE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A735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726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Sieńko Anna</cp:lastModifiedBy>
  <cp:revision>4</cp:revision>
  <dcterms:created xsi:type="dcterms:W3CDTF">2022-06-13T08:54:00Z</dcterms:created>
  <dcterms:modified xsi:type="dcterms:W3CDTF">2022-06-14T08:58:00Z</dcterms:modified>
</cp:coreProperties>
</file>