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9091" w14:textId="77777777" w:rsidR="00C77B45" w:rsidRPr="002B0228" w:rsidRDefault="00C77B45" w:rsidP="00C77B45">
      <w:pPr>
        <w:spacing w:before="60" w:after="60" w:line="259" w:lineRule="auto"/>
        <w:jc w:val="right"/>
        <w:rPr>
          <w:rFonts w:ascii="Arial" w:hAnsi="Arial" w:cs="Arial"/>
          <w:sz w:val="22"/>
          <w:szCs w:val="22"/>
        </w:rPr>
      </w:pPr>
      <w:r w:rsidRPr="002B0228">
        <w:rPr>
          <w:rFonts w:ascii="Arial" w:hAnsi="Arial" w:cs="Arial"/>
          <w:bCs/>
          <w:sz w:val="22"/>
          <w:szCs w:val="22"/>
          <w:u w:val="single"/>
        </w:rPr>
        <w:t>Załącznik nr 1</w:t>
      </w:r>
      <w:r w:rsidRPr="002B0228">
        <w:rPr>
          <w:rFonts w:ascii="Arial" w:hAnsi="Arial" w:cs="Arial"/>
          <w:bCs/>
          <w:sz w:val="22"/>
          <w:szCs w:val="22"/>
        </w:rPr>
        <w:t xml:space="preserve"> do Umowy nr </w:t>
      </w:r>
      <w:r w:rsidRPr="002B0228">
        <w:rPr>
          <w:rFonts w:ascii="Arial" w:hAnsi="Arial" w:cs="Arial"/>
          <w:sz w:val="22"/>
          <w:szCs w:val="22"/>
        </w:rPr>
        <w:t>[●]</w:t>
      </w:r>
    </w:p>
    <w:p w14:paraId="0767B6D5" w14:textId="77777777" w:rsidR="002079E3" w:rsidRPr="00CB0BBD" w:rsidRDefault="002079E3" w:rsidP="00F95812">
      <w:pPr>
        <w:spacing w:before="60" w:after="60" w:line="259" w:lineRule="auto"/>
        <w:jc w:val="right"/>
        <w:rPr>
          <w:rFonts w:ascii="Arial" w:eastAsiaTheme="minorHAnsi" w:hAnsi="Arial" w:cs="Arial"/>
          <w:bCs/>
          <w:sz w:val="21"/>
          <w:szCs w:val="21"/>
          <w:lang w:eastAsia="en-US"/>
        </w:rPr>
      </w:pPr>
    </w:p>
    <w:p w14:paraId="31ECB49D" w14:textId="082E890E" w:rsidR="008F385E" w:rsidRPr="00F95812" w:rsidRDefault="007D11DD" w:rsidP="00F95812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kern w:val="2"/>
          <w:sz w:val="28"/>
          <w:szCs w:val="28"/>
          <w:lang w:eastAsia="en-US"/>
          <w14:ligatures w14:val="standardContextual"/>
        </w:rPr>
      </w:pPr>
      <w:r w:rsidRPr="00F95812">
        <w:rPr>
          <w:rFonts w:ascii="Arial" w:eastAsiaTheme="minorHAnsi" w:hAnsi="Arial" w:cs="Arial"/>
          <w:b/>
          <w:bCs/>
          <w:smallCaps/>
          <w:color w:val="000000"/>
          <w:kern w:val="2"/>
          <w:sz w:val="28"/>
          <w:szCs w:val="28"/>
          <w:lang w:eastAsia="en-US"/>
          <w14:ligatures w14:val="standardContextual"/>
        </w:rPr>
        <w:t>O</w:t>
      </w:r>
      <w:r w:rsidR="00E337BC" w:rsidRPr="00F95812">
        <w:rPr>
          <w:rFonts w:ascii="Arial" w:eastAsiaTheme="minorHAnsi" w:hAnsi="Arial" w:cs="Arial"/>
          <w:b/>
          <w:bCs/>
          <w:smallCaps/>
          <w:color w:val="000000"/>
          <w:kern w:val="2"/>
          <w:sz w:val="28"/>
          <w:szCs w:val="28"/>
          <w:lang w:eastAsia="en-US"/>
          <w14:ligatures w14:val="standardContextual"/>
        </w:rPr>
        <w:t>pis przedmiotu zamówienia</w:t>
      </w:r>
      <w:r w:rsidR="008072C9" w:rsidRPr="00F95812">
        <w:rPr>
          <w:rFonts w:ascii="Arial" w:eastAsiaTheme="minorHAnsi" w:hAnsi="Arial" w:cs="Arial"/>
          <w:b/>
          <w:bCs/>
          <w:smallCaps/>
          <w:color w:val="000000"/>
          <w:kern w:val="2"/>
          <w:sz w:val="28"/>
          <w:szCs w:val="28"/>
          <w:lang w:eastAsia="en-US"/>
          <w14:ligatures w14:val="standardContextual"/>
        </w:rPr>
        <w:t xml:space="preserve"> – Część II</w:t>
      </w:r>
    </w:p>
    <w:p w14:paraId="11F9ACD3" w14:textId="583A1BCA" w:rsidR="00E337BC" w:rsidRPr="00CB0BBD" w:rsidRDefault="0022687C" w:rsidP="00F95812">
      <w:pPr>
        <w:pStyle w:val="Default"/>
        <w:spacing w:before="60" w:after="60" w:line="259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[ECS]</w:t>
      </w:r>
    </w:p>
    <w:p w14:paraId="518284EC" w14:textId="41D79677" w:rsidR="00A2760C" w:rsidRPr="00CB0BBD" w:rsidRDefault="00A2760C" w:rsidP="00F958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>Przedmiot zamówienia</w:t>
      </w:r>
    </w:p>
    <w:p w14:paraId="3DC10D58" w14:textId="183A95FA" w:rsidR="00C41074" w:rsidRPr="00CB0BBD" w:rsidRDefault="00A2760C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Przedmiotem </w:t>
      </w:r>
      <w:r w:rsidR="000505ED" w:rsidRPr="00CB0BBD">
        <w:rPr>
          <w:rFonts w:eastAsiaTheme="minorHAnsi"/>
          <w:color w:val="000000"/>
          <w:sz w:val="21"/>
          <w:szCs w:val="21"/>
        </w:rPr>
        <w:t>zamówienia jest</w:t>
      </w:r>
      <w:r w:rsidR="003A29D1">
        <w:rPr>
          <w:rFonts w:eastAsiaTheme="minorHAnsi"/>
          <w:color w:val="000000"/>
          <w:sz w:val="21"/>
          <w:szCs w:val="21"/>
        </w:rPr>
        <w:t xml:space="preserve"> </w:t>
      </w:r>
      <w:r w:rsidR="002353B9" w:rsidRPr="00F95812">
        <w:rPr>
          <w:rFonts w:eastAsiaTheme="minorHAnsi"/>
          <w:color w:val="000000"/>
          <w:sz w:val="21"/>
          <w:szCs w:val="21"/>
        </w:rPr>
        <w:t xml:space="preserve">dostawa </w:t>
      </w:r>
      <w:r w:rsidR="00BB20B7" w:rsidRPr="00F95812">
        <w:rPr>
          <w:rFonts w:eastAsiaTheme="minorHAnsi"/>
          <w:color w:val="000000"/>
          <w:sz w:val="21"/>
          <w:szCs w:val="21"/>
        </w:rPr>
        <w:t>1</w:t>
      </w:r>
      <w:r w:rsidR="00E26ADB" w:rsidRPr="00F95812">
        <w:rPr>
          <w:rFonts w:eastAsiaTheme="minorHAnsi"/>
          <w:color w:val="000000"/>
          <w:sz w:val="21"/>
          <w:szCs w:val="21"/>
        </w:rPr>
        <w:t>2</w:t>
      </w:r>
      <w:r w:rsidR="00BB20B7" w:rsidRPr="00F95812">
        <w:rPr>
          <w:rFonts w:eastAsiaTheme="minorHAnsi"/>
          <w:color w:val="000000"/>
          <w:sz w:val="21"/>
          <w:szCs w:val="21"/>
        </w:rPr>
        <w:t xml:space="preserve"> szt. </w:t>
      </w:r>
      <w:r w:rsidR="00E26ADB" w:rsidRPr="00F95812">
        <w:rPr>
          <w:rFonts w:eastAsiaTheme="minorHAnsi"/>
          <w:color w:val="000000"/>
          <w:sz w:val="21"/>
          <w:szCs w:val="21"/>
        </w:rPr>
        <w:t>węzłów</w:t>
      </w:r>
      <w:r w:rsidR="00034EDB" w:rsidRPr="00F95812">
        <w:rPr>
          <w:rFonts w:eastAsiaTheme="minorHAnsi"/>
          <w:color w:val="000000"/>
          <w:sz w:val="21"/>
          <w:szCs w:val="21"/>
        </w:rPr>
        <w:t xml:space="preserve"> </w:t>
      </w:r>
      <w:proofErr w:type="spellStart"/>
      <w:r w:rsidR="008072C9" w:rsidRPr="00F95812">
        <w:rPr>
          <w:rFonts w:eastAsiaTheme="minorHAnsi"/>
          <w:color w:val="000000"/>
          <w:sz w:val="21"/>
          <w:szCs w:val="21"/>
        </w:rPr>
        <w:t>Elastic</w:t>
      </w:r>
      <w:proofErr w:type="spellEnd"/>
      <w:r w:rsidR="008072C9" w:rsidRPr="00F95812">
        <w:rPr>
          <w:rFonts w:eastAsiaTheme="minorHAnsi"/>
          <w:color w:val="000000"/>
          <w:sz w:val="21"/>
          <w:szCs w:val="21"/>
        </w:rPr>
        <w:t xml:space="preserve"> </w:t>
      </w:r>
      <w:proofErr w:type="spellStart"/>
      <w:r w:rsidR="008072C9" w:rsidRPr="00F95812">
        <w:rPr>
          <w:rFonts w:eastAsiaTheme="minorHAnsi"/>
          <w:color w:val="000000"/>
          <w:sz w:val="21"/>
          <w:szCs w:val="21"/>
        </w:rPr>
        <w:t>Cloud</w:t>
      </w:r>
      <w:proofErr w:type="spellEnd"/>
      <w:r w:rsidR="008072C9" w:rsidRPr="00F95812">
        <w:rPr>
          <w:rFonts w:eastAsiaTheme="minorHAnsi"/>
          <w:color w:val="000000"/>
          <w:sz w:val="21"/>
          <w:szCs w:val="21"/>
        </w:rPr>
        <w:t xml:space="preserve"> Storage</w:t>
      </w:r>
      <w:r w:rsidR="00034EDB" w:rsidRPr="00F95812">
        <w:rPr>
          <w:rFonts w:eastAsiaTheme="minorHAnsi"/>
          <w:color w:val="000000"/>
          <w:sz w:val="21"/>
          <w:szCs w:val="21"/>
        </w:rPr>
        <w:t xml:space="preserve"> w skrócie ECS</w:t>
      </w:r>
      <w:r w:rsidR="004504D7" w:rsidRPr="00F95812">
        <w:rPr>
          <w:rFonts w:eastAsiaTheme="minorHAnsi"/>
          <w:color w:val="000000"/>
          <w:sz w:val="21"/>
          <w:szCs w:val="21"/>
        </w:rPr>
        <w:t xml:space="preserve"> (dalej łącznie „Urządzenia</w:t>
      </w:r>
      <w:r w:rsidR="009E35AB" w:rsidRPr="00F95812">
        <w:rPr>
          <w:rFonts w:eastAsiaTheme="minorHAnsi"/>
          <w:color w:val="000000"/>
          <w:sz w:val="21"/>
          <w:szCs w:val="21"/>
        </w:rPr>
        <w:t>”</w:t>
      </w:r>
      <w:r w:rsidR="004504D7" w:rsidRPr="00F95812">
        <w:rPr>
          <w:rFonts w:eastAsiaTheme="minorHAnsi"/>
          <w:color w:val="000000"/>
          <w:sz w:val="21"/>
          <w:szCs w:val="21"/>
        </w:rPr>
        <w:t>)</w:t>
      </w:r>
      <w:r w:rsidR="009E35AB" w:rsidRPr="00F95812">
        <w:rPr>
          <w:rFonts w:eastAsiaTheme="minorHAnsi"/>
          <w:color w:val="000000"/>
          <w:sz w:val="21"/>
          <w:szCs w:val="21"/>
        </w:rPr>
        <w:t xml:space="preserve"> </w:t>
      </w:r>
      <w:r w:rsidR="004504D7" w:rsidRPr="00F95812">
        <w:rPr>
          <w:rFonts w:eastAsiaTheme="minorHAnsi"/>
          <w:color w:val="000000"/>
          <w:sz w:val="21"/>
          <w:szCs w:val="21"/>
        </w:rPr>
        <w:t>s</w:t>
      </w:r>
      <w:r w:rsidR="00B77913" w:rsidRPr="00F95812">
        <w:rPr>
          <w:rFonts w:eastAsiaTheme="minorHAnsi"/>
          <w:color w:val="000000"/>
          <w:sz w:val="21"/>
          <w:szCs w:val="21"/>
        </w:rPr>
        <w:t>pełnia</w:t>
      </w:r>
      <w:r w:rsidR="00034EDB" w:rsidRPr="00F95812">
        <w:rPr>
          <w:rFonts w:eastAsiaTheme="minorHAnsi"/>
          <w:color w:val="000000"/>
          <w:sz w:val="21"/>
          <w:szCs w:val="21"/>
        </w:rPr>
        <w:t>jących</w:t>
      </w:r>
      <w:r w:rsidR="00B77913" w:rsidRPr="00F95812">
        <w:rPr>
          <w:rFonts w:eastAsiaTheme="minorHAnsi"/>
          <w:color w:val="000000"/>
          <w:sz w:val="21"/>
          <w:szCs w:val="21"/>
        </w:rPr>
        <w:t xml:space="preserve"> </w:t>
      </w:r>
      <w:r w:rsidR="00034EDB" w:rsidRPr="00F95812">
        <w:rPr>
          <w:rFonts w:eastAsiaTheme="minorHAnsi"/>
          <w:color w:val="000000"/>
          <w:sz w:val="21"/>
          <w:szCs w:val="21"/>
        </w:rPr>
        <w:t>funkcjonalność</w:t>
      </w:r>
      <w:r w:rsidR="00B77913" w:rsidRPr="00F95812">
        <w:rPr>
          <w:rFonts w:eastAsiaTheme="minorHAnsi"/>
          <w:color w:val="000000"/>
          <w:sz w:val="21"/>
          <w:szCs w:val="21"/>
        </w:rPr>
        <w:t xml:space="preserve"> Direct Read Support dla </w:t>
      </w:r>
      <w:proofErr w:type="spellStart"/>
      <w:r w:rsidR="00B77913" w:rsidRPr="00F95812">
        <w:rPr>
          <w:rFonts w:eastAsiaTheme="minorHAnsi"/>
          <w:color w:val="000000"/>
          <w:sz w:val="21"/>
          <w:szCs w:val="21"/>
        </w:rPr>
        <w:t>Cloud</w:t>
      </w:r>
      <w:proofErr w:type="spellEnd"/>
      <w:r w:rsidR="00034EDB" w:rsidRPr="00F95812">
        <w:rPr>
          <w:rFonts w:eastAsiaTheme="minorHAnsi"/>
          <w:color w:val="000000"/>
          <w:sz w:val="21"/>
          <w:szCs w:val="21"/>
        </w:rPr>
        <w:t xml:space="preserve"> </w:t>
      </w:r>
      <w:proofErr w:type="spellStart"/>
      <w:r w:rsidR="00B77913" w:rsidRPr="00F95812">
        <w:rPr>
          <w:rFonts w:eastAsiaTheme="minorHAnsi"/>
          <w:color w:val="000000"/>
          <w:sz w:val="21"/>
          <w:szCs w:val="21"/>
        </w:rPr>
        <w:t>Tier</w:t>
      </w:r>
      <w:proofErr w:type="spellEnd"/>
      <w:r w:rsidR="00B77913" w:rsidRPr="00F95812">
        <w:rPr>
          <w:rFonts w:eastAsiaTheme="minorHAnsi"/>
          <w:color w:val="000000"/>
          <w:sz w:val="21"/>
          <w:szCs w:val="21"/>
        </w:rPr>
        <w:t xml:space="preserve"> potwierdzon</w:t>
      </w:r>
      <w:r w:rsidR="00034EDB" w:rsidRPr="00F95812">
        <w:rPr>
          <w:rFonts w:eastAsiaTheme="minorHAnsi"/>
          <w:color w:val="000000"/>
          <w:sz w:val="21"/>
          <w:szCs w:val="21"/>
        </w:rPr>
        <w:t>ą</w:t>
      </w:r>
      <w:r w:rsidR="00B77913" w:rsidRPr="00F95812">
        <w:rPr>
          <w:rFonts w:eastAsiaTheme="minorHAnsi"/>
          <w:color w:val="000000"/>
          <w:sz w:val="21"/>
          <w:szCs w:val="21"/>
        </w:rPr>
        <w:t xml:space="preserve"> w matrycy </w:t>
      </w:r>
      <w:r w:rsidR="00034EDB" w:rsidRPr="00F95812">
        <w:rPr>
          <w:rFonts w:eastAsiaTheme="minorHAnsi"/>
          <w:color w:val="000000"/>
          <w:sz w:val="21"/>
          <w:szCs w:val="21"/>
        </w:rPr>
        <w:t>kompatybilności</w:t>
      </w:r>
      <w:r w:rsidR="00B77913" w:rsidRPr="00F95812">
        <w:rPr>
          <w:rFonts w:eastAsiaTheme="minorHAnsi"/>
          <w:color w:val="000000"/>
          <w:sz w:val="21"/>
          <w:szCs w:val="21"/>
        </w:rPr>
        <w:t xml:space="preserve"> z urządzeniami Data</w:t>
      </w:r>
      <w:r w:rsidR="00034EDB" w:rsidRPr="00F95812">
        <w:rPr>
          <w:rFonts w:eastAsiaTheme="minorHAnsi"/>
          <w:color w:val="000000"/>
          <w:sz w:val="21"/>
          <w:szCs w:val="21"/>
        </w:rPr>
        <w:t xml:space="preserve"> </w:t>
      </w:r>
      <w:proofErr w:type="spellStart"/>
      <w:r w:rsidR="00B77913" w:rsidRPr="00F95812">
        <w:rPr>
          <w:rFonts w:eastAsiaTheme="minorHAnsi"/>
          <w:color w:val="000000"/>
          <w:sz w:val="21"/>
          <w:szCs w:val="21"/>
        </w:rPr>
        <w:t>Domain</w:t>
      </w:r>
      <w:proofErr w:type="spellEnd"/>
      <w:r w:rsidR="00034EDB" w:rsidRPr="00F95812">
        <w:rPr>
          <w:rFonts w:eastAsiaTheme="minorHAnsi"/>
          <w:color w:val="000000"/>
          <w:sz w:val="21"/>
          <w:szCs w:val="21"/>
        </w:rPr>
        <w:t xml:space="preserve"> - w ramach modernizacji środowiska kopii zapasowych opisanego w Tabeli 1</w:t>
      </w:r>
      <w:r w:rsidR="003A29D1">
        <w:rPr>
          <w:rFonts w:eastAsiaTheme="minorHAnsi"/>
          <w:color w:val="000000"/>
          <w:sz w:val="21"/>
          <w:szCs w:val="21"/>
        </w:rPr>
        <w:t>a</w:t>
      </w:r>
      <w:r w:rsidR="00034EDB" w:rsidRPr="00F95812">
        <w:rPr>
          <w:rFonts w:eastAsiaTheme="minorHAnsi"/>
          <w:color w:val="000000"/>
          <w:sz w:val="21"/>
          <w:szCs w:val="21"/>
        </w:rPr>
        <w:t xml:space="preserve"> poniżej, zgodnie ze specyfikacją zawartą w </w:t>
      </w:r>
      <w:r w:rsidR="003A29D1">
        <w:rPr>
          <w:rFonts w:eastAsiaTheme="minorHAnsi"/>
          <w:color w:val="000000"/>
          <w:sz w:val="21"/>
          <w:szCs w:val="21"/>
        </w:rPr>
        <w:t xml:space="preserve">Tabeli 1 i </w:t>
      </w:r>
      <w:r w:rsidR="00034EDB" w:rsidRPr="00F95812">
        <w:rPr>
          <w:rFonts w:eastAsiaTheme="minorHAnsi"/>
          <w:color w:val="000000"/>
          <w:sz w:val="21"/>
          <w:szCs w:val="21"/>
        </w:rPr>
        <w:t>Tabeli 2 poniżej, co obejmuje również zadania, o których mowa w pkt. 1.8 poniżej, z zachowaniem pełnego wsparcia oraz</w:t>
      </w:r>
      <w:r w:rsidR="009E35AB" w:rsidRPr="00F95812">
        <w:rPr>
          <w:rFonts w:eastAsiaTheme="minorHAnsi"/>
          <w:color w:val="000000"/>
          <w:sz w:val="21"/>
          <w:szCs w:val="21"/>
        </w:rPr>
        <w:t xml:space="preserve"> </w:t>
      </w:r>
      <w:r w:rsidR="00034EDB" w:rsidRPr="00F95812">
        <w:rPr>
          <w:rFonts w:eastAsiaTheme="minorHAnsi"/>
          <w:color w:val="000000"/>
          <w:sz w:val="21"/>
          <w:szCs w:val="21"/>
        </w:rPr>
        <w:t xml:space="preserve">kompatybilności z urządzeniami oraz oprogramowaniem aktualnie zainstalowanym w środowisku kopii zapasowych, tj. </w:t>
      </w:r>
      <w:r w:rsidR="00034EDB" w:rsidRPr="00F95812">
        <w:rPr>
          <w:rFonts w:eastAsiaTheme="minorHAnsi"/>
          <w:color w:val="000000"/>
          <w:sz w:val="21"/>
          <w:szCs w:val="21"/>
          <w:lang w:val="en-US"/>
        </w:rPr>
        <w:t xml:space="preserve">Data Domain </w:t>
      </w:r>
      <w:proofErr w:type="spellStart"/>
      <w:r w:rsidR="00034EDB" w:rsidRPr="00F95812">
        <w:rPr>
          <w:rFonts w:eastAsiaTheme="minorHAnsi"/>
          <w:color w:val="000000"/>
          <w:sz w:val="21"/>
          <w:szCs w:val="21"/>
          <w:lang w:val="en-US"/>
        </w:rPr>
        <w:t>oraz</w:t>
      </w:r>
      <w:proofErr w:type="spellEnd"/>
      <w:r w:rsidR="00034EDB" w:rsidRPr="00F95812">
        <w:rPr>
          <w:rFonts w:eastAsiaTheme="minorHAnsi"/>
          <w:color w:val="000000"/>
          <w:sz w:val="21"/>
          <w:szCs w:val="21"/>
          <w:lang w:val="en-US"/>
        </w:rPr>
        <w:t xml:space="preserve"> Data Protection Suite for </w:t>
      </w:r>
      <w:proofErr w:type="spellStart"/>
      <w:r w:rsidR="00034EDB" w:rsidRPr="00F95812">
        <w:rPr>
          <w:rFonts w:eastAsiaTheme="minorHAnsi"/>
          <w:color w:val="000000"/>
          <w:sz w:val="21"/>
          <w:szCs w:val="21"/>
          <w:lang w:val="en-US"/>
        </w:rPr>
        <w:t>Vmware</w:t>
      </w:r>
      <w:proofErr w:type="spellEnd"/>
      <w:r w:rsidR="00034EDB" w:rsidRPr="00F95812">
        <w:rPr>
          <w:rFonts w:eastAsiaTheme="minorHAnsi"/>
          <w:color w:val="000000"/>
          <w:sz w:val="21"/>
          <w:szCs w:val="21"/>
          <w:lang w:val="en-US"/>
        </w:rPr>
        <w:t xml:space="preserve"> </w:t>
      </w:r>
      <w:proofErr w:type="spellStart"/>
      <w:r w:rsidR="00034EDB" w:rsidRPr="00F95812">
        <w:rPr>
          <w:rFonts w:eastAsiaTheme="minorHAnsi"/>
          <w:color w:val="000000"/>
          <w:sz w:val="21"/>
          <w:szCs w:val="21"/>
          <w:lang w:val="en-US"/>
        </w:rPr>
        <w:t>pochodzącymi</w:t>
      </w:r>
      <w:proofErr w:type="spellEnd"/>
      <w:r w:rsidR="00034EDB" w:rsidRPr="00F95812">
        <w:rPr>
          <w:rFonts w:eastAsiaTheme="minorHAnsi"/>
          <w:color w:val="000000"/>
          <w:sz w:val="21"/>
          <w:szCs w:val="21"/>
          <w:lang w:val="en-US"/>
        </w:rPr>
        <w:t xml:space="preserve"> od Dell Technologies</w:t>
      </w:r>
      <w:r w:rsidR="003A29D1">
        <w:rPr>
          <w:rFonts w:eastAsiaTheme="minorHAnsi"/>
          <w:color w:val="000000"/>
          <w:sz w:val="21"/>
          <w:szCs w:val="21"/>
          <w:lang w:val="en-US"/>
        </w:rPr>
        <w:t>.</w:t>
      </w:r>
    </w:p>
    <w:p w14:paraId="6788337A" w14:textId="0EE84549" w:rsidR="00A30111" w:rsidRPr="00CB0BBD" w:rsidRDefault="00536033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U</w:t>
      </w:r>
      <w:r w:rsidR="00902F5E" w:rsidRPr="00CB0BBD">
        <w:rPr>
          <w:rFonts w:eastAsiaTheme="minorHAnsi"/>
          <w:color w:val="000000"/>
          <w:sz w:val="21"/>
          <w:szCs w:val="21"/>
        </w:rPr>
        <w:t>rządzenia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 mus</w:t>
      </w:r>
      <w:r w:rsidR="00902F5E" w:rsidRPr="00CB0BBD">
        <w:rPr>
          <w:rFonts w:eastAsiaTheme="minorHAnsi"/>
          <w:color w:val="000000"/>
          <w:sz w:val="21"/>
          <w:szCs w:val="21"/>
        </w:rPr>
        <w:t>zą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 pochodzić z oficjalnego kanału sprzedaży </w:t>
      </w:r>
      <w:r w:rsidRPr="00CB0BBD">
        <w:rPr>
          <w:rFonts w:eastAsiaTheme="minorHAnsi"/>
          <w:color w:val="000000"/>
          <w:sz w:val="21"/>
          <w:szCs w:val="21"/>
        </w:rPr>
        <w:t xml:space="preserve">ich </w:t>
      </w:r>
      <w:r w:rsidR="00A30111" w:rsidRPr="00CB0BBD">
        <w:rPr>
          <w:rFonts w:eastAsiaTheme="minorHAnsi"/>
          <w:color w:val="000000"/>
          <w:sz w:val="21"/>
          <w:szCs w:val="21"/>
        </w:rPr>
        <w:t>producenta.</w:t>
      </w:r>
    </w:p>
    <w:p w14:paraId="04B0CA5C" w14:textId="7DFE8008" w:rsidR="0053019D" w:rsidRPr="00CB0BBD" w:rsidRDefault="0053019D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Urządzenia muszą być fabrycznie nowe tj. 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nieużywane i </w:t>
      </w:r>
      <w:r w:rsidRPr="00CB0BBD">
        <w:rPr>
          <w:rFonts w:eastAsiaTheme="minorHAnsi"/>
          <w:color w:val="000000"/>
          <w:sz w:val="21"/>
          <w:szCs w:val="21"/>
        </w:rPr>
        <w:t xml:space="preserve">wyprodukowane nie wcześniej niż 6 miesięcy przed </w:t>
      </w:r>
      <w:r w:rsidR="003E1FC2" w:rsidRPr="00CB0BBD">
        <w:rPr>
          <w:rFonts w:eastAsiaTheme="minorHAnsi"/>
          <w:color w:val="000000"/>
          <w:sz w:val="21"/>
          <w:szCs w:val="21"/>
        </w:rPr>
        <w:t xml:space="preserve">terminem </w:t>
      </w:r>
      <w:r w:rsidRPr="00CB0BBD">
        <w:rPr>
          <w:rFonts w:eastAsiaTheme="minorHAnsi"/>
          <w:color w:val="000000"/>
          <w:sz w:val="21"/>
          <w:szCs w:val="21"/>
        </w:rPr>
        <w:t>dostaw</w:t>
      </w:r>
      <w:r w:rsidR="003E1FC2" w:rsidRPr="00CB0BBD">
        <w:rPr>
          <w:rFonts w:eastAsiaTheme="minorHAnsi"/>
          <w:color w:val="000000"/>
          <w:sz w:val="21"/>
          <w:szCs w:val="21"/>
        </w:rPr>
        <w:t>y</w:t>
      </w:r>
      <w:r w:rsidRPr="00CB0BBD">
        <w:rPr>
          <w:rFonts w:eastAsiaTheme="minorHAnsi"/>
          <w:color w:val="000000"/>
          <w:sz w:val="21"/>
          <w:szCs w:val="21"/>
        </w:rPr>
        <w:t xml:space="preserve">, </w:t>
      </w:r>
      <w:r w:rsidR="00A30111" w:rsidRPr="00CB0BBD">
        <w:rPr>
          <w:rFonts w:eastAsiaTheme="minorHAnsi"/>
          <w:color w:val="000000"/>
          <w:sz w:val="21"/>
          <w:szCs w:val="21"/>
        </w:rPr>
        <w:t xml:space="preserve">kompletne, </w:t>
      </w:r>
      <w:r w:rsidRPr="00CB0BBD">
        <w:rPr>
          <w:rFonts w:eastAsiaTheme="minorHAnsi"/>
          <w:color w:val="000000"/>
          <w:sz w:val="21"/>
          <w:szCs w:val="21"/>
        </w:rPr>
        <w:t>wolne od wad,</w:t>
      </w:r>
      <w:r w:rsidR="00FC5509" w:rsidRPr="00CB0BBD">
        <w:rPr>
          <w:rFonts w:eastAsiaTheme="minorHAnsi"/>
          <w:color w:val="000000"/>
          <w:sz w:val="21"/>
          <w:szCs w:val="21"/>
        </w:rPr>
        <w:t xml:space="preserve"> </w:t>
      </w:r>
      <w:r w:rsidRPr="00CB0BBD">
        <w:rPr>
          <w:rFonts w:eastAsiaTheme="minorHAnsi"/>
          <w:color w:val="000000"/>
          <w:sz w:val="21"/>
          <w:szCs w:val="21"/>
        </w:rPr>
        <w:t>bez śladów używania i bez uszkodzeń</w:t>
      </w:r>
      <w:r w:rsidR="00A30111" w:rsidRPr="00CB0BBD">
        <w:rPr>
          <w:rFonts w:eastAsiaTheme="minorHAnsi"/>
          <w:color w:val="000000"/>
          <w:sz w:val="21"/>
          <w:szCs w:val="21"/>
        </w:rPr>
        <w:t>.</w:t>
      </w:r>
    </w:p>
    <w:p w14:paraId="7C10BF35" w14:textId="0F3149FD" w:rsidR="00A30111" w:rsidRPr="00CB0BBD" w:rsidRDefault="00FC5509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 xml:space="preserve">Urządzenia </w:t>
      </w:r>
      <w:r w:rsidR="00A30111" w:rsidRPr="00CB0BBD">
        <w:rPr>
          <w:sz w:val="21"/>
          <w:szCs w:val="21"/>
        </w:rPr>
        <w:t>muszą być</w:t>
      </w:r>
      <w:r w:rsidRPr="00CB0BBD">
        <w:rPr>
          <w:sz w:val="21"/>
          <w:szCs w:val="21"/>
        </w:rPr>
        <w:t xml:space="preserve"> oryginalne</w:t>
      </w:r>
      <w:r w:rsidR="00D1285A" w:rsidRPr="00CB0BBD">
        <w:rPr>
          <w:sz w:val="21"/>
          <w:szCs w:val="21"/>
        </w:rPr>
        <w:t xml:space="preserve">, </w:t>
      </w:r>
      <w:r w:rsidR="00536033" w:rsidRPr="00CB0BBD">
        <w:rPr>
          <w:sz w:val="21"/>
          <w:szCs w:val="21"/>
        </w:rPr>
        <w:t xml:space="preserve">przy czym pod pojęciem oryginalny należy rozumieć sprzęt dopuszczony do obrotu na terenie Rzeczpospolitej Polskiej, </w:t>
      </w:r>
      <w:r w:rsidR="00536033" w:rsidRPr="00CB0BBD">
        <w:rPr>
          <w:rFonts w:eastAsiaTheme="minorHAnsi"/>
          <w:color w:val="000000"/>
          <w:sz w:val="21"/>
          <w:szCs w:val="21"/>
        </w:rPr>
        <w:t>wprowadzony na rynek zgodnie z przepisami Ustawy o zużytym sprzęcie elektrycznym i elektronicznym z dnia 11 września 2015 r. (</w:t>
      </w:r>
      <w:proofErr w:type="spellStart"/>
      <w:r w:rsidR="00536033" w:rsidRPr="00CB0BBD">
        <w:rPr>
          <w:rFonts w:eastAsiaTheme="minorHAnsi"/>
          <w:color w:val="000000"/>
          <w:sz w:val="21"/>
          <w:szCs w:val="21"/>
        </w:rPr>
        <w:t>t.j</w:t>
      </w:r>
      <w:proofErr w:type="spellEnd"/>
      <w:r w:rsidR="00536033" w:rsidRPr="00CB0BBD">
        <w:rPr>
          <w:rFonts w:eastAsiaTheme="minorHAnsi"/>
          <w:color w:val="000000"/>
          <w:sz w:val="21"/>
          <w:szCs w:val="21"/>
        </w:rPr>
        <w:t xml:space="preserve">. Dz. U. z 2022 r. poz. 1622), </w:t>
      </w:r>
      <w:r w:rsidR="00536033" w:rsidRPr="00CB0BBD">
        <w:rPr>
          <w:sz w:val="21"/>
          <w:szCs w:val="21"/>
        </w:rPr>
        <w:t>posiadający wymagane prawem deklaracje zgodności, jak również instrukcje obsługi w języku polskim</w:t>
      </w:r>
      <w:r w:rsidRPr="00CB0BBD">
        <w:rPr>
          <w:sz w:val="21"/>
          <w:szCs w:val="21"/>
        </w:rPr>
        <w:t>.</w:t>
      </w:r>
    </w:p>
    <w:p w14:paraId="2F87B53E" w14:textId="7BFA632C" w:rsidR="00FC5509" w:rsidRPr="00CB0BBD" w:rsidRDefault="00A0013C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W chwili dostarczenia (do czasu rozpakowania na potrzeby montażu), Urządzenia muszą znajdować się w opakowaniach fabrycznych zabezpieczających przed uszkodzeniem w trakcie transportu i składowania, posiadać zabezpieczenia (o ile zostały zastosowane przez producenta), oznaczenie CE oraz znaki identyfikujące U</w:t>
      </w:r>
      <w:r w:rsidRPr="00CB0BBD">
        <w:rPr>
          <w:rFonts w:eastAsiaTheme="minorHAnsi"/>
          <w:color w:val="000000"/>
          <w:sz w:val="21"/>
          <w:szCs w:val="21"/>
        </w:rPr>
        <w:t>rządzenia</w:t>
      </w:r>
      <w:r w:rsidRPr="00CB0BBD">
        <w:rPr>
          <w:sz w:val="21"/>
          <w:szCs w:val="21"/>
        </w:rPr>
        <w:t>, a w szczególności znak towarowy lub markę producenta Urządzeń</w:t>
      </w:r>
      <w:r w:rsidR="00FC5509" w:rsidRPr="00CB0BBD">
        <w:rPr>
          <w:sz w:val="21"/>
          <w:szCs w:val="21"/>
        </w:rPr>
        <w:t>.</w:t>
      </w:r>
    </w:p>
    <w:p w14:paraId="0CB74043" w14:textId="631CAB48" w:rsidR="00F36D33" w:rsidRPr="00F95812" w:rsidRDefault="00D7626F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Realizacja zamówienia nie może spowodować utraty gwarancji udzielonych na </w:t>
      </w:r>
      <w:r w:rsidR="00A33812" w:rsidRPr="00CB0BBD">
        <w:rPr>
          <w:sz w:val="21"/>
          <w:szCs w:val="21"/>
          <w:lang w:eastAsia="pl-PL"/>
        </w:rPr>
        <w:t xml:space="preserve">środowisko kopii zapasowych </w:t>
      </w:r>
      <w:r w:rsidR="00E03124" w:rsidRPr="00CB0BBD">
        <w:rPr>
          <w:sz w:val="21"/>
          <w:szCs w:val="21"/>
          <w:lang w:eastAsia="pl-PL"/>
        </w:rPr>
        <w:t xml:space="preserve">aktualnie eksploatowane przez Zamawiającego </w:t>
      </w:r>
      <w:r w:rsidR="00A33812" w:rsidRPr="00CB0BBD">
        <w:rPr>
          <w:sz w:val="21"/>
          <w:szCs w:val="21"/>
          <w:lang w:eastAsia="pl-PL"/>
        </w:rPr>
        <w:t>(infrastrukturę, w tym dyski i inne podzespoły, oraz oprogramowanie sprzętowe)</w:t>
      </w:r>
      <w:r w:rsidRPr="00CB0BBD">
        <w:rPr>
          <w:rFonts w:eastAsiaTheme="minorHAnsi"/>
          <w:color w:val="000000"/>
          <w:sz w:val="21"/>
          <w:szCs w:val="21"/>
        </w:rPr>
        <w:t>. Konsekwentnie, Wykonawca zobowiązany jest przy realizacji zamówienia przestrzegać zasad i ograniczeń, wynikających z</w:t>
      </w:r>
      <w:r w:rsidR="003A29D1">
        <w:rPr>
          <w:rFonts w:eastAsiaTheme="minorHAnsi"/>
          <w:color w:val="000000"/>
          <w:sz w:val="21"/>
          <w:szCs w:val="21"/>
        </w:rPr>
        <w:t xml:space="preserve"> </w:t>
      </w:r>
      <w:r w:rsidR="0085343D" w:rsidRPr="00F95812">
        <w:rPr>
          <w:rFonts w:eastAsiaTheme="minorHAnsi"/>
          <w:color w:val="000000"/>
          <w:sz w:val="21"/>
          <w:szCs w:val="21"/>
        </w:rPr>
        <w:t xml:space="preserve">warunków gwarancyjnych </w:t>
      </w:r>
      <w:r w:rsidR="0053118F" w:rsidRPr="00F95812">
        <w:rPr>
          <w:rFonts w:eastAsiaTheme="minorHAnsi"/>
          <w:color w:val="000000"/>
          <w:sz w:val="21"/>
          <w:szCs w:val="21"/>
        </w:rPr>
        <w:t xml:space="preserve">dotyczących sprzętu i oprogramowania opublikowanych przez producenta </w:t>
      </w:r>
      <w:r w:rsidR="00A33812" w:rsidRPr="00F95812">
        <w:rPr>
          <w:rFonts w:eastAsiaTheme="minorHAnsi"/>
          <w:color w:val="000000"/>
          <w:sz w:val="21"/>
          <w:szCs w:val="21"/>
        </w:rPr>
        <w:t>środowiska kopii zapasowych</w:t>
      </w:r>
      <w:r w:rsidR="0053118F" w:rsidRPr="00F95812">
        <w:rPr>
          <w:rFonts w:eastAsiaTheme="minorHAnsi"/>
          <w:color w:val="000000"/>
          <w:sz w:val="21"/>
          <w:szCs w:val="21"/>
        </w:rPr>
        <w:t xml:space="preserve"> aktualnie pod adresem</w:t>
      </w:r>
      <w:r w:rsidR="0085343D" w:rsidRPr="00F95812">
        <w:rPr>
          <w:rFonts w:eastAsiaTheme="minorHAnsi"/>
          <w:color w:val="000000"/>
          <w:sz w:val="21"/>
          <w:szCs w:val="21"/>
        </w:rPr>
        <w:t xml:space="preserve"> </w:t>
      </w:r>
      <w:hyperlink r:id="rId8" w:history="1">
        <w:r w:rsidR="000C10F2" w:rsidRPr="003A29D1">
          <w:rPr>
            <w:rStyle w:val="Hipercze"/>
            <w:sz w:val="21"/>
            <w:szCs w:val="21"/>
          </w:rPr>
          <w:t>https://www.dell.com/support/contents/pl-pl/article/warranty/dell-emc-warranty</w:t>
        </w:r>
      </w:hyperlink>
      <w:r w:rsidR="000C10F2" w:rsidRPr="00F95812">
        <w:rPr>
          <w:sz w:val="21"/>
          <w:szCs w:val="21"/>
        </w:rPr>
        <w:t xml:space="preserve"> </w:t>
      </w:r>
    </w:p>
    <w:p w14:paraId="21D02756" w14:textId="11096399" w:rsidR="00445586" w:rsidRPr="00CB0BBD" w:rsidRDefault="00E26B37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zapewni, aby Urządzenia oraz sposób ich montażu, spełniały wymogi bezpieczeństwa określone przez przepisy Unii Europejskiej dotyczące bezpieczeństwa określonego produktu (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Conformité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 xml:space="preserve"> 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Européenne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>) oraz szczegółowe wymagania dotyczące bezpieczeństwa produktu określone przepisami polskimi, a w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</w:t>
      </w:r>
      <w:r w:rsidR="00445586" w:rsidRPr="00CB0BBD">
        <w:rPr>
          <w:rFonts w:eastAsiaTheme="minorHAnsi"/>
          <w:color w:val="000000"/>
          <w:sz w:val="21"/>
          <w:szCs w:val="21"/>
        </w:rPr>
        <w:t>.</w:t>
      </w:r>
    </w:p>
    <w:p w14:paraId="2B5833DE" w14:textId="7723EB79" w:rsidR="00B97686" w:rsidRPr="00CB0BBD" w:rsidRDefault="00312C8F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 ramach </w:t>
      </w:r>
      <w:r w:rsidR="00E26B37" w:rsidRPr="00CB0BBD">
        <w:rPr>
          <w:rFonts w:eastAsiaTheme="minorHAnsi"/>
          <w:color w:val="000000"/>
          <w:sz w:val="21"/>
          <w:szCs w:val="21"/>
        </w:rPr>
        <w:t>dostawy Urządzeń</w:t>
      </w:r>
      <w:r w:rsidRPr="00CB0BBD">
        <w:rPr>
          <w:rFonts w:eastAsiaTheme="minorHAnsi"/>
          <w:color w:val="000000"/>
          <w:sz w:val="21"/>
          <w:szCs w:val="21"/>
        </w:rPr>
        <w:t>, Wykonawca</w:t>
      </w:r>
      <w:r w:rsidR="00012721" w:rsidRPr="00CB0BBD">
        <w:rPr>
          <w:rFonts w:eastAsiaTheme="minorHAnsi"/>
          <w:color w:val="000000"/>
          <w:sz w:val="21"/>
          <w:szCs w:val="21"/>
        </w:rPr>
        <w:t xml:space="preserve"> wykona</w:t>
      </w:r>
      <w:r w:rsidR="00B97686" w:rsidRPr="00CB0BBD">
        <w:rPr>
          <w:rFonts w:eastAsiaTheme="minorHAnsi"/>
          <w:color w:val="000000"/>
          <w:sz w:val="21"/>
          <w:szCs w:val="21"/>
        </w:rPr>
        <w:t>:</w:t>
      </w:r>
    </w:p>
    <w:p w14:paraId="0F300D27" w14:textId="0B1D645D" w:rsidR="00AD5536" w:rsidRPr="00CB0BBD" w:rsidRDefault="008E1D4F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bookmarkStart w:id="0" w:name="_Hlk113287944"/>
      <w:r w:rsidRPr="00CB0BBD">
        <w:rPr>
          <w:rFonts w:eastAsiaTheme="minorHAnsi"/>
          <w:color w:val="000000"/>
          <w:sz w:val="21"/>
          <w:szCs w:val="21"/>
        </w:rPr>
        <w:t xml:space="preserve">montaż </w:t>
      </w:r>
      <w:r w:rsidR="00143071">
        <w:rPr>
          <w:rFonts w:eastAsiaTheme="minorHAnsi"/>
          <w:color w:val="000000"/>
          <w:sz w:val="21"/>
          <w:szCs w:val="21"/>
        </w:rPr>
        <w:t>U</w:t>
      </w:r>
      <w:r w:rsidR="00F56DF7" w:rsidRPr="00CB0BBD">
        <w:rPr>
          <w:rFonts w:eastAsiaTheme="minorHAnsi"/>
          <w:color w:val="000000"/>
          <w:sz w:val="21"/>
          <w:szCs w:val="21"/>
        </w:rPr>
        <w:t>rządzeń</w:t>
      </w:r>
      <w:r w:rsidR="001A2AED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CE36CC" w:rsidRPr="00CB0BBD">
        <w:rPr>
          <w:rFonts w:eastAsiaTheme="minorHAnsi"/>
          <w:color w:val="000000"/>
          <w:sz w:val="21"/>
          <w:szCs w:val="21"/>
        </w:rPr>
        <w:t>zgodnie z ustaleniami w trybie roboczym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3E129AFD" w14:textId="7BA2FD07" w:rsidR="00AD5536" w:rsidRPr="00CB0BBD" w:rsidRDefault="00012721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montaż (</w:t>
      </w:r>
      <w:r w:rsidR="00B97686" w:rsidRPr="00CB0BBD">
        <w:rPr>
          <w:rFonts w:eastAsiaTheme="minorHAnsi"/>
          <w:color w:val="000000"/>
          <w:sz w:val="21"/>
          <w:szCs w:val="21"/>
        </w:rPr>
        <w:t>instalację fizyczną</w:t>
      </w:r>
      <w:r w:rsidRPr="00CB0BBD">
        <w:rPr>
          <w:rFonts w:eastAsiaTheme="minorHAnsi"/>
          <w:color w:val="000000"/>
          <w:sz w:val="21"/>
          <w:szCs w:val="21"/>
        </w:rPr>
        <w:t>)</w:t>
      </w:r>
      <w:r w:rsidR="00B97686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1A2AED" w:rsidRPr="00CB0BBD">
        <w:rPr>
          <w:rFonts w:eastAsiaTheme="minorHAnsi"/>
          <w:color w:val="000000"/>
          <w:sz w:val="21"/>
          <w:szCs w:val="21"/>
        </w:rPr>
        <w:t xml:space="preserve">w </w:t>
      </w:r>
      <w:r w:rsidR="00F93E90" w:rsidRPr="00CB0BBD">
        <w:rPr>
          <w:rFonts w:eastAsiaTheme="minorHAnsi"/>
          <w:color w:val="000000"/>
          <w:sz w:val="21"/>
          <w:szCs w:val="21"/>
        </w:rPr>
        <w:t>szafach RACK</w:t>
      </w:r>
      <w:r w:rsidR="00367EA5" w:rsidRPr="00CB0BBD">
        <w:rPr>
          <w:rFonts w:eastAsiaTheme="minorHAnsi"/>
          <w:color w:val="000000"/>
          <w:sz w:val="21"/>
          <w:szCs w:val="21"/>
        </w:rPr>
        <w:t xml:space="preserve"> zgodnie z ustaleniami w trybie roboczym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78F131CB" w14:textId="01A00BB8" w:rsidR="00646E63" w:rsidRPr="00CB0BBD" w:rsidRDefault="00646E63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aktywację </w:t>
      </w:r>
      <w:r w:rsidR="009E35AB">
        <w:rPr>
          <w:rFonts w:eastAsiaTheme="minorHAnsi"/>
          <w:color w:val="000000"/>
          <w:sz w:val="21"/>
          <w:szCs w:val="21"/>
        </w:rPr>
        <w:t>o</w:t>
      </w:r>
      <w:r w:rsidRPr="00CB0BBD">
        <w:rPr>
          <w:rFonts w:eastAsiaTheme="minorHAnsi"/>
          <w:color w:val="000000"/>
          <w:sz w:val="21"/>
          <w:szCs w:val="21"/>
        </w:rPr>
        <w:t>programowania</w:t>
      </w:r>
      <w:r w:rsidR="00A12E12">
        <w:rPr>
          <w:rFonts w:eastAsiaTheme="minorHAnsi"/>
          <w:color w:val="000000"/>
          <w:sz w:val="21"/>
          <w:szCs w:val="21"/>
        </w:rPr>
        <w:t xml:space="preserve"> </w:t>
      </w:r>
      <w:r w:rsidR="003A29D1" w:rsidRPr="00731983">
        <w:rPr>
          <w:rFonts w:eastAsiaTheme="minorHAnsi"/>
          <w:color w:val="000000"/>
          <w:sz w:val="21"/>
          <w:szCs w:val="21"/>
        </w:rPr>
        <w:t>układowe</w:t>
      </w:r>
      <w:r w:rsidR="003A29D1">
        <w:rPr>
          <w:rFonts w:eastAsiaTheme="minorHAnsi"/>
          <w:color w:val="000000"/>
          <w:sz w:val="21"/>
          <w:szCs w:val="21"/>
        </w:rPr>
        <w:t>go</w:t>
      </w:r>
      <w:r w:rsidR="003A29D1" w:rsidRPr="00731983">
        <w:rPr>
          <w:rFonts w:eastAsiaTheme="minorHAnsi"/>
          <w:color w:val="000000"/>
          <w:sz w:val="21"/>
          <w:szCs w:val="21"/>
        </w:rPr>
        <w:t xml:space="preserve"> (ang. </w:t>
      </w:r>
      <w:proofErr w:type="spellStart"/>
      <w:r w:rsidR="003A29D1" w:rsidRPr="00731983">
        <w:rPr>
          <w:rFonts w:eastAsiaTheme="minorHAnsi"/>
          <w:color w:val="000000"/>
          <w:sz w:val="21"/>
          <w:szCs w:val="21"/>
        </w:rPr>
        <w:t>firmware</w:t>
      </w:r>
      <w:proofErr w:type="spellEnd"/>
      <w:r w:rsidR="003A29D1" w:rsidRPr="00731983">
        <w:rPr>
          <w:rFonts w:eastAsiaTheme="minorHAnsi"/>
          <w:color w:val="000000"/>
          <w:sz w:val="21"/>
          <w:szCs w:val="21"/>
        </w:rPr>
        <w:t xml:space="preserve">) </w:t>
      </w:r>
      <w:r w:rsidR="003A29D1">
        <w:rPr>
          <w:rFonts w:eastAsiaTheme="minorHAnsi"/>
          <w:color w:val="000000"/>
          <w:sz w:val="21"/>
          <w:szCs w:val="21"/>
        </w:rPr>
        <w:t>i</w:t>
      </w:r>
      <w:r w:rsidR="003A29D1" w:rsidRPr="00731983">
        <w:rPr>
          <w:rFonts w:eastAsiaTheme="minorHAnsi"/>
          <w:color w:val="000000"/>
          <w:sz w:val="21"/>
          <w:szCs w:val="21"/>
        </w:rPr>
        <w:t xml:space="preserve"> narzędziowe</w:t>
      </w:r>
      <w:r w:rsidR="003A29D1">
        <w:rPr>
          <w:rFonts w:eastAsiaTheme="minorHAnsi"/>
          <w:color w:val="000000"/>
          <w:sz w:val="21"/>
          <w:szCs w:val="21"/>
        </w:rPr>
        <w:t>go</w:t>
      </w:r>
      <w:r w:rsidR="003A29D1" w:rsidRPr="00731983">
        <w:rPr>
          <w:rFonts w:eastAsiaTheme="minorHAnsi"/>
          <w:color w:val="000000"/>
          <w:sz w:val="21"/>
          <w:szCs w:val="21"/>
        </w:rPr>
        <w:t xml:space="preserve"> </w:t>
      </w:r>
      <w:r w:rsidR="00A12E12">
        <w:rPr>
          <w:rFonts w:eastAsiaTheme="minorHAnsi"/>
          <w:color w:val="000000"/>
          <w:sz w:val="21"/>
          <w:szCs w:val="21"/>
        </w:rPr>
        <w:t>(o ile okaże się wskazana)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3A2CDD4F" w14:textId="59BCB790" w:rsidR="00C85A22" w:rsidRPr="00CB0BBD" w:rsidRDefault="00C85A22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uruchomienie </w:t>
      </w:r>
      <w:r w:rsidR="00361D99" w:rsidRPr="00CB0BBD">
        <w:rPr>
          <w:rFonts w:eastAsiaTheme="minorHAnsi"/>
          <w:color w:val="000000"/>
          <w:sz w:val="21"/>
          <w:szCs w:val="21"/>
        </w:rPr>
        <w:t>środowiska</w:t>
      </w:r>
      <w:r w:rsidR="00AC3A78" w:rsidRPr="00CB0BBD">
        <w:rPr>
          <w:rFonts w:eastAsiaTheme="minorHAnsi"/>
          <w:color w:val="000000"/>
          <w:sz w:val="21"/>
          <w:szCs w:val="21"/>
        </w:rPr>
        <w:t xml:space="preserve"> po </w:t>
      </w:r>
      <w:r w:rsidR="00361D99" w:rsidRPr="00CB0BBD">
        <w:rPr>
          <w:rFonts w:eastAsiaTheme="minorHAnsi"/>
          <w:color w:val="000000"/>
          <w:sz w:val="21"/>
          <w:szCs w:val="21"/>
        </w:rPr>
        <w:t>modernizacji</w:t>
      </w:r>
      <w:r w:rsidRPr="00CB0BBD">
        <w:rPr>
          <w:rFonts w:eastAsiaTheme="minorHAnsi"/>
          <w:color w:val="000000"/>
          <w:sz w:val="21"/>
          <w:szCs w:val="21"/>
        </w:rPr>
        <w:t>;</w:t>
      </w:r>
    </w:p>
    <w:p w14:paraId="3F3AD240" w14:textId="2460ECD4" w:rsidR="00B97686" w:rsidRPr="00CB0BBD" w:rsidRDefault="00B97686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lastRenderedPageBreak/>
        <w:t xml:space="preserve">konfigurację </w:t>
      </w:r>
      <w:r w:rsidR="0060169D" w:rsidRPr="00CB0BBD">
        <w:rPr>
          <w:rFonts w:eastAsiaTheme="minorHAnsi"/>
          <w:color w:val="000000"/>
          <w:sz w:val="21"/>
          <w:szCs w:val="21"/>
        </w:rPr>
        <w:t>sprzętowo-systemową</w:t>
      </w:r>
      <w:r w:rsidR="00C85A22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E642E3" w:rsidRPr="00CB0BBD">
        <w:rPr>
          <w:rFonts w:eastAsiaTheme="minorHAnsi"/>
          <w:color w:val="000000"/>
          <w:sz w:val="21"/>
          <w:szCs w:val="21"/>
        </w:rPr>
        <w:t xml:space="preserve">środowiska kopii zapasowych </w:t>
      </w:r>
      <w:r w:rsidR="00C85A22" w:rsidRPr="00CB0BBD">
        <w:rPr>
          <w:rFonts w:eastAsiaTheme="minorHAnsi"/>
          <w:color w:val="000000"/>
          <w:sz w:val="21"/>
          <w:szCs w:val="21"/>
        </w:rPr>
        <w:t xml:space="preserve">po </w:t>
      </w:r>
      <w:bookmarkEnd w:id="0"/>
      <w:r w:rsidR="00361D99" w:rsidRPr="00CB0BBD">
        <w:rPr>
          <w:rFonts w:eastAsiaTheme="minorHAnsi"/>
          <w:color w:val="000000"/>
          <w:sz w:val="21"/>
          <w:szCs w:val="21"/>
        </w:rPr>
        <w:t>modernizacji</w:t>
      </w:r>
      <w:r w:rsidR="00707359" w:rsidRPr="00CB0BBD">
        <w:rPr>
          <w:rFonts w:eastAsiaTheme="minorHAnsi"/>
          <w:color w:val="000000"/>
          <w:sz w:val="21"/>
          <w:szCs w:val="21"/>
        </w:rPr>
        <w:t xml:space="preserve"> (o ile okaże się wskazana)</w:t>
      </w:r>
      <w:r w:rsidR="00A252E7" w:rsidRPr="00CB0BBD">
        <w:rPr>
          <w:rFonts w:eastAsiaTheme="minorHAnsi"/>
          <w:color w:val="000000"/>
          <w:sz w:val="21"/>
          <w:szCs w:val="21"/>
        </w:rPr>
        <w:t>;</w:t>
      </w:r>
    </w:p>
    <w:p w14:paraId="5BEF42FC" w14:textId="0CCB174D" w:rsidR="00012721" w:rsidRPr="00CB0BBD" w:rsidRDefault="00012721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dokumentację powdrożeniową</w:t>
      </w:r>
      <w:r w:rsidR="00AD5536" w:rsidRPr="00CB0BBD">
        <w:rPr>
          <w:rFonts w:eastAsiaTheme="minorHAnsi"/>
          <w:color w:val="000000"/>
          <w:sz w:val="21"/>
          <w:szCs w:val="21"/>
        </w:rPr>
        <w:t>, zawierającą co najmniej następujące informacje:</w:t>
      </w:r>
    </w:p>
    <w:p w14:paraId="71E25A66" w14:textId="11DD07CA" w:rsidR="0008522F" w:rsidRPr="00CB0BBD" w:rsidRDefault="008E1D4F" w:rsidP="00F95812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before="60" w:after="60" w:line="259" w:lineRule="auto"/>
        <w:ind w:left="1843" w:hanging="862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k</w:t>
      </w:r>
      <w:r w:rsidR="0008522F" w:rsidRPr="00CB0BBD">
        <w:rPr>
          <w:rFonts w:eastAsiaTheme="minorHAnsi"/>
          <w:color w:val="000000"/>
          <w:sz w:val="21"/>
          <w:szCs w:val="21"/>
        </w:rPr>
        <w:t xml:space="preserve">onfiguracja </w:t>
      </w:r>
      <w:r w:rsidR="00E642E3" w:rsidRPr="00CB0BBD">
        <w:rPr>
          <w:rFonts w:eastAsiaTheme="minorHAnsi"/>
          <w:color w:val="000000"/>
          <w:sz w:val="21"/>
          <w:szCs w:val="21"/>
        </w:rPr>
        <w:t xml:space="preserve">środowiska kopii zapasowych przed </w:t>
      </w:r>
      <w:r w:rsidR="000B3807" w:rsidRPr="00CB0BBD">
        <w:rPr>
          <w:rFonts w:eastAsiaTheme="minorHAnsi"/>
          <w:color w:val="000000"/>
          <w:sz w:val="21"/>
          <w:szCs w:val="21"/>
        </w:rPr>
        <w:t xml:space="preserve">i po </w:t>
      </w:r>
      <w:r w:rsidR="00E642E3" w:rsidRPr="00CB0BBD">
        <w:rPr>
          <w:rFonts w:eastAsiaTheme="minorHAnsi"/>
          <w:color w:val="000000"/>
          <w:sz w:val="21"/>
          <w:szCs w:val="21"/>
        </w:rPr>
        <w:t>rozbudow</w:t>
      </w:r>
      <w:r w:rsidR="000B3807" w:rsidRPr="00CB0BBD">
        <w:rPr>
          <w:rFonts w:eastAsiaTheme="minorHAnsi"/>
          <w:color w:val="000000"/>
          <w:sz w:val="21"/>
          <w:szCs w:val="21"/>
        </w:rPr>
        <w:t>ie</w:t>
      </w:r>
      <w:r w:rsidR="008B7396" w:rsidRPr="00CB0BBD">
        <w:rPr>
          <w:rFonts w:eastAsiaTheme="minorHAnsi"/>
          <w:color w:val="000000"/>
          <w:sz w:val="21"/>
          <w:szCs w:val="21"/>
        </w:rPr>
        <w:t>.</w:t>
      </w:r>
    </w:p>
    <w:p w14:paraId="3BAEDB82" w14:textId="6582C33F" w:rsidR="00B97686" w:rsidRPr="00CB0BBD" w:rsidRDefault="00B97686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Prace</w:t>
      </w:r>
      <w:r w:rsidR="00312C8F" w:rsidRPr="00CB0BBD">
        <w:rPr>
          <w:rFonts w:eastAsiaTheme="minorHAnsi"/>
          <w:color w:val="000000"/>
          <w:sz w:val="21"/>
          <w:szCs w:val="21"/>
        </w:rPr>
        <w:t>, o których mowa w pkt 1.</w:t>
      </w:r>
      <w:r w:rsidR="00E8786E" w:rsidRPr="00CB0BBD">
        <w:rPr>
          <w:rFonts w:eastAsiaTheme="minorHAnsi"/>
          <w:color w:val="000000"/>
          <w:sz w:val="21"/>
          <w:szCs w:val="21"/>
        </w:rPr>
        <w:t>8</w:t>
      </w:r>
      <w:r w:rsidR="00FB30EB" w:rsidRPr="00CB0BBD">
        <w:rPr>
          <w:rFonts w:eastAsiaTheme="minorHAnsi"/>
          <w:color w:val="000000"/>
          <w:sz w:val="21"/>
          <w:szCs w:val="21"/>
        </w:rPr>
        <w:t>,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 </w:t>
      </w:r>
      <w:r w:rsidRPr="00CB0BBD">
        <w:rPr>
          <w:rFonts w:eastAsiaTheme="minorHAnsi"/>
          <w:color w:val="000000"/>
          <w:sz w:val="21"/>
          <w:szCs w:val="21"/>
        </w:rPr>
        <w:t xml:space="preserve">muszą </w:t>
      </w:r>
      <w:r w:rsidR="00012721" w:rsidRPr="00CB0BBD">
        <w:rPr>
          <w:rFonts w:eastAsiaTheme="minorHAnsi"/>
          <w:color w:val="000000"/>
          <w:sz w:val="21"/>
          <w:szCs w:val="21"/>
        </w:rPr>
        <w:t xml:space="preserve">zostać przeprowadzone 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zgodnie z zasadami sztuki, </w:t>
      </w:r>
      <w:r w:rsidR="00CC201D" w:rsidRPr="00CB0BBD">
        <w:rPr>
          <w:rFonts w:eastAsiaTheme="minorHAnsi"/>
          <w:color w:val="000000"/>
          <w:sz w:val="21"/>
          <w:szCs w:val="21"/>
        </w:rPr>
        <w:t xml:space="preserve">zgodnie z wytycznymi wynikającymi z zawartych przez Zamawiającego umów serwisowych dotyczących </w:t>
      </w:r>
      <w:r w:rsidR="00E07251" w:rsidRPr="00CB0BBD">
        <w:rPr>
          <w:rFonts w:eastAsiaTheme="minorHAnsi"/>
          <w:color w:val="000000"/>
          <w:sz w:val="21"/>
          <w:szCs w:val="21"/>
        </w:rPr>
        <w:t xml:space="preserve">eksploatowanego </w:t>
      </w:r>
      <w:r w:rsidR="00CC201D" w:rsidRPr="00CB0BBD">
        <w:rPr>
          <w:rFonts w:eastAsiaTheme="minorHAnsi"/>
          <w:color w:val="000000"/>
          <w:sz w:val="21"/>
          <w:szCs w:val="21"/>
        </w:rPr>
        <w:t xml:space="preserve">sprzętu, a przy tym </w:t>
      </w:r>
      <w:r w:rsidRPr="00CB0BBD">
        <w:rPr>
          <w:rFonts w:eastAsiaTheme="minorHAnsi"/>
          <w:color w:val="000000"/>
          <w:sz w:val="21"/>
          <w:szCs w:val="21"/>
        </w:rPr>
        <w:t xml:space="preserve">w sposób bezpieczny, niezagrażający utracie danych i gwarantujący </w:t>
      </w:r>
      <w:r w:rsidR="00FD30E2" w:rsidRPr="00CB0BBD">
        <w:rPr>
          <w:rFonts w:eastAsiaTheme="minorHAnsi"/>
          <w:color w:val="000000"/>
          <w:sz w:val="21"/>
          <w:szCs w:val="21"/>
        </w:rPr>
        <w:t>nieprzerwane</w:t>
      </w:r>
      <w:r w:rsidRPr="00CB0BBD">
        <w:rPr>
          <w:rFonts w:eastAsiaTheme="minorHAnsi"/>
          <w:color w:val="000000"/>
          <w:sz w:val="21"/>
          <w:szCs w:val="21"/>
        </w:rPr>
        <w:t xml:space="preserve"> funkcjonowani</w:t>
      </w:r>
      <w:r w:rsidR="00FD30E2" w:rsidRPr="00CB0BBD">
        <w:rPr>
          <w:rFonts w:eastAsiaTheme="minorHAnsi"/>
          <w:color w:val="000000"/>
          <w:sz w:val="21"/>
          <w:szCs w:val="21"/>
        </w:rPr>
        <w:t>e</w:t>
      </w:r>
      <w:r w:rsidRPr="00CB0BBD">
        <w:rPr>
          <w:rFonts w:eastAsiaTheme="minorHAnsi"/>
          <w:color w:val="000000"/>
          <w:sz w:val="21"/>
          <w:szCs w:val="21"/>
        </w:rPr>
        <w:t xml:space="preserve"> systemu </w:t>
      </w:r>
      <w:r w:rsidR="00FD30E2" w:rsidRPr="00CB0BBD">
        <w:rPr>
          <w:rFonts w:eastAsiaTheme="minorHAnsi"/>
          <w:color w:val="000000"/>
          <w:sz w:val="21"/>
          <w:szCs w:val="21"/>
        </w:rPr>
        <w:t xml:space="preserve">(nieustanna </w:t>
      </w:r>
      <w:r w:rsidRPr="00CB0BBD">
        <w:rPr>
          <w:rFonts w:eastAsiaTheme="minorHAnsi"/>
          <w:color w:val="000000"/>
          <w:sz w:val="21"/>
          <w:szCs w:val="21"/>
        </w:rPr>
        <w:t>prac</w:t>
      </w:r>
      <w:r w:rsidR="00FD30E2" w:rsidRPr="00CB0BBD">
        <w:rPr>
          <w:rFonts w:eastAsiaTheme="minorHAnsi"/>
          <w:color w:val="000000"/>
          <w:sz w:val="21"/>
          <w:szCs w:val="21"/>
        </w:rPr>
        <w:t>a</w:t>
      </w:r>
      <w:r w:rsidRPr="00CB0BBD">
        <w:rPr>
          <w:rFonts w:eastAsiaTheme="minorHAnsi"/>
          <w:color w:val="000000"/>
          <w:sz w:val="21"/>
          <w:szCs w:val="21"/>
        </w:rPr>
        <w:t xml:space="preserve"> w trybie biznesowym</w:t>
      </w:r>
      <w:r w:rsidR="00FD30E2" w:rsidRPr="00CB0BBD">
        <w:rPr>
          <w:rFonts w:eastAsiaTheme="minorHAnsi"/>
          <w:color w:val="000000"/>
          <w:sz w:val="21"/>
          <w:szCs w:val="21"/>
        </w:rPr>
        <w:t>)</w:t>
      </w:r>
      <w:r w:rsidRPr="00CB0BBD">
        <w:rPr>
          <w:rFonts w:eastAsiaTheme="minorHAnsi"/>
          <w:color w:val="000000"/>
          <w:sz w:val="21"/>
          <w:szCs w:val="21"/>
        </w:rPr>
        <w:t xml:space="preserve">. </w:t>
      </w:r>
      <w:r w:rsidR="00871F91" w:rsidRPr="00CB0BBD">
        <w:rPr>
          <w:rFonts w:eastAsiaTheme="minorHAnsi"/>
          <w:color w:val="000000"/>
          <w:sz w:val="21"/>
          <w:szCs w:val="21"/>
        </w:rPr>
        <w:t>Dokładny przebieg realizacji tych zadań wymaga uzgodnienia z Zamawiającym.</w:t>
      </w:r>
    </w:p>
    <w:p w14:paraId="58879FA1" w14:textId="3DF52286" w:rsidR="00F1368A" w:rsidRPr="00CB0BBD" w:rsidRDefault="00692EB8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Montaż (i</w:t>
      </w:r>
      <w:r w:rsidR="00F1368A" w:rsidRPr="00CB0BBD">
        <w:rPr>
          <w:rFonts w:eastAsiaTheme="minorHAnsi"/>
          <w:color w:val="000000"/>
          <w:sz w:val="21"/>
          <w:szCs w:val="21"/>
        </w:rPr>
        <w:t xml:space="preserve">nstalacja </w:t>
      </w:r>
      <w:r w:rsidRPr="00CB0BBD">
        <w:rPr>
          <w:rFonts w:eastAsiaTheme="minorHAnsi"/>
          <w:color w:val="000000"/>
          <w:sz w:val="21"/>
          <w:szCs w:val="21"/>
        </w:rPr>
        <w:t xml:space="preserve">fizyczna), uruchomienie 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i konfiguracja </w:t>
      </w:r>
      <w:r w:rsidR="00871F91" w:rsidRPr="00CB0BBD">
        <w:rPr>
          <w:rFonts w:eastAsiaTheme="minorHAnsi"/>
          <w:color w:val="000000"/>
          <w:sz w:val="21"/>
          <w:szCs w:val="21"/>
        </w:rPr>
        <w:t xml:space="preserve">muszą zostać wykonane </w:t>
      </w:r>
      <w:r w:rsidR="00F1368A" w:rsidRPr="00CB0BBD">
        <w:rPr>
          <w:rFonts w:eastAsiaTheme="minorHAnsi"/>
          <w:color w:val="000000"/>
          <w:sz w:val="21"/>
          <w:szCs w:val="21"/>
        </w:rPr>
        <w:t xml:space="preserve">zgodnie z rekomendacjami producenta </w:t>
      </w:r>
      <w:r w:rsidR="00EB702C" w:rsidRPr="00CB0BBD">
        <w:rPr>
          <w:rFonts w:eastAsiaTheme="minorHAnsi"/>
          <w:color w:val="000000"/>
          <w:sz w:val="21"/>
          <w:szCs w:val="21"/>
        </w:rPr>
        <w:t xml:space="preserve">środowiska kopii zapasowych Dell Technologies </w:t>
      </w:r>
      <w:r w:rsidR="00871F91" w:rsidRPr="00CB0BBD">
        <w:rPr>
          <w:rFonts w:eastAsiaTheme="minorHAnsi"/>
          <w:color w:val="000000"/>
          <w:sz w:val="21"/>
          <w:szCs w:val="21"/>
        </w:rPr>
        <w:t>posiadane</w:t>
      </w:r>
      <w:r w:rsidR="00EB702C" w:rsidRPr="00CB0BBD">
        <w:rPr>
          <w:rFonts w:eastAsiaTheme="minorHAnsi"/>
          <w:color w:val="000000"/>
          <w:sz w:val="21"/>
          <w:szCs w:val="21"/>
        </w:rPr>
        <w:t>go</w:t>
      </w:r>
      <w:r w:rsidR="00871F91" w:rsidRPr="00CB0BBD">
        <w:rPr>
          <w:rFonts w:eastAsiaTheme="minorHAnsi"/>
          <w:color w:val="000000"/>
          <w:sz w:val="21"/>
          <w:szCs w:val="21"/>
        </w:rPr>
        <w:t xml:space="preserve"> przez Zamawiającego</w:t>
      </w:r>
      <w:r w:rsidR="00747E1C" w:rsidRPr="00CB0BBD">
        <w:rPr>
          <w:rFonts w:eastAsiaTheme="minorHAnsi"/>
          <w:color w:val="000000"/>
          <w:sz w:val="21"/>
          <w:szCs w:val="21"/>
        </w:rPr>
        <w:t xml:space="preserve">, a przy tym bez wpływu na działające środowiska i bez powodowania jakichkolwiek przerw czy opóźnień w dostępie do </w:t>
      </w:r>
      <w:r w:rsidR="009D2BBF" w:rsidRPr="00CB0BBD">
        <w:rPr>
          <w:rFonts w:eastAsiaTheme="minorHAnsi"/>
          <w:color w:val="000000"/>
          <w:sz w:val="21"/>
          <w:szCs w:val="21"/>
        </w:rPr>
        <w:t>danych</w:t>
      </w:r>
      <w:r w:rsidR="00747E1C" w:rsidRPr="00CB0BBD">
        <w:rPr>
          <w:rFonts w:eastAsiaTheme="minorHAnsi"/>
          <w:color w:val="000000"/>
          <w:sz w:val="21"/>
          <w:szCs w:val="21"/>
        </w:rPr>
        <w:t>.</w:t>
      </w:r>
    </w:p>
    <w:p w14:paraId="5B174B6F" w14:textId="225DDA19" w:rsidR="000D6141" w:rsidRPr="00CB0BBD" w:rsidRDefault="00F1368A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Wszystkie elementy dodatkowe wymagane do </w:t>
      </w:r>
      <w:r w:rsidR="00692EB8" w:rsidRPr="00CB0BBD">
        <w:rPr>
          <w:rFonts w:eastAsiaTheme="minorHAnsi"/>
          <w:color w:val="000000"/>
          <w:sz w:val="21"/>
          <w:szCs w:val="21"/>
        </w:rPr>
        <w:t>montażu (</w:t>
      </w:r>
      <w:r w:rsidRPr="00CB0BBD">
        <w:rPr>
          <w:rFonts w:eastAsiaTheme="minorHAnsi"/>
          <w:color w:val="000000"/>
          <w:sz w:val="21"/>
          <w:szCs w:val="21"/>
        </w:rPr>
        <w:t>instalacji fizycznej</w:t>
      </w:r>
      <w:r w:rsidR="00692EB8" w:rsidRPr="00CB0BBD">
        <w:rPr>
          <w:rFonts w:eastAsiaTheme="minorHAnsi"/>
          <w:color w:val="000000"/>
          <w:sz w:val="21"/>
          <w:szCs w:val="21"/>
        </w:rPr>
        <w:t>)</w:t>
      </w:r>
      <w:r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E65D0" w:rsidRPr="00CB0BBD">
        <w:rPr>
          <w:rFonts w:eastAsiaTheme="minorHAnsi"/>
          <w:color w:val="000000"/>
          <w:sz w:val="21"/>
          <w:szCs w:val="21"/>
        </w:rPr>
        <w:t>Urządzeń</w:t>
      </w:r>
      <w:r w:rsidR="00300F6A" w:rsidRPr="00CB0BBD">
        <w:rPr>
          <w:rFonts w:eastAsiaTheme="minorHAnsi"/>
          <w:color w:val="000000"/>
          <w:sz w:val="21"/>
          <w:szCs w:val="21"/>
        </w:rPr>
        <w:t xml:space="preserve"> </w:t>
      </w:r>
      <w:r w:rsidRPr="00CB0BBD">
        <w:rPr>
          <w:rFonts w:eastAsiaTheme="minorHAnsi"/>
          <w:color w:val="000000"/>
          <w:sz w:val="21"/>
          <w:szCs w:val="21"/>
        </w:rPr>
        <w:t xml:space="preserve">(śrubki, kable itp.) </w:t>
      </w:r>
      <w:r w:rsidR="00300F6A" w:rsidRPr="00CB0BBD">
        <w:rPr>
          <w:rFonts w:eastAsiaTheme="minorHAnsi"/>
          <w:color w:val="000000"/>
          <w:sz w:val="21"/>
          <w:szCs w:val="21"/>
        </w:rPr>
        <w:t xml:space="preserve">oraz do ich uruchomienia </w:t>
      </w:r>
      <w:r w:rsidR="0027294E" w:rsidRPr="00CB0BBD">
        <w:rPr>
          <w:rFonts w:eastAsiaTheme="minorHAnsi"/>
          <w:color w:val="000000"/>
          <w:sz w:val="21"/>
          <w:szCs w:val="21"/>
        </w:rPr>
        <w:t xml:space="preserve">oraz konfiguracji środowiska kopii zapasowych </w:t>
      </w:r>
      <w:r w:rsidR="009E65D0" w:rsidRPr="00CB0BBD">
        <w:rPr>
          <w:rFonts w:eastAsiaTheme="minorHAnsi"/>
          <w:color w:val="000000"/>
          <w:sz w:val="21"/>
          <w:szCs w:val="21"/>
        </w:rPr>
        <w:t>muszą zostać dostarczone przez Wykonawcę w ramach zamówienia</w:t>
      </w:r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5980EADD" w14:textId="6DF9C81F" w:rsidR="00D1285A" w:rsidRPr="00CB0BBD" w:rsidRDefault="00DD47E2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</w:t>
      </w:r>
      <w:r w:rsidR="002353B9" w:rsidRPr="00CB0BBD">
        <w:rPr>
          <w:rFonts w:eastAsiaTheme="minorHAnsi"/>
          <w:color w:val="000000"/>
          <w:sz w:val="21"/>
          <w:szCs w:val="21"/>
        </w:rPr>
        <w:t xml:space="preserve">będne </w:t>
      </w:r>
      <w:r w:rsidRPr="00CB0BBD">
        <w:rPr>
          <w:rFonts w:eastAsiaTheme="minorHAnsi"/>
          <w:color w:val="000000"/>
          <w:sz w:val="21"/>
          <w:szCs w:val="21"/>
        </w:rPr>
        <w:t xml:space="preserve">(np. trwale uszkodzone) </w:t>
      </w:r>
      <w:r w:rsidR="002353B9" w:rsidRPr="00CB0BBD">
        <w:rPr>
          <w:rFonts w:eastAsiaTheme="minorHAnsi"/>
          <w:color w:val="000000"/>
          <w:sz w:val="21"/>
          <w:szCs w:val="21"/>
        </w:rPr>
        <w:t>dyski</w:t>
      </w:r>
      <w:r w:rsidR="00312C8F" w:rsidRPr="00CB0BBD">
        <w:rPr>
          <w:rFonts w:eastAsiaTheme="minorHAnsi"/>
          <w:color w:val="000000"/>
          <w:sz w:val="21"/>
          <w:szCs w:val="21"/>
        </w:rPr>
        <w:t xml:space="preserve"> pozostaną </w:t>
      </w:r>
      <w:r w:rsidR="009E65D0" w:rsidRPr="00CB0BBD">
        <w:rPr>
          <w:rFonts w:eastAsiaTheme="minorHAnsi"/>
          <w:color w:val="000000"/>
          <w:sz w:val="21"/>
          <w:szCs w:val="21"/>
        </w:rPr>
        <w:t>w miejscu realizacji zamówienia</w:t>
      </w:r>
      <w:r w:rsidR="00312C8F" w:rsidRPr="00CB0BBD">
        <w:rPr>
          <w:rFonts w:eastAsiaTheme="minorHAnsi"/>
          <w:color w:val="000000"/>
          <w:sz w:val="21"/>
          <w:szCs w:val="21"/>
        </w:rPr>
        <w:t>.</w:t>
      </w:r>
    </w:p>
    <w:p w14:paraId="5EEAFB00" w14:textId="05F3FB67" w:rsidR="00312C8F" w:rsidRPr="00CB0BBD" w:rsidRDefault="00D1285A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traktowany jest jako wytwórca odpadów powstałych w toku realizacji </w:t>
      </w:r>
      <w:r w:rsidR="00B97C13" w:rsidRPr="00CB0BBD">
        <w:rPr>
          <w:rFonts w:eastAsiaTheme="minorHAnsi"/>
          <w:color w:val="000000"/>
          <w:sz w:val="21"/>
          <w:szCs w:val="21"/>
        </w:rPr>
        <w:t>zamówienia</w:t>
      </w:r>
      <w:r w:rsidRPr="00CB0BBD">
        <w:rPr>
          <w:rFonts w:eastAsiaTheme="minorHAnsi"/>
          <w:color w:val="000000"/>
          <w:sz w:val="21"/>
          <w:szCs w:val="21"/>
        </w:rPr>
        <w:t xml:space="preserve"> i utylizuje je na własny koszt i ryzyko, zgodnie z właściwymi przepisami.</w:t>
      </w:r>
    </w:p>
    <w:p w14:paraId="7C0046CD" w14:textId="16502E58" w:rsidR="009E65D0" w:rsidRPr="00CB0BBD" w:rsidRDefault="009E65D0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Wytyczne i rekomendacje, o których mowa w pkt 1.9 i 1.10 zostaną przekazane Wykonawcy w trybie roboczym (w toku realizacji zamówienia).</w:t>
      </w:r>
    </w:p>
    <w:p w14:paraId="6D01676C" w14:textId="77777777" w:rsidR="00000036" w:rsidRPr="00CB0BBD" w:rsidRDefault="00000036" w:rsidP="00F95812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37F58B14" w14:textId="39DF93A4" w:rsidR="00A2760C" w:rsidRPr="00CB0BBD" w:rsidRDefault="00621881" w:rsidP="00F958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 xml:space="preserve">Termin </w:t>
      </w:r>
      <w:r w:rsidR="00A2760C" w:rsidRPr="00CB0BBD">
        <w:rPr>
          <w:rFonts w:eastAsiaTheme="minorHAnsi"/>
          <w:b/>
          <w:bCs/>
          <w:color w:val="000000"/>
          <w:sz w:val="21"/>
          <w:szCs w:val="21"/>
        </w:rPr>
        <w:t xml:space="preserve">realizacji </w:t>
      </w:r>
      <w:r w:rsidR="00AF7E6D" w:rsidRPr="00CB0BBD">
        <w:rPr>
          <w:rFonts w:eastAsiaTheme="minorHAnsi"/>
          <w:b/>
          <w:bCs/>
          <w:color w:val="000000"/>
          <w:sz w:val="21"/>
          <w:szCs w:val="21"/>
        </w:rPr>
        <w:t xml:space="preserve">dostawy </w:t>
      </w:r>
    </w:p>
    <w:p w14:paraId="4CCE740F" w14:textId="076B1F34" w:rsidR="009E65D0" w:rsidRPr="00CB0BBD" w:rsidRDefault="009E65D0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dostarczy Urządzenia jednorazowo, nie później niż </w:t>
      </w:r>
      <w:r w:rsidR="00DE7854" w:rsidRPr="00CB0BBD">
        <w:rPr>
          <w:rFonts w:eastAsiaTheme="minorHAnsi"/>
          <w:color w:val="000000"/>
          <w:sz w:val="21"/>
          <w:szCs w:val="21"/>
        </w:rPr>
        <w:t>45</w:t>
      </w:r>
      <w:r w:rsidRPr="00CB0BBD">
        <w:rPr>
          <w:rFonts w:eastAsiaTheme="minorHAnsi"/>
          <w:color w:val="000000"/>
          <w:sz w:val="21"/>
          <w:szCs w:val="21"/>
        </w:rPr>
        <w:t xml:space="preserve"> dni od zawarcia Umowy. </w:t>
      </w:r>
    </w:p>
    <w:p w14:paraId="7BA50F3E" w14:textId="3DA508DA" w:rsidR="008718A8" w:rsidRPr="00CB0BBD" w:rsidRDefault="008718A8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O planowanym terminie </w:t>
      </w:r>
      <w:r w:rsidR="009E65D0" w:rsidRPr="00CB0BBD">
        <w:rPr>
          <w:rFonts w:eastAsiaTheme="minorHAnsi"/>
          <w:color w:val="000000"/>
          <w:sz w:val="21"/>
          <w:szCs w:val="21"/>
        </w:rPr>
        <w:t>dostarczenia Urządzeń</w:t>
      </w:r>
      <w:r w:rsidRPr="00CB0BBD">
        <w:rPr>
          <w:rFonts w:eastAsiaTheme="minorHAnsi"/>
          <w:color w:val="000000"/>
          <w:sz w:val="21"/>
          <w:szCs w:val="21"/>
        </w:rPr>
        <w:t xml:space="preserve"> Wykonawca poinformuje Zamawiającego z wyprzedzeniem co najmniej </w:t>
      </w:r>
      <w:r w:rsidR="00F80D1E" w:rsidRPr="00CB0BBD">
        <w:rPr>
          <w:rFonts w:eastAsiaTheme="minorHAnsi"/>
          <w:color w:val="000000"/>
          <w:sz w:val="21"/>
          <w:szCs w:val="21"/>
        </w:rPr>
        <w:t xml:space="preserve">3 </w:t>
      </w:r>
      <w:r w:rsidRPr="00CB0BBD">
        <w:rPr>
          <w:rFonts w:eastAsiaTheme="minorHAnsi"/>
          <w:color w:val="000000"/>
          <w:sz w:val="21"/>
          <w:szCs w:val="21"/>
        </w:rPr>
        <w:t>dni</w:t>
      </w:r>
      <w:r w:rsidR="00F80D1E" w:rsidRPr="00CB0BBD">
        <w:rPr>
          <w:rFonts w:eastAsiaTheme="minorHAnsi"/>
          <w:color w:val="000000"/>
          <w:sz w:val="21"/>
          <w:szCs w:val="21"/>
        </w:rPr>
        <w:t xml:space="preserve"> roboczych</w:t>
      </w:r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3E398807" w14:textId="53D20375" w:rsidR="003B08FB" w:rsidRPr="00CB0BBD" w:rsidRDefault="00D83A3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bookmarkStart w:id="1" w:name="_Hlk113287835"/>
      <w:r w:rsidRPr="00CB0BBD">
        <w:rPr>
          <w:rFonts w:eastAsiaTheme="minorHAnsi"/>
          <w:color w:val="000000"/>
          <w:sz w:val="21"/>
          <w:szCs w:val="21"/>
        </w:rPr>
        <w:t>Czynności, o których mowa w pkt 1.</w:t>
      </w:r>
      <w:r w:rsidR="00B97C13" w:rsidRPr="00CB0BBD">
        <w:rPr>
          <w:rFonts w:eastAsiaTheme="minorHAnsi"/>
          <w:color w:val="000000"/>
          <w:sz w:val="21"/>
          <w:szCs w:val="21"/>
        </w:rPr>
        <w:t>8</w:t>
      </w:r>
      <w:r w:rsidRPr="00CB0BBD">
        <w:rPr>
          <w:rFonts w:eastAsiaTheme="minorHAnsi"/>
          <w:color w:val="000000"/>
          <w:sz w:val="21"/>
          <w:szCs w:val="21"/>
        </w:rPr>
        <w:t xml:space="preserve">, z </w:t>
      </w:r>
      <w:r w:rsidR="00B97C13" w:rsidRPr="00CB0BBD">
        <w:rPr>
          <w:rFonts w:eastAsiaTheme="minorHAnsi"/>
          <w:color w:val="000000"/>
          <w:sz w:val="21"/>
          <w:szCs w:val="21"/>
        </w:rPr>
        <w:t xml:space="preserve">wyjątkiem przedmiotu </w:t>
      </w:r>
      <w:r w:rsidR="009E65D0" w:rsidRPr="00CB0BBD">
        <w:rPr>
          <w:rFonts w:eastAsiaTheme="minorHAnsi"/>
          <w:color w:val="000000"/>
          <w:sz w:val="21"/>
          <w:szCs w:val="21"/>
        </w:rPr>
        <w:t>zamówienia</w:t>
      </w:r>
      <w:r w:rsidR="00B97C13" w:rsidRPr="00CB0BBD">
        <w:rPr>
          <w:rFonts w:eastAsiaTheme="minorHAnsi"/>
          <w:color w:val="000000"/>
          <w:sz w:val="21"/>
          <w:szCs w:val="21"/>
        </w:rPr>
        <w:t>, o którym mowa w pkt 1.8.</w:t>
      </w:r>
      <w:r w:rsidR="00995E3E" w:rsidRPr="00CB0BBD">
        <w:rPr>
          <w:rFonts w:eastAsiaTheme="minorHAnsi"/>
          <w:color w:val="000000"/>
          <w:sz w:val="21"/>
          <w:szCs w:val="21"/>
        </w:rPr>
        <w:t>6</w:t>
      </w:r>
      <w:r w:rsidRPr="00CB0BBD">
        <w:rPr>
          <w:rFonts w:eastAsiaTheme="minorHAnsi"/>
          <w:color w:val="000000"/>
          <w:sz w:val="21"/>
          <w:szCs w:val="21"/>
        </w:rPr>
        <w:t xml:space="preserve">, </w:t>
      </w:r>
      <w:r w:rsidR="003B08FB" w:rsidRPr="00CB0BBD">
        <w:rPr>
          <w:rFonts w:eastAsiaTheme="minorHAnsi"/>
          <w:color w:val="000000"/>
          <w:sz w:val="21"/>
          <w:szCs w:val="21"/>
        </w:rPr>
        <w:t xml:space="preserve">muszą zostać wykonane w ciągu </w:t>
      </w:r>
      <w:r w:rsidR="007C6716" w:rsidRPr="00CB0BBD">
        <w:rPr>
          <w:rFonts w:eastAsiaTheme="minorHAnsi"/>
          <w:color w:val="000000"/>
          <w:sz w:val="21"/>
          <w:szCs w:val="21"/>
        </w:rPr>
        <w:t>5</w:t>
      </w:r>
      <w:r w:rsidR="00C33ED8" w:rsidRPr="00CB0BBD">
        <w:rPr>
          <w:rFonts w:eastAsiaTheme="minorHAnsi"/>
          <w:color w:val="000000"/>
          <w:sz w:val="21"/>
          <w:szCs w:val="21"/>
        </w:rPr>
        <w:t xml:space="preserve"> dni</w:t>
      </w:r>
      <w:r w:rsidR="003B08FB" w:rsidRPr="00CB0BBD">
        <w:rPr>
          <w:rFonts w:eastAsiaTheme="minorHAnsi"/>
          <w:color w:val="000000"/>
          <w:sz w:val="21"/>
          <w:szCs w:val="21"/>
        </w:rPr>
        <w:t xml:space="preserve"> od dnia </w:t>
      </w:r>
      <w:r w:rsidR="009E65D0" w:rsidRPr="00CB0BBD">
        <w:rPr>
          <w:rFonts w:eastAsiaTheme="minorHAnsi"/>
          <w:color w:val="000000"/>
          <w:sz w:val="21"/>
          <w:szCs w:val="21"/>
        </w:rPr>
        <w:t>dostarczenia</w:t>
      </w:r>
      <w:r w:rsidR="003B08FB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E65D0" w:rsidRPr="00CB0BBD">
        <w:rPr>
          <w:rFonts w:eastAsiaTheme="minorHAnsi"/>
          <w:color w:val="000000"/>
          <w:sz w:val="21"/>
          <w:szCs w:val="21"/>
        </w:rPr>
        <w:t>U</w:t>
      </w:r>
      <w:r w:rsidR="003B08FB" w:rsidRPr="00CB0BBD">
        <w:rPr>
          <w:rFonts w:eastAsiaTheme="minorHAnsi"/>
          <w:color w:val="000000"/>
          <w:sz w:val="21"/>
          <w:szCs w:val="21"/>
        </w:rPr>
        <w:t>rządzeń</w:t>
      </w:r>
      <w:r w:rsidR="008718A8" w:rsidRPr="00CB0BBD">
        <w:rPr>
          <w:rFonts w:eastAsiaTheme="minorHAnsi"/>
          <w:color w:val="000000"/>
          <w:sz w:val="21"/>
          <w:szCs w:val="21"/>
        </w:rPr>
        <w:t xml:space="preserve">, w godzinach </w:t>
      </w:r>
      <w:r w:rsidR="00F1351C" w:rsidRPr="00CB0BBD">
        <w:rPr>
          <w:rFonts w:eastAsiaTheme="minorHAnsi"/>
          <w:color w:val="000000"/>
          <w:sz w:val="21"/>
          <w:szCs w:val="21"/>
        </w:rPr>
        <w:t>08</w:t>
      </w:r>
      <w:r w:rsidR="00B308F8" w:rsidRPr="00CB0BBD">
        <w:rPr>
          <w:rFonts w:eastAsiaTheme="minorHAnsi"/>
          <w:color w:val="000000"/>
          <w:sz w:val="21"/>
          <w:szCs w:val="21"/>
        </w:rPr>
        <w:t>.</w:t>
      </w:r>
      <w:r w:rsidR="00F1351C" w:rsidRPr="00CB0BBD">
        <w:rPr>
          <w:rFonts w:eastAsiaTheme="minorHAnsi"/>
          <w:color w:val="000000"/>
          <w:sz w:val="21"/>
          <w:szCs w:val="21"/>
        </w:rPr>
        <w:t>00</w:t>
      </w:r>
      <w:r w:rsidR="00B308F8" w:rsidRPr="00CB0BBD">
        <w:rPr>
          <w:rFonts w:eastAsiaTheme="minorHAnsi"/>
          <w:color w:val="000000"/>
          <w:sz w:val="21"/>
          <w:szCs w:val="21"/>
        </w:rPr>
        <w:t>-</w:t>
      </w:r>
      <w:r w:rsidR="00F1351C" w:rsidRPr="00CB0BBD">
        <w:rPr>
          <w:rFonts w:eastAsiaTheme="minorHAnsi"/>
          <w:color w:val="000000"/>
          <w:sz w:val="21"/>
          <w:szCs w:val="21"/>
        </w:rPr>
        <w:t>16</w:t>
      </w:r>
      <w:r w:rsidR="00B308F8" w:rsidRPr="00CB0BBD">
        <w:rPr>
          <w:rFonts w:eastAsiaTheme="minorHAnsi"/>
          <w:color w:val="000000"/>
          <w:sz w:val="21"/>
          <w:szCs w:val="21"/>
        </w:rPr>
        <w:t>.</w:t>
      </w:r>
      <w:r w:rsidR="00F1351C" w:rsidRPr="00CB0BBD">
        <w:rPr>
          <w:rFonts w:eastAsiaTheme="minorHAnsi"/>
          <w:color w:val="000000"/>
          <w:sz w:val="21"/>
          <w:szCs w:val="21"/>
        </w:rPr>
        <w:t>00.</w:t>
      </w:r>
    </w:p>
    <w:p w14:paraId="4553028E" w14:textId="6A3F8D83" w:rsidR="003B08FB" w:rsidRPr="00CB0BBD" w:rsidRDefault="003B08FB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Dokumentacja powdrożeniowa </w:t>
      </w:r>
      <w:r w:rsidR="00D83A34" w:rsidRPr="00CB0BBD">
        <w:rPr>
          <w:rFonts w:eastAsiaTheme="minorHAnsi"/>
          <w:color w:val="000000"/>
          <w:sz w:val="21"/>
          <w:szCs w:val="21"/>
        </w:rPr>
        <w:t>(pkt 1.</w:t>
      </w:r>
      <w:r w:rsidR="00B97C13" w:rsidRPr="00CB0BBD">
        <w:rPr>
          <w:rFonts w:eastAsiaTheme="minorHAnsi"/>
          <w:color w:val="000000"/>
          <w:sz w:val="21"/>
          <w:szCs w:val="21"/>
        </w:rPr>
        <w:t>8</w:t>
      </w:r>
      <w:r w:rsidR="00D83A34" w:rsidRPr="00CB0BBD">
        <w:rPr>
          <w:rFonts w:eastAsiaTheme="minorHAnsi"/>
          <w:color w:val="000000"/>
          <w:sz w:val="21"/>
          <w:szCs w:val="21"/>
        </w:rPr>
        <w:t>.</w:t>
      </w:r>
      <w:r w:rsidR="00995E3E" w:rsidRPr="00CB0BBD">
        <w:rPr>
          <w:rFonts w:eastAsiaTheme="minorHAnsi"/>
          <w:color w:val="000000"/>
          <w:sz w:val="21"/>
          <w:szCs w:val="21"/>
        </w:rPr>
        <w:t>6</w:t>
      </w:r>
      <w:r w:rsidR="00D83A34" w:rsidRPr="00CB0BBD">
        <w:rPr>
          <w:rFonts w:eastAsiaTheme="minorHAnsi"/>
          <w:color w:val="000000"/>
          <w:sz w:val="21"/>
          <w:szCs w:val="21"/>
        </w:rPr>
        <w:t xml:space="preserve">) </w:t>
      </w:r>
      <w:r w:rsidRPr="00CB0BBD">
        <w:rPr>
          <w:rFonts w:eastAsiaTheme="minorHAnsi"/>
          <w:color w:val="000000"/>
          <w:sz w:val="21"/>
          <w:szCs w:val="21"/>
        </w:rPr>
        <w:t>zostan</w:t>
      </w:r>
      <w:r w:rsidR="000E7873" w:rsidRPr="00CB0BBD">
        <w:rPr>
          <w:rFonts w:eastAsiaTheme="minorHAnsi"/>
          <w:color w:val="000000"/>
          <w:sz w:val="21"/>
          <w:szCs w:val="21"/>
        </w:rPr>
        <w:t>ie</w:t>
      </w:r>
      <w:r w:rsidRPr="00CB0BBD">
        <w:rPr>
          <w:rFonts w:eastAsiaTheme="minorHAnsi"/>
          <w:color w:val="000000"/>
          <w:sz w:val="21"/>
          <w:szCs w:val="21"/>
        </w:rPr>
        <w:t xml:space="preserve"> opracowan</w:t>
      </w:r>
      <w:r w:rsidR="00995E3E" w:rsidRPr="00CB0BBD">
        <w:rPr>
          <w:rFonts w:eastAsiaTheme="minorHAnsi"/>
          <w:color w:val="000000"/>
          <w:sz w:val="21"/>
          <w:szCs w:val="21"/>
        </w:rPr>
        <w:t>a</w:t>
      </w:r>
      <w:r w:rsidRPr="00CB0BBD">
        <w:rPr>
          <w:rFonts w:eastAsiaTheme="minorHAnsi"/>
          <w:color w:val="000000"/>
          <w:sz w:val="21"/>
          <w:szCs w:val="21"/>
        </w:rPr>
        <w:t xml:space="preserve"> i dostarczon</w:t>
      </w:r>
      <w:r w:rsidR="00995E3E" w:rsidRPr="00CB0BBD">
        <w:rPr>
          <w:rFonts w:eastAsiaTheme="minorHAnsi"/>
          <w:color w:val="000000"/>
          <w:sz w:val="21"/>
          <w:szCs w:val="21"/>
        </w:rPr>
        <w:t>a</w:t>
      </w:r>
      <w:r w:rsidRPr="00CB0BBD">
        <w:rPr>
          <w:rFonts w:eastAsiaTheme="minorHAnsi"/>
          <w:color w:val="000000"/>
          <w:sz w:val="21"/>
          <w:szCs w:val="21"/>
        </w:rPr>
        <w:t xml:space="preserve"> Zamawiającemu nie później niż w ciągu </w:t>
      </w:r>
      <w:r w:rsidR="00D83A34" w:rsidRPr="00CB0BBD">
        <w:rPr>
          <w:rFonts w:eastAsiaTheme="minorHAnsi"/>
          <w:color w:val="000000"/>
          <w:sz w:val="21"/>
          <w:szCs w:val="21"/>
        </w:rPr>
        <w:t>7</w:t>
      </w:r>
      <w:r w:rsidRPr="00CB0BBD">
        <w:rPr>
          <w:rFonts w:eastAsiaTheme="minorHAnsi"/>
          <w:color w:val="000000"/>
          <w:sz w:val="21"/>
          <w:szCs w:val="21"/>
        </w:rPr>
        <w:t xml:space="preserve"> dni od daty zakończenia</w:t>
      </w:r>
      <w:r w:rsidR="00995E3E" w:rsidRPr="00CB0BBD">
        <w:rPr>
          <w:rFonts w:eastAsiaTheme="minorHAnsi"/>
          <w:color w:val="000000"/>
          <w:sz w:val="21"/>
          <w:szCs w:val="21"/>
        </w:rPr>
        <w:t xml:space="preserve"> montażu</w:t>
      </w:r>
      <w:r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95E3E" w:rsidRPr="00CB0BBD">
        <w:rPr>
          <w:rFonts w:eastAsiaTheme="minorHAnsi"/>
          <w:color w:val="000000"/>
          <w:sz w:val="21"/>
          <w:szCs w:val="21"/>
        </w:rPr>
        <w:t>(</w:t>
      </w:r>
      <w:r w:rsidR="00C33ED8" w:rsidRPr="00CB0BBD">
        <w:rPr>
          <w:rFonts w:eastAsiaTheme="minorHAnsi"/>
          <w:color w:val="000000"/>
          <w:sz w:val="21"/>
          <w:szCs w:val="21"/>
        </w:rPr>
        <w:t>instalacji</w:t>
      </w:r>
      <w:r w:rsidR="000E7873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995E3E" w:rsidRPr="00CB0BBD">
        <w:rPr>
          <w:rFonts w:eastAsiaTheme="minorHAnsi"/>
          <w:color w:val="000000"/>
          <w:sz w:val="21"/>
          <w:szCs w:val="21"/>
        </w:rPr>
        <w:t xml:space="preserve">fizycznej) </w:t>
      </w:r>
      <w:r w:rsidR="000E7873" w:rsidRPr="00CB0BBD">
        <w:rPr>
          <w:rFonts w:eastAsiaTheme="minorHAnsi"/>
          <w:color w:val="000000"/>
          <w:sz w:val="21"/>
          <w:szCs w:val="21"/>
        </w:rPr>
        <w:t>i</w:t>
      </w:r>
      <w:r w:rsidR="009E65D0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C33ED8" w:rsidRPr="00CB0BBD">
        <w:rPr>
          <w:rFonts w:eastAsiaTheme="minorHAnsi"/>
          <w:color w:val="000000"/>
          <w:sz w:val="21"/>
          <w:szCs w:val="21"/>
        </w:rPr>
        <w:t>uruchomienia</w:t>
      </w:r>
      <w:r w:rsidR="00BC667B" w:rsidRPr="00CB0BBD">
        <w:rPr>
          <w:rFonts w:eastAsiaTheme="minorHAnsi"/>
          <w:color w:val="000000"/>
          <w:sz w:val="21"/>
          <w:szCs w:val="21"/>
        </w:rPr>
        <w:t xml:space="preserve"> </w:t>
      </w:r>
      <w:r w:rsidR="000E7873" w:rsidRPr="00CB0BBD">
        <w:rPr>
          <w:rFonts w:eastAsiaTheme="minorHAnsi"/>
          <w:color w:val="000000"/>
          <w:sz w:val="21"/>
          <w:szCs w:val="21"/>
        </w:rPr>
        <w:t>Urządzeń</w:t>
      </w:r>
      <w:r w:rsidR="00995E3E" w:rsidRPr="00CB0BBD">
        <w:rPr>
          <w:rFonts w:eastAsiaTheme="minorHAnsi"/>
          <w:color w:val="000000"/>
          <w:sz w:val="21"/>
          <w:szCs w:val="21"/>
        </w:rPr>
        <w:t xml:space="preserve">, aktywacji </w:t>
      </w:r>
      <w:r w:rsidR="009516E9">
        <w:rPr>
          <w:rFonts w:eastAsiaTheme="minorHAnsi"/>
          <w:color w:val="000000"/>
          <w:sz w:val="21"/>
          <w:szCs w:val="21"/>
        </w:rPr>
        <w:t>o</w:t>
      </w:r>
      <w:r w:rsidR="00995E3E" w:rsidRPr="00CB0BBD">
        <w:rPr>
          <w:rFonts w:eastAsiaTheme="minorHAnsi"/>
          <w:color w:val="000000"/>
          <w:sz w:val="21"/>
          <w:szCs w:val="21"/>
        </w:rPr>
        <w:t>programowania</w:t>
      </w:r>
      <w:r w:rsidR="000E7873" w:rsidRPr="00CB0BBD">
        <w:rPr>
          <w:rFonts w:eastAsiaTheme="minorHAnsi"/>
          <w:color w:val="000000"/>
          <w:sz w:val="21"/>
          <w:szCs w:val="21"/>
        </w:rPr>
        <w:t xml:space="preserve"> oraz</w:t>
      </w:r>
      <w:r w:rsidR="00BC667B" w:rsidRPr="00CB0BBD">
        <w:rPr>
          <w:rFonts w:eastAsiaTheme="minorHAnsi"/>
          <w:color w:val="000000"/>
          <w:sz w:val="21"/>
          <w:szCs w:val="21"/>
        </w:rPr>
        <w:t xml:space="preserve"> konfiguracji </w:t>
      </w:r>
      <w:r w:rsidR="000E7873" w:rsidRPr="00CB0BBD">
        <w:rPr>
          <w:rFonts w:eastAsiaTheme="minorHAnsi"/>
          <w:color w:val="000000"/>
          <w:sz w:val="21"/>
          <w:szCs w:val="21"/>
        </w:rPr>
        <w:t>środowiska kopii zapasowych</w:t>
      </w:r>
      <w:r w:rsidR="00C33ED8" w:rsidRPr="00CB0BBD">
        <w:rPr>
          <w:rFonts w:eastAsiaTheme="minorHAnsi"/>
          <w:color w:val="000000"/>
          <w:sz w:val="21"/>
          <w:szCs w:val="21"/>
        </w:rPr>
        <w:t>,</w:t>
      </w:r>
      <w:r w:rsidRPr="00CB0BBD">
        <w:rPr>
          <w:rFonts w:eastAsiaTheme="minorHAnsi"/>
          <w:color w:val="000000"/>
          <w:sz w:val="21"/>
          <w:szCs w:val="21"/>
        </w:rPr>
        <w:t xml:space="preserve"> potwierdzon</w:t>
      </w:r>
      <w:r w:rsidR="00C33ED8" w:rsidRPr="00CB0BBD">
        <w:rPr>
          <w:rFonts w:eastAsiaTheme="minorHAnsi"/>
          <w:color w:val="000000"/>
          <w:sz w:val="21"/>
          <w:szCs w:val="21"/>
        </w:rPr>
        <w:t>ych</w:t>
      </w:r>
      <w:r w:rsidRPr="00CB0BBD">
        <w:rPr>
          <w:rFonts w:eastAsiaTheme="minorHAnsi"/>
          <w:color w:val="000000"/>
          <w:sz w:val="21"/>
          <w:szCs w:val="21"/>
        </w:rPr>
        <w:t xml:space="preserve"> pozytywną weryfikacją przez Zamawiającego, w oryginale (2 egz.) oraz w postaci elektronicznej</w:t>
      </w:r>
      <w:r w:rsidR="008E1D4F" w:rsidRPr="00CB0BBD">
        <w:rPr>
          <w:rFonts w:eastAsiaTheme="minorHAnsi"/>
          <w:color w:val="000000"/>
          <w:sz w:val="21"/>
          <w:szCs w:val="21"/>
        </w:rPr>
        <w:t xml:space="preserve"> (</w:t>
      </w:r>
      <w:r w:rsidR="00C33ED8" w:rsidRPr="00CB0BBD">
        <w:rPr>
          <w:rFonts w:eastAsiaTheme="minorHAnsi"/>
          <w:color w:val="000000"/>
          <w:sz w:val="21"/>
          <w:szCs w:val="21"/>
        </w:rPr>
        <w:t xml:space="preserve">plik </w:t>
      </w:r>
      <w:r w:rsidR="008D4E01" w:rsidRPr="00CB0BBD">
        <w:rPr>
          <w:rFonts w:eastAsiaTheme="minorHAnsi"/>
          <w:color w:val="000000"/>
          <w:sz w:val="21"/>
          <w:szCs w:val="21"/>
        </w:rPr>
        <w:t>.</w:t>
      </w:r>
      <w:proofErr w:type="spellStart"/>
      <w:r w:rsidR="00C33ED8" w:rsidRPr="00CB0BBD">
        <w:rPr>
          <w:rFonts w:eastAsiaTheme="minorHAnsi"/>
          <w:color w:val="000000"/>
          <w:sz w:val="21"/>
          <w:szCs w:val="21"/>
        </w:rPr>
        <w:t>doc</w:t>
      </w:r>
      <w:proofErr w:type="spellEnd"/>
      <w:r w:rsidR="00C33ED8" w:rsidRPr="00CB0BBD">
        <w:rPr>
          <w:rFonts w:eastAsiaTheme="minorHAnsi"/>
          <w:color w:val="000000"/>
          <w:sz w:val="21"/>
          <w:szCs w:val="21"/>
        </w:rPr>
        <w:t xml:space="preserve"> lub </w:t>
      </w:r>
      <w:r w:rsidR="008D4E01" w:rsidRPr="00CB0BBD">
        <w:rPr>
          <w:rFonts w:eastAsiaTheme="minorHAnsi"/>
          <w:color w:val="000000"/>
          <w:sz w:val="21"/>
          <w:szCs w:val="21"/>
        </w:rPr>
        <w:t>.</w:t>
      </w:r>
      <w:proofErr w:type="spellStart"/>
      <w:r w:rsidR="00C33ED8" w:rsidRPr="00CB0BBD">
        <w:rPr>
          <w:rFonts w:eastAsiaTheme="minorHAnsi"/>
          <w:color w:val="000000"/>
          <w:sz w:val="21"/>
          <w:szCs w:val="21"/>
        </w:rPr>
        <w:t>docx</w:t>
      </w:r>
      <w:proofErr w:type="spellEnd"/>
      <w:r w:rsidR="008E1D4F" w:rsidRPr="00CB0BBD">
        <w:rPr>
          <w:rFonts w:eastAsiaTheme="minorHAnsi"/>
          <w:color w:val="000000"/>
          <w:sz w:val="21"/>
          <w:szCs w:val="21"/>
        </w:rPr>
        <w:t>)</w:t>
      </w:r>
      <w:bookmarkEnd w:id="1"/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79CBEEE8" w14:textId="77777777" w:rsidR="0077126B" w:rsidRPr="0083687F" w:rsidRDefault="0077126B" w:rsidP="0077126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bookmarkStart w:id="2" w:name="_Hlk114067155"/>
      <w:r w:rsidRPr="004D3834">
        <w:rPr>
          <w:rFonts w:eastAsiaTheme="minorHAnsi"/>
          <w:color w:val="000000"/>
          <w:sz w:val="21"/>
          <w:szCs w:val="21"/>
        </w:rPr>
        <w:t>Nie później niż w dacie montażu Urządzeń, Wykonawca zobowiązany jest przekazać Zamawiającemu wystawione przez producenta Urządzeń instrukcje ich użytkowania, atesty, deklaracje zgodności, itp.</w:t>
      </w:r>
    </w:p>
    <w:p w14:paraId="6465D89B" w14:textId="55BFA860" w:rsidR="00AC3A78" w:rsidRDefault="00AC3A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 braku odmiennego uzgodnienia Stron, przyjmuje się, że termin realizacji czynności w ramach wsparcia producenta </w:t>
      </w:r>
      <w:r w:rsidR="009516E9">
        <w:rPr>
          <w:rFonts w:eastAsiaTheme="minorHAnsi"/>
          <w:color w:val="000000"/>
          <w:sz w:val="21"/>
          <w:szCs w:val="21"/>
        </w:rPr>
        <w:t>o</w:t>
      </w:r>
      <w:r w:rsidRPr="00CB0BBD">
        <w:rPr>
          <w:rFonts w:eastAsiaTheme="minorHAnsi"/>
          <w:color w:val="000000"/>
          <w:sz w:val="21"/>
          <w:szCs w:val="21"/>
        </w:rPr>
        <w:t>programowania wynosi 5 (pięć) dni roboczych (przez „dzień roboczy” rozumie się dzień niebędący dniem wolnym od pracy ani sobotą) od zgłoszenia przez Zamawiającego.</w:t>
      </w:r>
    </w:p>
    <w:bookmarkEnd w:id="2"/>
    <w:p w14:paraId="45CF7458" w14:textId="77777777" w:rsidR="004F53F9" w:rsidRPr="00CB0BBD" w:rsidRDefault="004F53F9" w:rsidP="00F95812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1BE73F87" w14:textId="03631FF1" w:rsidR="00A2760C" w:rsidRPr="00CB0BBD" w:rsidRDefault="00621881" w:rsidP="00F958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bookmarkStart w:id="3" w:name="_Hlk92969681"/>
      <w:r w:rsidRPr="00CB0BBD">
        <w:rPr>
          <w:rFonts w:eastAsiaTheme="minorHAnsi"/>
          <w:b/>
          <w:bCs/>
          <w:color w:val="000000"/>
          <w:sz w:val="21"/>
          <w:szCs w:val="21"/>
        </w:rPr>
        <w:t xml:space="preserve">Miejsce realizacji </w:t>
      </w:r>
      <w:r w:rsidR="00AF7E6D" w:rsidRPr="00CB0BBD">
        <w:rPr>
          <w:rFonts w:eastAsiaTheme="minorHAnsi"/>
          <w:b/>
          <w:bCs/>
          <w:color w:val="000000"/>
          <w:sz w:val="21"/>
          <w:szCs w:val="21"/>
        </w:rPr>
        <w:t xml:space="preserve">dostawy </w:t>
      </w:r>
    </w:p>
    <w:bookmarkEnd w:id="3"/>
    <w:p w14:paraId="1492D359" w14:textId="77777777" w:rsidR="009E35AB" w:rsidRDefault="009E35AB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A23629">
        <w:rPr>
          <w:sz w:val="21"/>
          <w:szCs w:val="21"/>
        </w:rPr>
        <w:t xml:space="preserve">Miejscem realizacji przedmiotu zamówienia jest obiekt </w:t>
      </w:r>
      <w:r>
        <w:rPr>
          <w:sz w:val="21"/>
          <w:szCs w:val="21"/>
        </w:rPr>
        <w:t xml:space="preserve">(jeden bądź dwa) </w:t>
      </w:r>
      <w:r w:rsidRPr="00A23629">
        <w:rPr>
          <w:sz w:val="21"/>
          <w:szCs w:val="21"/>
        </w:rPr>
        <w:t xml:space="preserve">zlokalizowany na terenie woj. mazowieckiego. Zamawiający, w formie pisemnej lub w formie elektronicznej, wskaże </w:t>
      </w:r>
      <w:r>
        <w:rPr>
          <w:sz w:val="21"/>
          <w:szCs w:val="21"/>
        </w:rPr>
        <w:t xml:space="preserve">adres tego </w:t>
      </w:r>
      <w:r w:rsidRPr="00A23629">
        <w:rPr>
          <w:sz w:val="21"/>
          <w:szCs w:val="21"/>
        </w:rPr>
        <w:t>miejsc</w:t>
      </w:r>
      <w:r>
        <w:rPr>
          <w:sz w:val="21"/>
          <w:szCs w:val="21"/>
        </w:rPr>
        <w:t xml:space="preserve">a </w:t>
      </w:r>
      <w:r w:rsidRPr="00A23629">
        <w:rPr>
          <w:sz w:val="21"/>
          <w:szCs w:val="21"/>
        </w:rPr>
        <w:t>(</w:t>
      </w:r>
      <w:r>
        <w:rPr>
          <w:sz w:val="21"/>
          <w:szCs w:val="21"/>
        </w:rPr>
        <w:t>jedno bądź dwa</w:t>
      </w:r>
      <w:r w:rsidRPr="00A23629">
        <w:rPr>
          <w:sz w:val="21"/>
          <w:szCs w:val="21"/>
        </w:rPr>
        <w:t>), po podpisaniu</w:t>
      </w:r>
      <w:r>
        <w:rPr>
          <w:sz w:val="21"/>
          <w:szCs w:val="21"/>
        </w:rPr>
        <w:t xml:space="preserve"> U</w:t>
      </w:r>
      <w:r w:rsidRPr="00A23629">
        <w:rPr>
          <w:sz w:val="21"/>
          <w:szCs w:val="21"/>
        </w:rPr>
        <w:t xml:space="preserve">mowy. </w:t>
      </w:r>
    </w:p>
    <w:p w14:paraId="2C839817" w14:textId="7E5146AD" w:rsidR="003C1B15" w:rsidRPr="00CB0BBD" w:rsidRDefault="00CA72EA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Zamawiający zastrzega sobie możliwość zmiany miejsca realizacji podanego w zawiadomieniu, o którym mowa w pkt 3.</w:t>
      </w:r>
      <w:r w:rsidR="005943DF" w:rsidRPr="00CB0BBD">
        <w:rPr>
          <w:sz w:val="21"/>
          <w:szCs w:val="21"/>
        </w:rPr>
        <w:t>1</w:t>
      </w:r>
      <w:r w:rsidRPr="00CB0BBD">
        <w:rPr>
          <w:sz w:val="21"/>
          <w:szCs w:val="21"/>
        </w:rPr>
        <w:t xml:space="preserve"> na inną lokalizację w granicach tego samego </w:t>
      </w:r>
      <w:r w:rsidRPr="00CB0BBD">
        <w:rPr>
          <w:sz w:val="21"/>
          <w:szCs w:val="21"/>
        </w:rPr>
        <w:lastRenderedPageBreak/>
        <w:t xml:space="preserve">województwa, za zawiadomieniem Wykonawcy w formie pisemnej lub w formie elektronicznej z wyprzedzeniem co najmniej </w:t>
      </w:r>
      <w:r w:rsidR="009B67CC" w:rsidRPr="00CB0BBD">
        <w:rPr>
          <w:sz w:val="21"/>
          <w:szCs w:val="21"/>
        </w:rPr>
        <w:t>5</w:t>
      </w:r>
      <w:r w:rsidRPr="00CB0BBD">
        <w:rPr>
          <w:sz w:val="21"/>
          <w:szCs w:val="21"/>
        </w:rPr>
        <w:t xml:space="preserve"> dni.</w:t>
      </w:r>
    </w:p>
    <w:p w14:paraId="173D28BB" w14:textId="77777777" w:rsidR="002C3060" w:rsidRPr="00CB0BBD" w:rsidRDefault="002C3060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Zamawiający zastrzega sobie prawo do przeniesienia Urządzeń do innej lokalizacji, bez utraty uprawnień wynikających z gwarancji i rękojmi.</w:t>
      </w:r>
    </w:p>
    <w:p w14:paraId="4178BDC9" w14:textId="6D261831" w:rsidR="00A37996" w:rsidRPr="00CB0BBD" w:rsidRDefault="002C3060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>Naprawy Urządzeń w ramach gwarancji i rękojmi, będą dokonywane w miejscu ich eksploatacji, wynikającym z pkt 3.1-3.3. W przypadku niemożności dokonania naprawy w miejscu eksploatacji Urządzeń, Wykonawca na swój koszt i ryzyko zapewnia dostarczenie i odbiór Urządzenia do/z autoryzowanego punktu serwisowego</w:t>
      </w:r>
      <w:r w:rsidR="00A8601A" w:rsidRPr="00CB0BBD">
        <w:rPr>
          <w:sz w:val="21"/>
          <w:szCs w:val="21"/>
        </w:rPr>
        <w:t>.</w:t>
      </w:r>
    </w:p>
    <w:p w14:paraId="1616F5C4" w14:textId="4906BD62" w:rsidR="00445586" w:rsidRPr="00CB0BBD" w:rsidRDefault="00445586" w:rsidP="00F95812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p w14:paraId="05307755" w14:textId="49DBAB51" w:rsidR="00445586" w:rsidRPr="00CB0BBD" w:rsidRDefault="00445586" w:rsidP="00F958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 xml:space="preserve">Sposób realizacji </w:t>
      </w:r>
      <w:r w:rsidR="00AF7E6D" w:rsidRPr="00CB0BBD">
        <w:rPr>
          <w:rFonts w:eastAsiaTheme="minorHAnsi"/>
          <w:b/>
          <w:bCs/>
          <w:color w:val="000000"/>
          <w:sz w:val="21"/>
          <w:szCs w:val="21"/>
        </w:rPr>
        <w:t xml:space="preserve">dostawy </w:t>
      </w:r>
    </w:p>
    <w:p w14:paraId="5115B984" w14:textId="6E7375BE" w:rsidR="00A37996" w:rsidRPr="00CB0BBD" w:rsidRDefault="00A37996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Dostawa</w:t>
      </w:r>
      <w:r w:rsidRPr="00CB0BBD">
        <w:rPr>
          <w:sz w:val="21"/>
          <w:szCs w:val="21"/>
        </w:rPr>
        <w:t xml:space="preserve"> urządzeń</w:t>
      </w:r>
      <w:r w:rsidR="00202237" w:rsidRPr="00CB0BBD">
        <w:rPr>
          <w:sz w:val="21"/>
          <w:szCs w:val="21"/>
        </w:rPr>
        <w:t xml:space="preserve">, w tym w ramach wymiany serwisowej, </w:t>
      </w:r>
      <w:r w:rsidRPr="00CB0BBD">
        <w:rPr>
          <w:sz w:val="21"/>
          <w:szCs w:val="21"/>
        </w:rPr>
        <w:t xml:space="preserve">obejmuje każdorazowo również transport z wniesieniem oraz </w:t>
      </w:r>
      <w:r w:rsidR="00692EB8" w:rsidRPr="00CB0BBD">
        <w:rPr>
          <w:sz w:val="21"/>
          <w:szCs w:val="21"/>
        </w:rPr>
        <w:t xml:space="preserve">montaż (instalację fizyczną), </w:t>
      </w:r>
      <w:r w:rsidRPr="00CB0BBD">
        <w:rPr>
          <w:sz w:val="21"/>
          <w:szCs w:val="21"/>
        </w:rPr>
        <w:t xml:space="preserve">uruchomienie </w:t>
      </w:r>
      <w:r w:rsidR="00202237" w:rsidRPr="00CB0BBD">
        <w:rPr>
          <w:sz w:val="21"/>
          <w:szCs w:val="21"/>
        </w:rPr>
        <w:t>i konfigurację</w:t>
      </w:r>
      <w:r w:rsidR="00692EB8" w:rsidRPr="00CB0BBD">
        <w:rPr>
          <w:sz w:val="21"/>
          <w:szCs w:val="21"/>
        </w:rPr>
        <w:t xml:space="preserve"> tych</w:t>
      </w:r>
      <w:r w:rsidR="00202237" w:rsidRPr="00CB0BBD">
        <w:rPr>
          <w:sz w:val="21"/>
          <w:szCs w:val="21"/>
        </w:rPr>
        <w:t xml:space="preserve"> </w:t>
      </w:r>
      <w:r w:rsidRPr="00CB0BBD">
        <w:rPr>
          <w:sz w:val="21"/>
          <w:szCs w:val="21"/>
        </w:rPr>
        <w:t>urządzeń w lokalizacji.</w:t>
      </w:r>
    </w:p>
    <w:p w14:paraId="7EA4A59A" w14:textId="600117D9" w:rsidR="004706B9" w:rsidRPr="00CB0BBD" w:rsidRDefault="004706B9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 xml:space="preserve">Dokumentacja zostanie sporządzona w języku </w:t>
      </w:r>
      <w:r w:rsidRPr="00CB0BBD">
        <w:rPr>
          <w:rFonts w:eastAsiaTheme="minorHAnsi"/>
          <w:color w:val="000000"/>
          <w:sz w:val="21"/>
          <w:szCs w:val="21"/>
        </w:rPr>
        <w:t>polskim</w:t>
      </w:r>
      <w:r w:rsidRPr="00CB0BBD">
        <w:rPr>
          <w:sz w:val="21"/>
          <w:szCs w:val="21"/>
        </w:rPr>
        <w:t>.</w:t>
      </w:r>
    </w:p>
    <w:p w14:paraId="681195B7" w14:textId="77777777" w:rsidR="00A37996" w:rsidRPr="00CB0BBD" w:rsidRDefault="00A37996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Komunikacja oraz wszelka korespondencja pomiędzy Stronami będzie odbywała się w języku polskim.</w:t>
      </w:r>
    </w:p>
    <w:p w14:paraId="6B79A603" w14:textId="680867C9" w:rsidR="00046352" w:rsidRPr="00CB0BBD" w:rsidRDefault="0034748C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sz w:val="21"/>
          <w:szCs w:val="21"/>
        </w:rPr>
      </w:pPr>
      <w:r w:rsidRPr="00CB0BBD">
        <w:rPr>
          <w:sz w:val="21"/>
          <w:szCs w:val="21"/>
        </w:rPr>
        <w:t xml:space="preserve">W ramach realizacji zamówienia, Wykonawca przeniesie na Zamawiającego prawa autorskie majątkowe do dostarczonych lub wytworzonych utworów w zakresie wskazanym w § </w:t>
      </w:r>
      <w:r w:rsidR="002C3060" w:rsidRPr="00CB0BBD">
        <w:rPr>
          <w:sz w:val="21"/>
          <w:szCs w:val="21"/>
        </w:rPr>
        <w:t>8</w:t>
      </w:r>
      <w:r w:rsidR="00283F94" w:rsidRPr="00CB0BBD">
        <w:rPr>
          <w:sz w:val="21"/>
          <w:szCs w:val="21"/>
        </w:rPr>
        <w:t xml:space="preserve"> </w:t>
      </w:r>
      <w:r w:rsidRPr="00CB0BBD">
        <w:rPr>
          <w:sz w:val="21"/>
          <w:szCs w:val="21"/>
        </w:rPr>
        <w:t>Umowy.</w:t>
      </w:r>
    </w:p>
    <w:p w14:paraId="33599FB3" w14:textId="77777777" w:rsidR="00060E17" w:rsidRPr="00CB0BBD" w:rsidRDefault="00060E17" w:rsidP="00F95812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rPr>
          <w:rFonts w:eastAsiaTheme="minorHAnsi"/>
          <w:color w:val="000000"/>
          <w:sz w:val="21"/>
          <w:szCs w:val="21"/>
        </w:rPr>
      </w:pPr>
    </w:p>
    <w:p w14:paraId="7F632B58" w14:textId="21418482" w:rsidR="00060E17" w:rsidRPr="00CB0BBD" w:rsidRDefault="00060E17" w:rsidP="00F958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b/>
          <w:bCs/>
          <w:color w:val="000000"/>
          <w:sz w:val="21"/>
          <w:szCs w:val="21"/>
        </w:rPr>
      </w:pPr>
      <w:r w:rsidRPr="00CB0BBD">
        <w:rPr>
          <w:rFonts w:eastAsiaTheme="minorHAnsi"/>
          <w:b/>
          <w:bCs/>
          <w:color w:val="000000"/>
          <w:sz w:val="21"/>
          <w:szCs w:val="21"/>
        </w:rPr>
        <w:t>Serwis gwarancyjny</w:t>
      </w:r>
    </w:p>
    <w:p w14:paraId="6F0A2FE2" w14:textId="40E5562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udzieli Zamawiającemu rękojmi za wady dostarczonych rzeczy, usług i dzieła (utworów) oraz gwarancji na prawidłowe działanie Urządzeń i </w:t>
      </w:r>
      <w:r w:rsidR="009516E9">
        <w:rPr>
          <w:rFonts w:eastAsiaTheme="minorHAnsi"/>
          <w:color w:val="000000"/>
          <w:sz w:val="21"/>
          <w:szCs w:val="21"/>
        </w:rPr>
        <w:t>o</w:t>
      </w:r>
      <w:r w:rsidRPr="00CB0BBD">
        <w:rPr>
          <w:rFonts w:eastAsiaTheme="minorHAnsi"/>
          <w:color w:val="000000"/>
          <w:sz w:val="21"/>
          <w:szCs w:val="21"/>
        </w:rPr>
        <w:t>programowania, co do ich jakości oraz zgodności z dokumentacją techniczną i dokumentacją powdrożeniową, stosownie do § 9 Umowy.</w:t>
      </w:r>
    </w:p>
    <w:p w14:paraId="74DBD55A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opracuje i przekaże Zamawiającemu nie później niż w dniu podpisania protokołu odbioru przedmiotu zamówienia (dostawy), w formie pisemnej i w postaci elektronicznej, dokument pt. „Instrukcja zgłaszania, obsługi i eskalacji zgłoszeń serwisu gwarancyjnego”, zawierający:</w:t>
      </w:r>
    </w:p>
    <w:p w14:paraId="3094DF66" w14:textId="77777777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instrukcje zgłaszania awarii, w tym formularz – Zgłoszenia gwarancyjnego;</w:t>
      </w:r>
    </w:p>
    <w:p w14:paraId="5A4B0FB7" w14:textId="77777777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procedury eskalacyjne (pod pojęciem procedury eskalacji Zamawiający rozumie tryb postępowania stron w sytuacji braku realizacji zgłoszenia lub reakcji na zgłoszenie);</w:t>
      </w:r>
    </w:p>
    <w:p w14:paraId="0CA6BA26" w14:textId="77777777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dane podmiotu świadczącego usługi gwarancyjne - adresy, numery telefonów i faksów, adresy poczty elektronicznej;</w:t>
      </w:r>
    </w:p>
    <w:p w14:paraId="733FEF09" w14:textId="77777777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instrukcje dotyczące przeglądania statusu Umowy oraz urządzeń nią objętych; </w:t>
      </w:r>
    </w:p>
    <w:p w14:paraId="76C2250D" w14:textId="77777777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992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wzór Raportu z naprawy urządzenia.</w:t>
      </w:r>
    </w:p>
    <w:p w14:paraId="11145C6F" w14:textId="77777777" w:rsidR="00EF1064" w:rsidRPr="00CB0BBD" w:rsidRDefault="00EF1064" w:rsidP="00F95812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Instrukcje i procedury, o których mowa powyżej, nie mogą być sprzeczne lub niezgodne z postanowieniami Umowy.</w:t>
      </w:r>
    </w:p>
    <w:p w14:paraId="552AD9C7" w14:textId="77777777" w:rsidR="00EF1064" w:rsidRPr="00CB0BBD" w:rsidRDefault="00EF1064" w:rsidP="00F95812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Zmiana dokumentów wymienionych w niniejszym punkcie wymaga powiadomienia Zamawiającego w formie pisemnej albo w formie elektronicznej.</w:t>
      </w:r>
    </w:p>
    <w:p w14:paraId="67F17DC2" w14:textId="77777777" w:rsidR="00EF1064" w:rsidRPr="00CB0BBD" w:rsidRDefault="00EF1064" w:rsidP="00F95812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zobowiązuje się wdrożyć i stosować przez cały okres obowiązywania Umowy powyższe procedury i instrukcje.</w:t>
      </w:r>
    </w:p>
    <w:p w14:paraId="36726CD8" w14:textId="77777777" w:rsidR="00EF1064" w:rsidRPr="00CB0BBD" w:rsidRDefault="00EF1064" w:rsidP="00F95812">
      <w:pPr>
        <w:pStyle w:val="Akapitzlist"/>
        <w:autoSpaceDE w:val="0"/>
        <w:autoSpaceDN w:val="0"/>
        <w:adjustRightInd w:val="0"/>
        <w:spacing w:before="60" w:after="60" w:line="259" w:lineRule="auto"/>
        <w:ind w:left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5EC66D7D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Zgłoszenie awarii urządzeń objętych gwarancją może być dokonywane w postaci: zgłoszenia telefonicznego, za pomocą faksu, z wykorzystaniem serwisu www udostępnionego przez </w:t>
      </w:r>
      <w:r w:rsidRPr="00CB0BBD">
        <w:rPr>
          <w:rFonts w:eastAsiaTheme="minorHAnsi"/>
          <w:color w:val="000000"/>
          <w:sz w:val="21"/>
          <w:szCs w:val="21"/>
        </w:rPr>
        <w:lastRenderedPageBreak/>
        <w:t>Wykonawcę, za pomocą poczty elektronicznej oraz zgłoszeń generowanych automatycznie przez system monitoringu eksploatowanych urządzeń.</w:t>
      </w:r>
    </w:p>
    <w:p w14:paraId="7D633823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będzie przyjmował zgłoszenia awarii całodobowo (24 godziny na dobę, 7 dni w tygodniu, 365 dni w roku).</w:t>
      </w:r>
    </w:p>
    <w:p w14:paraId="626D8DD9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Konsultacje techniczne w ramach serwisu gwarancyjnego mogą być przeprowadzone pomiędzy Wykonawcą a Zamawiającym osobiście, telefonicznie lub za pomocą poczty elektronicznej.</w:t>
      </w:r>
    </w:p>
    <w:p w14:paraId="1FE7B6D8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jest zobowiązany do potwierdzenia przyjęcia zgłoszenia awarii (lub konsultacji technicznych) w terminie do 60 minut od jego zgłoszenia na adres poczty elektronicznej </w:t>
      </w:r>
      <w:hyperlink r:id="rId9" w:history="1">
        <w:r w:rsidRPr="00CB0BBD">
          <w:rPr>
            <w:rStyle w:val="Hipercze"/>
            <w:rFonts w:eastAsiaTheme="minorHAnsi"/>
            <w:sz w:val="21"/>
            <w:szCs w:val="21"/>
          </w:rPr>
          <w:t>popd@ms.gov.pl</w:t>
        </w:r>
      </w:hyperlink>
      <w:r w:rsidRPr="00CB0BBD">
        <w:rPr>
          <w:rFonts w:eastAsiaTheme="minorHAnsi"/>
          <w:color w:val="000000"/>
          <w:sz w:val="21"/>
          <w:szCs w:val="21"/>
        </w:rPr>
        <w:t xml:space="preserve"> lub telefonicznie –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 której mowa w pkt. 5.2.2.</w:t>
      </w:r>
    </w:p>
    <w:p w14:paraId="175E3D5C" w14:textId="7F2ED6DE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Wykonawca zobowiązany jest 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</w:t>
      </w:r>
      <w:r w:rsidR="00013DBE" w:rsidRPr="00CB0BBD">
        <w:rPr>
          <w:rFonts w:eastAsiaTheme="minorHAnsi"/>
          <w:color w:val="000000"/>
          <w:sz w:val="21"/>
          <w:szCs w:val="21"/>
        </w:rPr>
        <w:t>procedurze eskalacji zgłoszenia, o której mowa w pkt. 5.2.2</w:t>
      </w:r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1564B171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zobowiązany jest 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52F7E64F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426" w:hanging="426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zapewni Zamawiającemu dostęp do monitorowania statusu zgłoszeń gwarancyjnych w systemie producenta.</w:t>
      </w:r>
    </w:p>
    <w:p w14:paraId="0B4B4FA0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Zamawiający wymaga zapewnienia ciągłości usług serwisu gwarancyjnego. </w:t>
      </w:r>
    </w:p>
    <w:p w14:paraId="633A6851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Zgłoszenia awarii będą realizowane w następujący sposób:</w:t>
      </w:r>
    </w:p>
    <w:p w14:paraId="52C0D84C" w14:textId="30A2D28F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Zgłoszenie o priorytecie krytycznym tj. nieprawidłowe działanie Urządzeń, powodujące albo całkowity brak możliwości korzystania z Urządzeń albo takie ograniczenie możliwości korzystania z Urządzeń, że przestają one spełniać swoje podstawowe funkcje – czas reakcji do </w:t>
      </w:r>
      <w:r w:rsidR="00753A73" w:rsidRPr="00CB0BBD">
        <w:rPr>
          <w:rFonts w:eastAsiaTheme="minorHAnsi"/>
          <w:color w:val="000000"/>
          <w:sz w:val="21"/>
          <w:szCs w:val="21"/>
        </w:rPr>
        <w:t>24</w:t>
      </w:r>
      <w:r w:rsidRPr="00CB0BBD">
        <w:rPr>
          <w:rFonts w:eastAsiaTheme="minorHAnsi"/>
          <w:color w:val="000000"/>
          <w:sz w:val="21"/>
          <w:szCs w:val="21"/>
        </w:rPr>
        <w:t xml:space="preserve"> godzin serwisowych od chwili zgłoszenia, czas przywrócenia funkcjonalności do [●] godzin serwisowych od chwili zgłoszenia (zgodnie z ofertą Wykonawcy, nie dłużej jednak niż do </w:t>
      </w:r>
      <w:r w:rsidR="00753A73" w:rsidRPr="00CB0BBD">
        <w:rPr>
          <w:rFonts w:eastAsiaTheme="minorHAnsi"/>
          <w:color w:val="000000"/>
          <w:sz w:val="21"/>
          <w:szCs w:val="21"/>
        </w:rPr>
        <w:t>48</w:t>
      </w:r>
      <w:r w:rsidRPr="00CB0BBD">
        <w:rPr>
          <w:rFonts w:eastAsiaTheme="minorHAnsi"/>
          <w:color w:val="000000"/>
          <w:sz w:val="21"/>
          <w:szCs w:val="21"/>
        </w:rPr>
        <w:t xml:space="preserve"> godzin serwisowych).</w:t>
      </w:r>
    </w:p>
    <w:p w14:paraId="4B36B287" w14:textId="3D39F5AF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Zgłoszenie o priorytecie niekrytycznym tj. inne niż krytyczne, np. zmniejszenie wydajności Urządzenia – czas reakcji nie później niż w następnym dniu roboczym od dnia zgłoszenia, czas przywrócenia funkcjonalności do </w:t>
      </w:r>
      <w:r w:rsidR="0023767A" w:rsidRPr="00CB0BBD">
        <w:rPr>
          <w:rFonts w:eastAsiaTheme="minorHAnsi"/>
          <w:color w:val="000000"/>
          <w:sz w:val="21"/>
          <w:szCs w:val="21"/>
        </w:rPr>
        <w:t>96</w:t>
      </w:r>
      <w:r w:rsidRPr="00CB0BBD">
        <w:rPr>
          <w:rFonts w:eastAsiaTheme="minorHAnsi"/>
          <w:color w:val="000000"/>
          <w:sz w:val="21"/>
          <w:szCs w:val="21"/>
        </w:rPr>
        <w:t xml:space="preserve"> godzin serwisowych od chwili zgłoszenia.</w:t>
      </w:r>
    </w:p>
    <w:p w14:paraId="0C6BB37F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zobowiązany jest do realizowania czasów reakcji i napraw w godzinach między 7.00 a 17.00 od poniedziałku do piątku, z wyłączeniem dni ustawowo wolnych od pracy (godziny serwisowe).</w:t>
      </w:r>
    </w:p>
    <w:p w14:paraId="1AD1C96F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przypadku, gdy Wykonawca nie wykona obowiązku wynikającego z pkt. 5.11:</w:t>
      </w:r>
    </w:p>
    <w:p w14:paraId="7D2966EF" w14:textId="77777777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004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385EE732" w14:textId="77777777" w:rsidR="00EF1064" w:rsidRPr="00CB0BBD" w:rsidRDefault="00EF1064" w:rsidP="00F9581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60" w:after="60" w:line="259" w:lineRule="auto"/>
        <w:ind w:left="1004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Zamawiający ma prawo zlecić dowolnemu innemu dostawcy naprawę urządzenia, a kosztami naprawy obciążyć Wykonawcę zachowując jednocześnie prawo do kary umownej i odszkodowania.</w:t>
      </w:r>
    </w:p>
    <w:p w14:paraId="2BD8331F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przypadku wystąpienia okoliczności opisanych w pkt 5.13.1 lub 5.13.2 Zamawiający nie traci prawa do gwarancji.</w:t>
      </w:r>
    </w:p>
    <w:p w14:paraId="202DEA74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lastRenderedPageBreak/>
        <w:t>W ramach usunięcia awarii Urządzenia, Zamawiający dopuszcza możliwość wymiany przez Wykonawcę po uzgodnieniu z Zamawiającym poszczególnych elementów i podzespołów Urządzenia lub całego Urządzenia na nowe takie samo lub inne, o co najmniej takich samych parametrach, funkcjonalności i standardzie.</w:t>
      </w:r>
    </w:p>
    <w:p w14:paraId="1C8834D7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przypadku, gdy z uwagi na awarię Urządzenia Wykonawca zapewnił urządzenie zastępcze, a naprawa dotkniętego awarią Urządzenia trwa dłużej niż 6 tygodni lub gdy ten sam element/podzespół/część Urządzenia będzie naprawiany trzykrotnie w okresie gwarancyjnym i nastąpi kolejna (czwarta) awaria, Zamawiający może żądać od Wykonawcy wymiany Urządzenia na nowe, takie samo lub inne, uzgodnione z Zamawiającym, w terminie 30 dni od zgłoszenie takiego żądania przez Zamawiającego, o co najmniej takich samych parametrach, funkcjonalności i standardzie. Dostarczone w ramach wymiany Urządzenie musi być fabrycznie nowe tj. wyprodukowane nie wcześniej niż 6 miesięcy przed dostawą, wolne od wad, bez śladów używania i bez uszkodzeń, wprowadzone na rynek zgodnie z przepisami Ustawy o zużytym sprzęcie elektrycznym i elektronicznym z dnia 11 września 2015 r. (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t.j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>. Dz. U. z 2022 r. poz. 1622) dostarczone Zamawiającemu w oryginalnych opakowaniach fabrycznych, zabezpieczających przed uszkodzeniem w trakcie transportu i składowania. W przypadku wymiany Urządzenia na nowe, Wykonawca sporządzi protokół z wymiany.</w:t>
      </w:r>
    </w:p>
    <w:p w14:paraId="305FE7A2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Wykonawca każdorazowo dostarczy Zamawiającemu sprawozdanie (raport) z naprawy Urządzenia, zawierający datę i godzinę zgłoszenia, informację co było przedmiotem naprawy. W przypadku przekroczenia limitów czasu usunięcia awarii, wynikających z pkt. 5.11, Wykonawca uwzględni w rzeczonym raporcie stosowne informacje w tym względzie.</w:t>
      </w:r>
    </w:p>
    <w:p w14:paraId="6A460F49" w14:textId="77777777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CB0BBD">
        <w:rPr>
          <w:rFonts w:eastAsiaTheme="minorHAnsi"/>
          <w:color w:val="000000"/>
          <w:sz w:val="21"/>
          <w:szCs w:val="21"/>
        </w:rPr>
        <w:t>firmware</w:t>
      </w:r>
      <w:proofErr w:type="spellEnd"/>
      <w:r w:rsidRPr="00CB0BBD">
        <w:rPr>
          <w:rFonts w:eastAsiaTheme="minorHAnsi"/>
          <w:color w:val="000000"/>
          <w:sz w:val="21"/>
          <w:szCs w:val="21"/>
        </w:rPr>
        <w:t xml:space="preserve">) zgodnie z zasadami sztuki w tym zakresie przez wykwalifikowany personel Zamawiającego lub podmiotu zewnętrznego, któremu zleci te prace Zamawiający. </w:t>
      </w:r>
    </w:p>
    <w:p w14:paraId="4EA19B6D" w14:textId="2ED38E12" w:rsidR="00EF1064" w:rsidRPr="00CB0BBD" w:rsidRDefault="00EF1064" w:rsidP="00F9581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60" w:after="60" w:line="259" w:lineRule="auto"/>
        <w:ind w:left="567" w:hanging="567"/>
        <w:jc w:val="both"/>
        <w:rPr>
          <w:rFonts w:eastAsiaTheme="minorHAnsi"/>
          <w:color w:val="000000"/>
          <w:sz w:val="21"/>
          <w:szCs w:val="21"/>
        </w:rPr>
      </w:pPr>
      <w:r w:rsidRPr="00CB0BBD">
        <w:rPr>
          <w:rFonts w:eastAsiaTheme="minorHAnsi"/>
          <w:color w:val="000000"/>
          <w:sz w:val="21"/>
          <w:szCs w:val="21"/>
        </w:rPr>
        <w:t xml:space="preserve">W przypadku awarii powodującej konieczność wymiany dysku lub innego nośnika danych, </w:t>
      </w:r>
      <w:bookmarkStart w:id="4" w:name="_Hlk129086381"/>
      <w:r w:rsidRPr="00CB0BBD">
        <w:rPr>
          <w:rFonts w:eastAsiaTheme="minorHAnsi"/>
          <w:color w:val="000000"/>
          <w:sz w:val="21"/>
          <w:szCs w:val="21"/>
        </w:rPr>
        <w:t>uszkodzone nośniki pozostają w gestii Zamawiającego</w:t>
      </w:r>
      <w:bookmarkEnd w:id="4"/>
      <w:r w:rsidRPr="00CB0BBD">
        <w:rPr>
          <w:rFonts w:eastAsiaTheme="minorHAnsi"/>
          <w:color w:val="000000"/>
          <w:sz w:val="21"/>
          <w:szCs w:val="21"/>
        </w:rPr>
        <w:t>.</w:t>
      </w:r>
    </w:p>
    <w:p w14:paraId="04FE07B5" w14:textId="5845B853" w:rsidR="003A29D1" w:rsidRDefault="003A29D1">
      <w:pPr>
        <w:spacing w:after="160" w:line="259" w:lineRule="auto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eastAsiaTheme="minorHAnsi" w:hAnsi="Arial" w:cs="Arial"/>
          <w:color w:val="000000"/>
          <w:sz w:val="21"/>
          <w:szCs w:val="21"/>
        </w:rPr>
        <w:br w:type="page"/>
      </w:r>
    </w:p>
    <w:p w14:paraId="3890561C" w14:textId="745E2132" w:rsidR="00300B7F" w:rsidRPr="002E4904" w:rsidRDefault="00300B7F" w:rsidP="00F95812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E03124">
        <w:rPr>
          <w:rFonts w:ascii="Arial" w:eastAsiaTheme="minorHAnsi" w:hAnsi="Arial" w:cs="Arial"/>
          <w:b/>
          <w:bCs/>
          <w:color w:val="000000"/>
          <w:sz w:val="21"/>
          <w:szCs w:val="21"/>
        </w:rPr>
        <w:lastRenderedPageBreak/>
        <w:t>Tabela 1. Podzespoły środowiska kopii zapasowych aktualnie eksploatowane</w:t>
      </w: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t>go</w:t>
      </w:r>
      <w:r w:rsidRPr="00E03124">
        <w:rPr>
          <w:rFonts w:ascii="Arial" w:eastAsiaTheme="minorHAnsi" w:hAnsi="Arial" w:cs="Arial"/>
          <w:b/>
          <w:color w:val="000000"/>
          <w:sz w:val="21"/>
          <w:szCs w:val="21"/>
        </w:rPr>
        <w:t xml:space="preserve"> przez Zamawiającego, </w:t>
      </w:r>
      <w:r w:rsidR="00D77AE0">
        <w:rPr>
          <w:rFonts w:ascii="Arial" w:eastAsiaTheme="minorHAnsi" w:hAnsi="Arial" w:cs="Arial"/>
          <w:b/>
          <w:color w:val="000000"/>
          <w:sz w:val="21"/>
          <w:szCs w:val="21"/>
        </w:rPr>
        <w:t>podlegające wymianie w ramach niniejszego zamówienia</w:t>
      </w:r>
      <w:r w:rsidRPr="00E03124">
        <w:rPr>
          <w:rFonts w:ascii="Arial" w:eastAsiaTheme="minorHAnsi" w:hAnsi="Arial" w:cs="Arial"/>
          <w:b/>
          <w:color w:val="000000"/>
          <w:sz w:val="21"/>
          <w:szCs w:val="21"/>
        </w:rPr>
        <w:t xml:space="preserve"> 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300B7F" w:rsidRPr="00E03124" w14:paraId="6A6956B4" w14:textId="77777777" w:rsidTr="001F00D2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14444478" w14:textId="77777777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E03124">
              <w:rPr>
                <w:rFonts w:ascii="Arial" w:hAnsi="Arial" w:cs="Arial"/>
                <w:b/>
                <w:sz w:val="21"/>
                <w:szCs w:val="21"/>
              </w:rPr>
              <w:t>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1A037056" w14:textId="77777777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10F94453" w14:textId="77777777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numer seryjny</w:t>
            </w: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5BED6A7" w14:textId="77777777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53DAED7" w14:textId="77777777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komentarz</w:t>
            </w:r>
          </w:p>
        </w:tc>
      </w:tr>
      <w:tr w:rsidR="00300B7F" w:rsidRPr="00E03124" w14:paraId="5AF94372" w14:textId="77777777" w:rsidTr="001F00D2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1134A8D" w14:textId="508B94AB" w:rsidR="00300B7F" w:rsidRPr="00E03124" w:rsidRDefault="00D77AE0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C1FBBB7" w14:textId="77777777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68715A08" w14:textId="77777777" w:rsidR="00300B7F" w:rsidRPr="00E03124" w:rsidRDefault="00300B7F" w:rsidP="00F9581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CKM00182401616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F97DD2A" w14:textId="22E03DA9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5 </w:t>
            </w:r>
            <w:proofErr w:type="spellStart"/>
            <w:r w:rsidR="00D77AE0">
              <w:rPr>
                <w:rFonts w:ascii="Arial" w:hAnsi="Arial" w:cs="Arial"/>
                <w:sz w:val="21"/>
                <w:szCs w:val="21"/>
                <w:lang w:val="en-US"/>
              </w:rPr>
              <w:t>węzłów</w:t>
            </w:r>
            <w:proofErr w:type="spellEnd"/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600C828D" w14:textId="354D43A2" w:rsidR="00300B7F" w:rsidRPr="00BA7141" w:rsidRDefault="00BA7141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wymiana na 6 nowych węzłów</w:t>
            </w:r>
          </w:p>
        </w:tc>
      </w:tr>
      <w:tr w:rsidR="00300B7F" w:rsidRPr="00E03124" w14:paraId="2A265477" w14:textId="77777777" w:rsidTr="001F00D2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79D5FA8" w14:textId="66DF96CD" w:rsidR="00300B7F" w:rsidRPr="00E03124" w:rsidRDefault="00D77AE0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5B6B7171" w14:textId="77777777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43EBEBD8" w14:textId="77777777" w:rsidR="00300B7F" w:rsidRPr="00E03124" w:rsidRDefault="00300B7F" w:rsidP="00F9581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CKM00182601672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CC3979B" w14:textId="7D482D0C" w:rsidR="00300B7F" w:rsidRPr="00E03124" w:rsidRDefault="00300B7F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5 </w:t>
            </w:r>
            <w:proofErr w:type="spellStart"/>
            <w:r w:rsidR="00BA7141">
              <w:rPr>
                <w:rFonts w:ascii="Arial" w:hAnsi="Arial" w:cs="Arial"/>
                <w:sz w:val="21"/>
                <w:szCs w:val="21"/>
                <w:lang w:val="en-US"/>
              </w:rPr>
              <w:t>węzłów</w:t>
            </w:r>
            <w:proofErr w:type="spellEnd"/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69C02DC" w14:textId="451165B5" w:rsidR="00300B7F" w:rsidRPr="0041273A" w:rsidRDefault="00BA7141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wymiana na 6 nowych węzłów</w:t>
            </w:r>
          </w:p>
        </w:tc>
      </w:tr>
    </w:tbl>
    <w:p w14:paraId="277E6FB6" w14:textId="77777777" w:rsidR="00300B7F" w:rsidRDefault="00300B7F" w:rsidP="00F95812">
      <w:pPr>
        <w:spacing w:before="60" w:after="60" w:line="259" w:lineRule="auto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7070B7F8" w14:textId="042FF2D0" w:rsidR="003A29D1" w:rsidRDefault="003A29D1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br w:type="page"/>
      </w:r>
    </w:p>
    <w:p w14:paraId="4E201FA7" w14:textId="705D42BA" w:rsidR="00BA7141" w:rsidRPr="002E4904" w:rsidRDefault="00BA7141" w:rsidP="00F95812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E03124">
        <w:rPr>
          <w:rFonts w:ascii="Arial" w:eastAsiaTheme="minorHAnsi" w:hAnsi="Arial" w:cs="Arial"/>
          <w:b/>
          <w:bCs/>
          <w:color w:val="000000"/>
          <w:sz w:val="21"/>
          <w:szCs w:val="21"/>
        </w:rPr>
        <w:lastRenderedPageBreak/>
        <w:t>Tabela 1</w:t>
      </w: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t>a</w:t>
      </w:r>
      <w:r w:rsidRPr="00E03124">
        <w:rPr>
          <w:rFonts w:ascii="Arial" w:eastAsiaTheme="minorHAnsi" w:hAnsi="Arial" w:cs="Arial"/>
          <w:b/>
          <w:bCs/>
          <w:color w:val="000000"/>
          <w:sz w:val="21"/>
          <w:szCs w:val="21"/>
        </w:rPr>
        <w:t>. Podzespoły środowiska kopii zapasowych aktualnie eksploatowane</w:t>
      </w: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t>go</w:t>
      </w:r>
      <w:r w:rsidRPr="00E03124">
        <w:rPr>
          <w:rFonts w:ascii="Arial" w:eastAsiaTheme="minorHAnsi" w:hAnsi="Arial" w:cs="Arial"/>
          <w:b/>
          <w:color w:val="000000"/>
          <w:sz w:val="21"/>
          <w:szCs w:val="21"/>
        </w:rPr>
        <w:t xml:space="preserve"> przez Zamawiającego. </w:t>
      </w:r>
    </w:p>
    <w:tbl>
      <w:tblPr>
        <w:tblpPr w:leftFromText="141" w:rightFromText="141" w:vertAnchor="text" w:horzAnchor="margin" w:tblpXSpec="center" w:tblpY="94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</w:tblGrid>
      <w:tr w:rsidR="006458AD" w:rsidRPr="00E03124" w14:paraId="58A3C5D8" w14:textId="77777777" w:rsidTr="00F95812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416B3723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</w:t>
            </w:r>
            <w:r w:rsidRPr="00E03124">
              <w:rPr>
                <w:rFonts w:ascii="Arial" w:hAnsi="Arial" w:cs="Arial"/>
                <w:b/>
                <w:sz w:val="21"/>
                <w:szCs w:val="21"/>
              </w:rPr>
              <w:t>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492F2204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3038C74D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sz w:val="21"/>
                <w:szCs w:val="21"/>
              </w:rPr>
              <w:t>numer seryjny</w:t>
            </w: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0D429244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bCs/>
                <w:sz w:val="21"/>
                <w:szCs w:val="21"/>
              </w:rPr>
              <w:t>aktualna przestrzeń dyskowa (opis)</w:t>
            </w:r>
          </w:p>
        </w:tc>
      </w:tr>
      <w:tr w:rsidR="006458AD" w:rsidRPr="00E03124" w14:paraId="3C883444" w14:textId="77777777" w:rsidTr="00F95812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1DE9C869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2CBA2EED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7DA6F836" w14:textId="77777777" w:rsidR="006458AD" w:rsidRPr="00E03124" w:rsidRDefault="006458AD" w:rsidP="00F9581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98D1FB7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 xml:space="preserve">240TB OP + 960TB AT, </w:t>
            </w:r>
            <w:r>
              <w:rPr>
                <w:rFonts w:ascii="Arial" w:hAnsi="Arial" w:cs="Arial"/>
                <w:sz w:val="21"/>
                <w:szCs w:val="21"/>
              </w:rPr>
              <w:t>rozmies</w:t>
            </w:r>
            <w:r w:rsidRPr="00E03124">
              <w:rPr>
                <w:rFonts w:ascii="Arial" w:hAnsi="Arial" w:cs="Arial"/>
                <w:sz w:val="21"/>
                <w:szCs w:val="21"/>
              </w:rPr>
              <w:t xml:space="preserve">zczone w 3 półkach DS60 </w:t>
            </w:r>
          </w:p>
        </w:tc>
      </w:tr>
      <w:tr w:rsidR="006458AD" w:rsidRPr="00E03124" w14:paraId="282C08F7" w14:textId="77777777" w:rsidTr="00F95812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5049DF1B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D00F6CF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69094188" w14:textId="77777777" w:rsidR="006458AD" w:rsidRPr="00E03124" w:rsidRDefault="006458AD" w:rsidP="00F9581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323F28C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240TB OP + 960TB AT, rozmieszczone w 3 półkach DS60</w:t>
            </w:r>
          </w:p>
        </w:tc>
      </w:tr>
      <w:tr w:rsidR="006458AD" w:rsidRPr="00E03124" w14:paraId="7C50FF14" w14:textId="77777777" w:rsidTr="00F95812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3C60A401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62807DA6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7661277D" w14:textId="77777777" w:rsidR="006458AD" w:rsidRPr="00E03124" w:rsidRDefault="006458AD" w:rsidP="00F9581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CKM00182401616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834CC9E" w14:textId="50A542DD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6</w:t>
            </w: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węzłów</w:t>
            </w:r>
            <w:proofErr w:type="spellEnd"/>
          </w:p>
        </w:tc>
      </w:tr>
      <w:tr w:rsidR="006458AD" w:rsidRPr="00E03124" w14:paraId="5787FA6E" w14:textId="77777777" w:rsidTr="00F95812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4A56AE75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03124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A6F92A5" w14:textId="77777777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2559C379" w14:textId="77777777" w:rsidR="006458AD" w:rsidRPr="00E03124" w:rsidRDefault="006458AD" w:rsidP="00F95812">
            <w:pPr>
              <w:widowControl w:val="0"/>
              <w:autoSpaceDE w:val="0"/>
              <w:autoSpaceDN w:val="0"/>
              <w:adjustRightInd w:val="0"/>
              <w:spacing w:before="60" w:after="60" w:line="259" w:lineRule="auto"/>
              <w:ind w:left="76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E03124">
              <w:rPr>
                <w:rFonts w:ascii="Arial" w:hAnsi="Arial" w:cs="Arial"/>
                <w:sz w:val="21"/>
                <w:szCs w:val="21"/>
                <w:lang w:val="en-US"/>
              </w:rPr>
              <w:t>CKM00182601672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FACB26C" w14:textId="18CE049E" w:rsidR="006458AD" w:rsidRPr="00E03124" w:rsidRDefault="006458AD" w:rsidP="00F95812">
            <w:pPr>
              <w:spacing w:before="60" w:after="60" w:line="259" w:lineRule="auto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węzłów</w:t>
            </w:r>
            <w:proofErr w:type="spellEnd"/>
          </w:p>
        </w:tc>
      </w:tr>
    </w:tbl>
    <w:p w14:paraId="73FD6060" w14:textId="3E4124C1" w:rsidR="00C10A9E" w:rsidRDefault="00C10A9E" w:rsidP="00F95812">
      <w:pPr>
        <w:spacing w:before="60" w:after="60" w:line="259" w:lineRule="auto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</w:p>
    <w:p w14:paraId="642BDB39" w14:textId="77777777" w:rsidR="00C10A9E" w:rsidRDefault="00C10A9E" w:rsidP="00F95812">
      <w:pPr>
        <w:spacing w:before="60" w:after="60" w:line="259" w:lineRule="auto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br w:type="page"/>
      </w:r>
    </w:p>
    <w:p w14:paraId="342A8C0D" w14:textId="44D5DB92" w:rsidR="00E060BB" w:rsidRPr="00CB0BBD" w:rsidRDefault="00374FC8" w:rsidP="00F95812">
      <w:pPr>
        <w:spacing w:before="60" w:after="60" w:line="259" w:lineRule="auto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lastRenderedPageBreak/>
        <w:t xml:space="preserve">Tabela 2. </w:t>
      </w:r>
      <w:r w:rsidR="00FF39AE" w:rsidRPr="00CB0BBD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Specyfikacja </w:t>
      </w:r>
      <w:r w:rsidR="001653CD" w:rsidRPr="00CB0BBD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Urządzeń </w:t>
      </w:r>
    </w:p>
    <w:p w14:paraId="1BEFA121" w14:textId="6E449679" w:rsidR="00E060BB" w:rsidRPr="00CB0BBD" w:rsidRDefault="00E060BB" w:rsidP="00F95812">
      <w:pPr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Zamawiający </w:t>
      </w:r>
      <w:r w:rsidR="00E03124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aktualnie eksploatuje </w:t>
      </w:r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środowisko kopii zapasowych (Data Center) marki Dell Technologies, w którym dane składowane są bezpośrednio w trybie </w:t>
      </w:r>
      <w:proofErr w:type="spellStart"/>
      <w:r w:rsidRPr="00CB0BBD">
        <w:rPr>
          <w:rFonts w:ascii="Arial" w:eastAsiaTheme="minorHAnsi" w:hAnsi="Arial" w:cs="Arial"/>
          <w:color w:val="000000"/>
          <w:sz w:val="21"/>
          <w:szCs w:val="21"/>
        </w:rPr>
        <w:t>deduplikacji</w:t>
      </w:r>
      <w:proofErr w:type="spellEnd"/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na źródle na urządzeniach DELL </w:t>
      </w:r>
      <w:r w:rsidR="002F6F8C">
        <w:rPr>
          <w:rFonts w:ascii="Arial" w:eastAsiaTheme="minorHAnsi" w:hAnsi="Arial" w:cs="Arial"/>
          <w:color w:val="000000"/>
          <w:sz w:val="21"/>
          <w:szCs w:val="21"/>
        </w:rPr>
        <w:t>Technologies</w:t>
      </w:r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Data </w:t>
      </w:r>
      <w:proofErr w:type="spellStart"/>
      <w:r w:rsidRPr="00CB0BBD">
        <w:rPr>
          <w:rFonts w:ascii="Arial" w:eastAsiaTheme="minorHAnsi" w:hAnsi="Arial" w:cs="Arial"/>
          <w:color w:val="000000"/>
          <w:sz w:val="21"/>
          <w:szCs w:val="21"/>
        </w:rPr>
        <w:t>Domain</w:t>
      </w:r>
      <w:proofErr w:type="spellEnd"/>
      <w:r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DD9400 oraz ECS, w oparciu o </w:t>
      </w:r>
      <w:r w:rsidR="00887FB2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oprogramowanie DELL </w:t>
      </w:r>
      <w:r w:rsidR="00D87F83">
        <w:rPr>
          <w:rFonts w:ascii="Arial" w:eastAsiaTheme="minorHAnsi" w:hAnsi="Arial" w:cs="Arial"/>
          <w:color w:val="000000"/>
          <w:sz w:val="21"/>
          <w:szCs w:val="21"/>
        </w:rPr>
        <w:t>Technologies</w:t>
      </w:r>
      <w:r w:rsidR="00D87F83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 w:rsidR="00D0405E" w:rsidRPr="00CB0BBD">
        <w:rPr>
          <w:rFonts w:ascii="Arial" w:eastAsiaTheme="minorHAnsi" w:hAnsi="Arial" w:cs="Arial"/>
          <w:color w:val="000000"/>
          <w:sz w:val="21"/>
          <w:szCs w:val="21"/>
        </w:rPr>
        <w:t>pozwalające aktualnie na backup</w:t>
      </w:r>
      <w:r w:rsidR="00BA6CA4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i archiwizację</w:t>
      </w:r>
      <w:r w:rsidR="00D0405E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oraz zarządzanie danymi w ramach środowiska kopii zapasowych liczącym w sumie </w:t>
      </w:r>
      <w:r w:rsidR="003D3CA4" w:rsidRPr="00CB0BBD">
        <w:rPr>
          <w:rFonts w:ascii="Arial" w:eastAsiaTheme="minorHAnsi" w:hAnsi="Arial" w:cs="Arial"/>
          <w:color w:val="000000"/>
          <w:sz w:val="21"/>
          <w:szCs w:val="21"/>
        </w:rPr>
        <w:t>300</w:t>
      </w:r>
      <w:r w:rsidR="00D0405E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CPU </w:t>
      </w:r>
      <w:r w:rsidR="00887FB2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– pakiet </w:t>
      </w:r>
      <w:r w:rsidR="00697C16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Data </w:t>
      </w:r>
      <w:proofErr w:type="spellStart"/>
      <w:r w:rsidR="00697C16" w:rsidRPr="00CB0BBD">
        <w:rPr>
          <w:rFonts w:ascii="Arial" w:eastAsiaTheme="minorHAnsi" w:hAnsi="Arial" w:cs="Arial"/>
          <w:color w:val="000000"/>
          <w:sz w:val="21"/>
          <w:szCs w:val="21"/>
        </w:rPr>
        <w:t>Protection</w:t>
      </w:r>
      <w:proofErr w:type="spellEnd"/>
      <w:r w:rsidR="00697C16" w:rsidRPr="00CB0BBD">
        <w:rPr>
          <w:rFonts w:ascii="Arial" w:eastAsiaTheme="minorHAnsi" w:hAnsi="Arial" w:cs="Arial"/>
          <w:color w:val="000000"/>
          <w:sz w:val="21"/>
          <w:szCs w:val="21"/>
        </w:rPr>
        <w:t xml:space="preserve"> Suite for Vmware (DPS4VM), w skład którego wchodzą </w:t>
      </w:r>
      <w:r w:rsidRPr="00CB0BBD">
        <w:rPr>
          <w:rFonts w:ascii="Arial" w:eastAsiaTheme="minorHAnsi" w:hAnsi="Arial" w:cs="Arial"/>
          <w:color w:val="000000"/>
          <w:sz w:val="21"/>
          <w:szCs w:val="21"/>
        </w:rPr>
        <w:t>aplikacje:</w:t>
      </w:r>
    </w:p>
    <w:p w14:paraId="5305399E" w14:textId="1CC6B5BE" w:rsidR="00E060BB" w:rsidRPr="00CB0BBD" w:rsidRDefault="00E060BB" w:rsidP="00F95812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proofErr w:type="spellStart"/>
      <w:r w:rsidRPr="00CB0BBD">
        <w:rPr>
          <w:sz w:val="21"/>
          <w:szCs w:val="21"/>
        </w:rPr>
        <w:t>NetWorker</w:t>
      </w:r>
      <w:proofErr w:type="spellEnd"/>
      <w:r w:rsidR="00D0405E" w:rsidRPr="00CB0BBD">
        <w:rPr>
          <w:sz w:val="21"/>
          <w:szCs w:val="21"/>
        </w:rPr>
        <w:t>;</w:t>
      </w:r>
    </w:p>
    <w:p w14:paraId="0A8038F2" w14:textId="0E36F465" w:rsidR="00E060BB" w:rsidRPr="00CB0BBD" w:rsidRDefault="00E060BB" w:rsidP="00F95812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r w:rsidRPr="00CB0BBD">
        <w:rPr>
          <w:sz w:val="21"/>
          <w:szCs w:val="21"/>
        </w:rPr>
        <w:t xml:space="preserve">Data </w:t>
      </w:r>
      <w:proofErr w:type="spellStart"/>
      <w:r w:rsidRPr="00CB0BBD">
        <w:rPr>
          <w:sz w:val="21"/>
          <w:szCs w:val="21"/>
        </w:rPr>
        <w:t>Protection</w:t>
      </w:r>
      <w:proofErr w:type="spellEnd"/>
      <w:r w:rsidRPr="00CB0BBD">
        <w:rPr>
          <w:sz w:val="21"/>
          <w:szCs w:val="21"/>
        </w:rPr>
        <w:t xml:space="preserve"> Central</w:t>
      </w:r>
      <w:r w:rsidR="00D0405E" w:rsidRPr="00CB0BBD">
        <w:rPr>
          <w:sz w:val="21"/>
          <w:szCs w:val="21"/>
        </w:rPr>
        <w:t>;</w:t>
      </w:r>
    </w:p>
    <w:p w14:paraId="74154785" w14:textId="6D4A8D45" w:rsidR="00E060BB" w:rsidRPr="00CB0BBD" w:rsidRDefault="00E060BB" w:rsidP="00F95812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r w:rsidRPr="00CB0BBD">
        <w:rPr>
          <w:sz w:val="21"/>
          <w:szCs w:val="21"/>
        </w:rPr>
        <w:t xml:space="preserve">Data </w:t>
      </w:r>
      <w:proofErr w:type="spellStart"/>
      <w:r w:rsidRPr="00CB0BBD">
        <w:rPr>
          <w:sz w:val="21"/>
          <w:szCs w:val="21"/>
        </w:rPr>
        <w:t>Protection</w:t>
      </w:r>
      <w:proofErr w:type="spellEnd"/>
      <w:r w:rsidRPr="00CB0BBD">
        <w:rPr>
          <w:sz w:val="21"/>
          <w:szCs w:val="21"/>
        </w:rPr>
        <w:t xml:space="preserve"> Advisor</w:t>
      </w:r>
      <w:r w:rsidR="00D0405E" w:rsidRPr="00CB0BBD">
        <w:rPr>
          <w:sz w:val="21"/>
          <w:szCs w:val="21"/>
        </w:rPr>
        <w:t>;</w:t>
      </w:r>
    </w:p>
    <w:p w14:paraId="6F65AE94" w14:textId="601A9450" w:rsidR="00E060BB" w:rsidRPr="00CB0BBD" w:rsidRDefault="00E060BB" w:rsidP="00F95812">
      <w:pPr>
        <w:pStyle w:val="Akapitzlist"/>
        <w:numPr>
          <w:ilvl w:val="0"/>
          <w:numId w:val="38"/>
        </w:numPr>
        <w:spacing w:before="60" w:after="60" w:line="259" w:lineRule="auto"/>
        <w:rPr>
          <w:sz w:val="21"/>
          <w:szCs w:val="21"/>
        </w:rPr>
      </w:pPr>
      <w:r w:rsidRPr="00CB0BBD">
        <w:rPr>
          <w:sz w:val="21"/>
          <w:szCs w:val="21"/>
        </w:rPr>
        <w:t xml:space="preserve">DP </w:t>
      </w:r>
      <w:proofErr w:type="spellStart"/>
      <w:r w:rsidRPr="00CB0BBD">
        <w:rPr>
          <w:sz w:val="21"/>
          <w:szCs w:val="21"/>
        </w:rPr>
        <w:t>Search</w:t>
      </w:r>
      <w:proofErr w:type="spellEnd"/>
      <w:r w:rsidR="00D0405E" w:rsidRPr="00CB0BBD">
        <w:rPr>
          <w:sz w:val="21"/>
          <w:szCs w:val="21"/>
        </w:rPr>
        <w:t>;</w:t>
      </w:r>
    </w:p>
    <w:p w14:paraId="1424537C" w14:textId="4EE7EAA6" w:rsidR="00BA6CA4" w:rsidRPr="00374FC8" w:rsidRDefault="00E060BB" w:rsidP="00F95812">
      <w:pPr>
        <w:pStyle w:val="Akapitzlist"/>
        <w:numPr>
          <w:ilvl w:val="0"/>
          <w:numId w:val="38"/>
        </w:numPr>
        <w:spacing w:before="60" w:after="60" w:line="259" w:lineRule="auto"/>
        <w:jc w:val="both"/>
        <w:rPr>
          <w:rFonts w:eastAsiaTheme="minorHAnsi"/>
          <w:color w:val="000000"/>
          <w:sz w:val="21"/>
          <w:szCs w:val="21"/>
        </w:rPr>
      </w:pPr>
      <w:proofErr w:type="spellStart"/>
      <w:r w:rsidRPr="00CB0BBD">
        <w:rPr>
          <w:sz w:val="21"/>
          <w:szCs w:val="21"/>
        </w:rPr>
        <w:t>Cloudboost</w:t>
      </w:r>
      <w:proofErr w:type="spellEnd"/>
      <w:r w:rsidR="00D0405E" w:rsidRPr="00CB0BBD">
        <w:rPr>
          <w:sz w:val="21"/>
          <w:szCs w:val="21"/>
        </w:rPr>
        <w:t>.</w:t>
      </w:r>
    </w:p>
    <w:tbl>
      <w:tblPr>
        <w:tblpPr w:leftFromText="141" w:rightFromText="141" w:vertAnchor="text" w:horzAnchor="margin" w:tblpXSpec="center" w:tblpY="310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3827"/>
        <w:gridCol w:w="851"/>
        <w:gridCol w:w="1842"/>
      </w:tblGrid>
      <w:tr w:rsidR="00A61677" w:rsidRPr="00E03124" w14:paraId="6AE1D0B0" w14:textId="77777777" w:rsidTr="001F00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AC04" w14:textId="77777777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004E" w14:textId="77777777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produkt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6490" w14:textId="77777777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wymagania </w:t>
            </w:r>
            <w:r w:rsidRPr="00E0312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funkcjonalne (minimalne)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B2F0" w14:textId="77777777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9E18" w14:textId="77777777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0312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zastosowanie</w:t>
            </w:r>
          </w:p>
        </w:tc>
      </w:tr>
      <w:tr w:rsidR="00A61677" w:rsidRPr="00E03124" w14:paraId="208AB591" w14:textId="77777777" w:rsidTr="001F00D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533" w14:textId="77777777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E03124"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B9B5" w14:textId="5B554F92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węzły ECS</w:t>
            </w:r>
            <w:r w:rsidR="009E35A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6BB7" w14:textId="1AAB54DC" w:rsidR="00E45DF0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Dostarczane rozwiązanie 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Elastic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Cloud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Storage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) musi być obecne na rynku od co najmniej 5 lat oraz musi współpracować z posiadanym przez Zamawiającego urządzeniami Data</w:t>
            </w:r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Domain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i umożliwiać rozbudowę ich pojemności w ramach funkcjonalności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Cloud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Tier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.</w:t>
            </w:r>
          </w:p>
          <w:p w14:paraId="1C0ED033" w14:textId="267EE79E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spełniać funkcjonalność Direct Read Support dla funkcjonalności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Cloud</w:t>
            </w:r>
            <w:proofErr w:type="spellEnd"/>
            <w:r w:rsidR="00E45DF0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Tier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potwierdzone w matrycy </w:t>
            </w:r>
            <w:r w:rsidR="00E45DF0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kompatybilności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z urządzeniami Data</w:t>
            </w:r>
            <w:r w:rsidR="00E45DF0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Domain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.</w:t>
            </w:r>
          </w:p>
          <w:p w14:paraId="108DAEFD" w14:textId="39E32BF4" w:rsidR="00E45DF0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Dostarczane rozwiązanie musi być produktem rozpoznawalnym na rynku, co oznacza, że powinno być wymieniane w raportach niezależnych organizacji, takich jak Gartner, IDC, Gigaom lub ESG (Enterprise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Strategy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Group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).Oferowane rozwiązanie musi być produktem gotowym, posiadającym na moment składania oferty wszystkie wymagane przez Zamawiającego funkcjonalności.</w:t>
            </w:r>
          </w:p>
          <w:p w14:paraId="5C3656DF" w14:textId="5B19F3AD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umożliwiać dostępu do danych co najmniej za pomocą następujących interfejsów i protokołów: Amazon S3,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OpenStack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Swift oraz NFS. Jeżeli wykorzystanie któregokolwiek z wymienionych protokołów wymaga zastosowania dodatkowej licencji lub 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lastRenderedPageBreak/>
              <w:t>oprogramowania, to należy je dostarczyć wraz z rozwiązaniem.</w:t>
            </w:r>
          </w:p>
          <w:p w14:paraId="2BAF92AA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musi posiadać możliwość integracji z aplikacjami za pomocą protokołu HDFS.</w:t>
            </w:r>
          </w:p>
          <w:p w14:paraId="099A3B95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System musi umożliwiać dostęp do tych samych danych przy pomocy wszystkich wymaganych protokołów (Amazon S3,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OpenStack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Swift, NFS, HDFS).</w:t>
            </w:r>
          </w:p>
          <w:p w14:paraId="7CEC82F7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dodatkowo powinno posiadać możliwość dostępu do danych za pomocą protokołów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Centera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CAS oraz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Atmos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.</w:t>
            </w:r>
          </w:p>
          <w:p w14:paraId="186934A5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Dane w obiektowym systemie składowania danych będącym przedmiotem zapytania muszą być składowane jako obiekty składające się z danych oraz opisujących je metadanych. Metadane nie mogą być składowane w wydzielonej bazie danych, a replikacja danych (obiektów) obywa się spójnie z metadanymi.</w:t>
            </w:r>
          </w:p>
          <w:p w14:paraId="17155B9C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Dla protokołu S3 rozwiązanie musi posiadać wbudowany mechanizm indeksowania i przeszukiwania metadanych. Musi istnieć możliwość wyszukiwania w oparciu o wewnętrzną wyszukiwarkę lub interfejs API pozwalający na integrację silnika wyszukiwania z własną aplikacją.</w:t>
            </w:r>
          </w:p>
          <w:p w14:paraId="296835F5" w14:textId="6671B8BC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musi posiadać możliwość zdefiniowania kluczy metadanych do indeksowania.</w:t>
            </w:r>
          </w:p>
          <w:p w14:paraId="1DEABA05" w14:textId="33C9021A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Per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Bucket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musi istnieć możliwość zdefiniowania min. 30 kluczy do indeksowania.</w:t>
            </w:r>
          </w:p>
          <w:p w14:paraId="50EF0644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powinno posiadać wbudowany mechanizm wersjonowania obiektów w przypadku wykorzystania protokołu S3.</w:t>
            </w:r>
          </w:p>
          <w:p w14:paraId="7CD03E3C" w14:textId="30944B9D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</w:t>
            </w:r>
            <w:r w:rsidR="00C004B4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umożliwiać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zarządzanie listami kontroli dostępu ACL oraz politykami dostępu do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Bucket'ów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Bucket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Policy), przy pomocy których można definiować uprawnienia przyznawane użytkownikom.</w:t>
            </w:r>
          </w:p>
          <w:p w14:paraId="5BF07456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Urządzenie powinno wspierać autentykację przy pomocy mechanizmu 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lastRenderedPageBreak/>
              <w:t>IAM (Identity and Access Management).</w:t>
            </w:r>
          </w:p>
          <w:p w14:paraId="32AC00DA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Platforma powinna być zbudowana w architekturze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scale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-out (skalowalnej horyzontalnie).</w:t>
            </w:r>
          </w:p>
          <w:p w14:paraId="0BA97D78" w14:textId="07663842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Wymagana pojemność musi być dostarczona</w:t>
            </w:r>
            <w:r w:rsidR="00CC6BA2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, 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zainstalowana</w:t>
            </w:r>
            <w:r w:rsidR="00CC6BA2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i skonfigurowana do pracy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w dwóch ośrodkach przetwarzania danych. Każdy obiekt docelowo powinien być przechowywany w obu ośrodkach, a rozwiązanie powinno być odporne na awarię dowolnego z tych ośrodków tzn. taka awaria nie może prowadzić do utraty pojemności, utraty danych, ani do utraty dostępu do nich.</w:t>
            </w:r>
          </w:p>
          <w:p w14:paraId="003F2902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Dostarczony sprzęt w każdej lokalizacji powinien posiadać pojemność przynajmniej 700 TB netto, - bez wykorzystania mechanizmów redukcji danych i po zastosowaniu wymaganej protekcji.</w:t>
            </w:r>
          </w:p>
          <w:p w14:paraId="1214DEFD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Każda lokalizacja powinna być zbudowana z przynajmniej 6 węzłów/kontrolerów.</w:t>
            </w:r>
          </w:p>
          <w:p w14:paraId="45BB384C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powinno umożliwiać skalowanie poprzez dokładanie kolejnych kontrolerów i/lub dysków. Wymagana jest skalowalność do pojemności min 100PB. Rozbudowa rozwiązania powinna być bezprzerwowa.</w:t>
            </w:r>
          </w:p>
          <w:p w14:paraId="3A6BA025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Wymagana pojemność musi być dostarczona na dyskach twardych znajdujących się wewnątrz węzłów rozwiązania. Nie są dopuszczalne rozwiązania oparte o taśmy, czy platformy chmurowe.</w:t>
            </w:r>
          </w:p>
          <w:p w14:paraId="4DEB8402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Dopuszczalne są dyski typu SATA lub NL-SAS nie większej pojemności niż 8TB.</w:t>
            </w:r>
          </w:p>
          <w:p w14:paraId="5F340F06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być wyposażone w pamięć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flash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(w postaci dysków SSD lub modułów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flash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) na potrzeby akceleracji i buforowania metadanych. Wymagana jest pojemność min. 960GB per węzeł.</w:t>
            </w:r>
          </w:p>
          <w:p w14:paraId="6B315243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Dane muszą być chronione przy pomocy kodowania nadmiarowych (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Erasure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Coding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) na wewnętrznych dyskach kontrolerów. Rozwiązanie nie 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lastRenderedPageBreak/>
              <w:t>dopuszcza stosowania struktur typu RAID czy LUN wymagających dodatkowego administrowania.</w:t>
            </w:r>
          </w:p>
          <w:p w14:paraId="5E2DC28F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Przestrzeń służąca do przechowywania danych powinna być skonfigurowana tak, aby była odporna na jednoczesną awarię co najmniej 2 dowolnych dysków twardych lub kontrolerów (tzn. taka awaria nie powinna prowadzić do utraty danych).</w:t>
            </w:r>
          </w:p>
          <w:p w14:paraId="1C8DC949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Dostęp do rozwiązania powinien być realizowany za pomocą protokołu Ethernet oraz interfejsów 10Gb lub 25Gb.</w:t>
            </w:r>
          </w:p>
          <w:p w14:paraId="066FA720" w14:textId="5E732F35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W przypadku, gdy system wymaga przełączników na potrzeby wewnętrznej i/lub </w:t>
            </w:r>
            <w:r w:rsidR="00CC6BA2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zewnętrznej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komunikacji, należy zapewnić redundantne przełączniki LAN 10Gb lub 25Gb z odpowiednią ilością portów. Przełączniki powinny pochodzić od tego samego producenta, co reszta rozwiązania.</w:t>
            </w:r>
          </w:p>
          <w:p w14:paraId="046B338C" w14:textId="4B6A2A50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Urządzenie nie może posiadać </w:t>
            </w:r>
            <w:r w:rsidR="00CC6BA2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pojedynczego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punktu awarii, tzn. wszystkie jego elementy muszą być redundantne, a jego architektura musi zapewniać odporność na awarię w obrębie poszczególnych grup elementów, przynajmniej w zakresie dysków, interfejsów dostępowych, kontrolerów, zasilaczy i wentylatorów.</w:t>
            </w:r>
          </w:p>
          <w:p w14:paraId="1FA528D3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musi mieć możliwość podłączenia go do centrum serwisowego producenta w celu zdalnego monitorowania poprawności funkcjonowania komponentów rozwiązania.</w:t>
            </w:r>
          </w:p>
          <w:p w14:paraId="1E1BEB84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Ze względu na wysoką dostępność, oferowane urządzenie musi umożliwiać dostęp do danych bezpośrednio przez wszystkie dostarczone kontrolery (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t.j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. bez wydzielonych kontrolerów dostępowych,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management'owych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storage'owych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itd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)</w:t>
            </w:r>
          </w:p>
          <w:p w14:paraId="3026D7A8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Oferowane rozwiązanie musi być oparte o kontrolery o wysokości nie większej niż 2RU</w:t>
            </w:r>
          </w:p>
          <w:p w14:paraId="5D2C246B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powinno umożliwiać zapisanie przynamniej 10 mld obiektów 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lastRenderedPageBreak/>
              <w:t>bez konieczności rozbudowy czy dodawania kontrolerów.</w:t>
            </w:r>
          </w:p>
          <w:p w14:paraId="017DF54A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Urządzenie musi umożliwiać replikację w technologii geograficznie rozproszonego klastra pracującego w trybie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active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active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, tzn. te same dane (obiekty) powinny być dostępne w trybie odczyt/zapis w obu ośrodkach jednocześnie.</w:t>
            </w:r>
          </w:p>
          <w:p w14:paraId="5837D83F" w14:textId="72DA8494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W replikacji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active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active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system musi mieć możliwość pracy</w:t>
            </w:r>
            <w:r w:rsidR="009E35AB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w trybie tzw. "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strong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consistency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" tzn. powinien zwracać najbardziej aktualną wersję obiektu, niezależnie od tego, do którego ośrodka trafi zapytanie.</w:t>
            </w:r>
          </w:p>
          <w:p w14:paraId="716FC3D9" w14:textId="36D21B68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Replikacja musi odbywać się w ramach szyfrowanego kanału. Funkcjonalność szyfrowania powinna być wspierana przez platformę </w:t>
            </w:r>
            <w:r w:rsidR="00374FC8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obiektową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.</w:t>
            </w:r>
          </w:p>
          <w:p w14:paraId="67B954C4" w14:textId="36006F44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Przynajmniej dla protokołów NFS,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Centera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CAS oraz S3 system musi zapewniać i gwarantować niezmienność składowanych w nim obiektów poprzez wykorzystanie wbudowanej funkcjonalności WORM (Write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Once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Read Many). Funkcjonalność WORM musi być realizowana wewnątrz dostarczonego gotowego rozwiązania sprzętowego w jego oprogramowaniu systemowym.</w:t>
            </w:r>
          </w:p>
          <w:p w14:paraId="4BF5C3A3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musi posiadać możliwość definiowania różnych poziomów retencji przechowywania danych, gwarantujących brak możliwości skasowania danych przed upływem zdefiniowanego czasu.</w:t>
            </w:r>
          </w:p>
          <w:p w14:paraId="2E5F154A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pozwalać na zdefiniowanie partycji, w których istnieje możliwość usuwania danych przed upływem retencji oraz partycji (tzw. tryb Enterprise), w których usuwanie danych przed upływem retencji jest niemożliwe - również przez operatora/administratora platformy (tzw. tryb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Compliance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). Rozwiązanie powinno pozwalać na definiowanie i uruchamianie jednocześnie obydwu typów partycji. Jeżeli ta funkcjonalność wymaga dodatkowej licencji, należy ją dostarczyć.</w:t>
            </w:r>
          </w:p>
          <w:p w14:paraId="10C07FE4" w14:textId="79665C1D" w:rsidR="00A61677" w:rsidRPr="00CB0BBD" w:rsidRDefault="00374FC8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</w:t>
            </w:r>
            <w:r w:rsidR="00A61677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natywnie (tzn. bez hostów pośredniczących) powinno wspierać </w:t>
            </w:r>
            <w:r w:rsidR="00A61677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lastRenderedPageBreak/>
              <w:t xml:space="preserve">replikację do innych </w:t>
            </w:r>
            <w:proofErr w:type="spellStart"/>
            <w:r w:rsidR="00A61677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targetów</w:t>
            </w:r>
            <w:proofErr w:type="spellEnd"/>
            <w:r w:rsidR="00A61677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S3 (np. </w:t>
            </w:r>
            <w:proofErr w:type="spellStart"/>
            <w:r w:rsidR="00A61677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Bucket</w:t>
            </w:r>
            <w:proofErr w:type="spellEnd"/>
            <w:r w:rsidR="00A61677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S3 w Amazon AWS)</w:t>
            </w:r>
          </w:p>
          <w:p w14:paraId="43F716A9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Wymagana wsparcie dla S3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ObjectLock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.</w:t>
            </w:r>
          </w:p>
          <w:p w14:paraId="792D1A26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Dla funkcjonalności WORM urządzenie musi spełniać wymagania standardu SEC 17-a4 oraz FIPS.</w:t>
            </w:r>
          </w:p>
          <w:p w14:paraId="52510BF4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musi posiadać możliwość tworzenie logicznie odseparowanych obszarów tzw. „MULTI-TENANCY”. Wymagana jest możliwość rozdzielnego administrowania (np.: przypisywanie użytkowników, tworzenie praw dostępu, polityki składowania danych, monitorowanie wykorzystania) tak tworzonymi obszarami.</w:t>
            </w:r>
          </w:p>
          <w:p w14:paraId="0A447C11" w14:textId="49B957FF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Zamawiający wymaga, aby dostarczone rozwiązanie posiadało możliwość zdefiniowania co najmniej 1000 logicznych partycji ("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tennant'ów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").</w:t>
            </w:r>
          </w:p>
          <w:p w14:paraId="00584549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Musi istnieć możliwość mapowania zasobów do różnych zastosowań w taki sposób, aby dla każdego z nich możliwe było definiowanie różnych i niezależnych parametrów i kryteriów składowania danych w tym, co najmniej: retencji,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quoty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, indeksowania i replikacji.</w:t>
            </w:r>
          </w:p>
          <w:p w14:paraId="5566C255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Wymagana jest możliwość autentykacji z użyciem AD/LDAP.</w:t>
            </w:r>
          </w:p>
          <w:p w14:paraId="623A154A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posiadać swoje własne wbudowane mechanizmy weryfikacji integralności danych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np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przy pomocy sum kontrolnych składowanych obiektów.</w:t>
            </w:r>
          </w:p>
          <w:p w14:paraId="694F9B03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Rozwiązanie musi posiadać wbudowane mechanizmy redukcji danych, w tym co najmniej kompresję danych. W przypadku braku tej funkcjonalności, należy dostarczyć 100% więcej pojemności.</w:t>
            </w:r>
          </w:p>
          <w:p w14:paraId="2DFAA7D8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posiadać funkcjonalność szyfrowania danych przechowywanych na dyskach obiektowego magazynu składowania danych. Wymagane jest użycie algorytmu min. AES-256 lub równoważnego. Jeżeli wymagana jest licencja, należy ją dostarczyć. Urządzenie musi posiadać wbudowany 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lastRenderedPageBreak/>
              <w:t xml:space="preserve">menedżer kluczy szyfrujących, jak i umożliwiać integrację z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zewnętrzym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 menedżerem kluczy za pomocą protokołu KMIP.</w:t>
            </w:r>
          </w:p>
          <w:p w14:paraId="0405D693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Wymagane jest wsparcie dla komend API S3 Select.</w:t>
            </w:r>
          </w:p>
          <w:p w14:paraId="6F05755B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powinno umożliwiać rozbudowę o narzędzia do wykrywania i automatycznego reagowania na ataki typu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Ransomware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.</w:t>
            </w:r>
          </w:p>
          <w:p w14:paraId="3F74077D" w14:textId="77777777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Rozwiązanie musi </w:t>
            </w:r>
            <w:proofErr w:type="spellStart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umożlwiać</w:t>
            </w:r>
            <w:proofErr w:type="spellEnd"/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:</w:t>
            </w:r>
          </w:p>
          <w:p w14:paraId="615021BF" w14:textId="31A6FB46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- </w:t>
            </w:r>
            <w:r w:rsidR="00374FC8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z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arządzanie co najmniej poprzez graficzny interfejs użytkownika oraz poprzez API</w:t>
            </w:r>
            <w:r w:rsidR="00374FC8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;</w:t>
            </w:r>
          </w:p>
          <w:p w14:paraId="5A2B8656" w14:textId="559BFC3A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- </w:t>
            </w:r>
            <w:r w:rsidR="00374FC8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a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utomatyczny monitoring obejmujący m.in.: utylizację zasobów on-line (w tym CPU, pamięć, sieć), zajętość miejsca, </w:t>
            </w:r>
            <w:r w:rsidR="00374FC8"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transfery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, czy ilość operacji</w:t>
            </w:r>
            <w:r w:rsidR="00374FC8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;</w:t>
            </w:r>
          </w:p>
          <w:p w14:paraId="52CD64F0" w14:textId="161248F3" w:rsidR="00A61677" w:rsidRPr="00CB0BBD" w:rsidRDefault="00A61677" w:rsidP="00F95812">
            <w:pPr>
              <w:spacing w:before="60" w:after="60" w:line="259" w:lineRule="auto"/>
              <w:jc w:val="center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- </w:t>
            </w:r>
            <w:r w:rsidR="00374FC8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t</w:t>
            </w:r>
            <w:r w:rsidRPr="00CB0BBD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worzenie alertów i powiadomień dot. stanu SYSTEMU, automatyczne przesyłanie ich poprzez e-mail</w:t>
            </w:r>
          </w:p>
          <w:p w14:paraId="3559290D" w14:textId="28480B6A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876" w14:textId="38D89522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BE4E" w14:textId="035DA4F8" w:rsidR="00A61677" w:rsidRPr="00E03124" w:rsidRDefault="00A61677" w:rsidP="00F95812">
            <w:pPr>
              <w:spacing w:before="60" w:after="60" w:line="259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ECS</w:t>
            </w:r>
          </w:p>
        </w:tc>
      </w:tr>
    </w:tbl>
    <w:p w14:paraId="1292EEA4" w14:textId="77777777" w:rsidR="002D1D76" w:rsidRPr="00CB0BBD" w:rsidRDefault="002D1D76" w:rsidP="00F95812">
      <w:pPr>
        <w:spacing w:before="60" w:after="60" w:line="259" w:lineRule="auto"/>
        <w:jc w:val="both"/>
        <w:rPr>
          <w:rFonts w:ascii="Arial" w:eastAsiaTheme="minorHAnsi" w:hAnsi="Arial" w:cs="Arial"/>
          <w:color w:val="000000"/>
          <w:sz w:val="21"/>
          <w:szCs w:val="21"/>
        </w:rPr>
      </w:pPr>
    </w:p>
    <w:sectPr w:rsidR="002D1D76" w:rsidRPr="00CB0B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488ED" w14:textId="77777777" w:rsidR="004142E2" w:rsidRDefault="004142E2" w:rsidP="001D79A8">
      <w:r>
        <w:separator/>
      </w:r>
    </w:p>
  </w:endnote>
  <w:endnote w:type="continuationSeparator" w:id="0">
    <w:p w14:paraId="0400D306" w14:textId="77777777" w:rsidR="004142E2" w:rsidRDefault="004142E2" w:rsidP="001D79A8">
      <w:r>
        <w:continuationSeparator/>
      </w:r>
    </w:p>
  </w:endnote>
  <w:endnote w:type="continuationNotice" w:id="1">
    <w:p w14:paraId="23EB1FAB" w14:textId="77777777" w:rsidR="004142E2" w:rsidRDefault="00414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6A0" w14:textId="6B9ECDAE" w:rsidR="0022687C" w:rsidRDefault="0022687C" w:rsidP="00F95812">
    <w:pPr>
      <w:pStyle w:val="Stopka"/>
      <w:jc w:val="center"/>
    </w:pPr>
    <w:r w:rsidRPr="001B350A">
      <w:rPr>
        <w:rFonts w:ascii="Arial" w:hAnsi="Arial" w:cs="Arial"/>
        <w:sz w:val="20"/>
        <w:szCs w:val="20"/>
      </w:rPr>
      <w:t xml:space="preserve">s.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>PAGE   \* MERGEFORMAT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E6A6" w14:textId="77777777" w:rsidR="004142E2" w:rsidRDefault="004142E2" w:rsidP="001D79A8">
      <w:r>
        <w:separator/>
      </w:r>
    </w:p>
  </w:footnote>
  <w:footnote w:type="continuationSeparator" w:id="0">
    <w:p w14:paraId="0B5FC763" w14:textId="77777777" w:rsidR="004142E2" w:rsidRDefault="004142E2" w:rsidP="001D79A8">
      <w:r>
        <w:continuationSeparator/>
      </w:r>
    </w:p>
  </w:footnote>
  <w:footnote w:type="continuationNotice" w:id="1">
    <w:p w14:paraId="2A308697" w14:textId="77777777" w:rsidR="004142E2" w:rsidRDefault="00414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90880" w14:textId="7673A055" w:rsidR="00D74FF8" w:rsidRPr="00F925BE" w:rsidRDefault="00C77B45" w:rsidP="00536033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Lato" w:hAnsi="Lato"/>
        <w:sz w:val="20"/>
        <w:szCs w:val="20"/>
      </w:rPr>
    </w:pPr>
    <w:r w:rsidRPr="00077482">
      <w:rPr>
        <w:rFonts w:ascii="Trebuchet MS" w:hAnsi="Trebuchet MS"/>
        <w:color w:val="404040" w:themeColor="text1" w:themeTint="BF"/>
        <w:sz w:val="22"/>
        <w:szCs w:val="22"/>
      </w:rPr>
      <w:t>BF-numer dodać PRZED PUBLIKACJĄ</w:t>
    </w:r>
    <w:r>
      <w:rPr>
        <w:rFonts w:ascii="Trebuchet MS" w:hAnsi="Trebuchet MS"/>
        <w:color w:val="404040" w:themeColor="text1" w:themeTint="BF"/>
        <w:sz w:val="22"/>
        <w:szCs w:val="22"/>
      </w:rPr>
      <w:t xml:space="preserve"> </w:t>
    </w:r>
    <w:r w:rsidRPr="00077482">
      <w:rPr>
        <w:rFonts w:ascii="Trebuchet MS" w:hAnsi="Trebuchet MS"/>
        <w:color w:val="404040" w:themeColor="text1" w:themeTint="BF"/>
        <w:sz w:val="22"/>
        <w:szCs w:val="22"/>
      </w:rPr>
      <w:t>- Tom III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E9E"/>
    <w:multiLevelType w:val="hybridMultilevel"/>
    <w:tmpl w:val="240E8F86"/>
    <w:lvl w:ilvl="0" w:tplc="B406DAC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34FE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A28"/>
    <w:multiLevelType w:val="hybridMultilevel"/>
    <w:tmpl w:val="ACAE2128"/>
    <w:lvl w:ilvl="0" w:tplc="60842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069"/>
    <w:multiLevelType w:val="multilevel"/>
    <w:tmpl w:val="5D1A4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84AB3"/>
    <w:multiLevelType w:val="hybridMultilevel"/>
    <w:tmpl w:val="996C5AAC"/>
    <w:lvl w:ilvl="0" w:tplc="0B6A3FF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C25DF4"/>
    <w:multiLevelType w:val="hybridMultilevel"/>
    <w:tmpl w:val="569C32D0"/>
    <w:lvl w:ilvl="0" w:tplc="D0E0A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5C0"/>
    <w:multiLevelType w:val="hybridMultilevel"/>
    <w:tmpl w:val="FE268EF2"/>
    <w:lvl w:ilvl="0" w:tplc="0B6A3FFE">
      <w:start w:val="1"/>
      <w:numFmt w:val="lowerLetter"/>
      <w:lvlText w:val="%1)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99C0E46"/>
    <w:multiLevelType w:val="multilevel"/>
    <w:tmpl w:val="CFACABB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A274D52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82292"/>
    <w:multiLevelType w:val="hybridMultilevel"/>
    <w:tmpl w:val="D390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D76342"/>
    <w:multiLevelType w:val="hybridMultilevel"/>
    <w:tmpl w:val="67DA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33BCA"/>
    <w:multiLevelType w:val="multilevel"/>
    <w:tmpl w:val="CB8A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C02D17"/>
    <w:multiLevelType w:val="hybridMultilevel"/>
    <w:tmpl w:val="35404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C0CB91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305D8"/>
    <w:multiLevelType w:val="multilevel"/>
    <w:tmpl w:val="C2ACC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3" w15:restartNumberingAfterBreak="0">
    <w:nsid w:val="416D31AB"/>
    <w:multiLevelType w:val="hybridMultilevel"/>
    <w:tmpl w:val="2EAE1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88BC0A16">
      <w:start w:val="360"/>
      <w:numFmt w:val="decimal"/>
      <w:lvlText w:val="%2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2003E98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783E14"/>
    <w:multiLevelType w:val="hybridMultilevel"/>
    <w:tmpl w:val="9DBCA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27E0ED6"/>
    <w:multiLevelType w:val="multilevel"/>
    <w:tmpl w:val="8ACE711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42DA59D7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8C74B94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8C365A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7F93"/>
    <w:multiLevelType w:val="multilevel"/>
    <w:tmpl w:val="024A1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1713F6"/>
    <w:multiLevelType w:val="multilevel"/>
    <w:tmpl w:val="31D63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1903B9A"/>
    <w:multiLevelType w:val="hybridMultilevel"/>
    <w:tmpl w:val="CC7C4984"/>
    <w:lvl w:ilvl="0" w:tplc="EB5022A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6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067D51"/>
    <w:multiLevelType w:val="hybridMultilevel"/>
    <w:tmpl w:val="AD1C7D5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437906"/>
    <w:multiLevelType w:val="hybridMultilevel"/>
    <w:tmpl w:val="C5B4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92CA6"/>
    <w:multiLevelType w:val="hybridMultilevel"/>
    <w:tmpl w:val="2A7A0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7130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06BB3"/>
    <w:multiLevelType w:val="hybridMultilevel"/>
    <w:tmpl w:val="90C42D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9151C07"/>
    <w:multiLevelType w:val="multilevel"/>
    <w:tmpl w:val="37D2F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82EC7"/>
    <w:multiLevelType w:val="hybridMultilevel"/>
    <w:tmpl w:val="04EA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DDB0BA5"/>
    <w:multiLevelType w:val="hybridMultilevel"/>
    <w:tmpl w:val="C58326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9"/>
  </w:num>
  <w:num w:numId="3">
    <w:abstractNumId w:val="31"/>
  </w:num>
  <w:num w:numId="4">
    <w:abstractNumId w:val="25"/>
  </w:num>
  <w:num w:numId="5">
    <w:abstractNumId w:val="20"/>
  </w:num>
  <w:num w:numId="6">
    <w:abstractNumId w:val="34"/>
  </w:num>
  <w:num w:numId="7">
    <w:abstractNumId w:val="32"/>
  </w:num>
  <w:num w:numId="8">
    <w:abstractNumId w:val="2"/>
  </w:num>
  <w:num w:numId="9">
    <w:abstractNumId w:val="36"/>
  </w:num>
  <w:num w:numId="10">
    <w:abstractNumId w:val="5"/>
  </w:num>
  <w:num w:numId="11">
    <w:abstractNumId w:val="30"/>
  </w:num>
  <w:num w:numId="12">
    <w:abstractNumId w:val="37"/>
  </w:num>
  <w:num w:numId="13">
    <w:abstractNumId w:val="4"/>
  </w:num>
  <w:num w:numId="14">
    <w:abstractNumId w:val="35"/>
  </w:num>
  <w:num w:numId="15">
    <w:abstractNumId w:val="24"/>
  </w:num>
  <w:num w:numId="16">
    <w:abstractNumId w:val="7"/>
  </w:num>
  <w:num w:numId="17">
    <w:abstractNumId w:val="21"/>
  </w:num>
  <w:num w:numId="18">
    <w:abstractNumId w:val="11"/>
  </w:num>
  <w:num w:numId="19">
    <w:abstractNumId w:val="41"/>
  </w:num>
  <w:num w:numId="20">
    <w:abstractNumId w:val="40"/>
  </w:num>
  <w:num w:numId="21">
    <w:abstractNumId w:val="45"/>
  </w:num>
  <w:num w:numId="22">
    <w:abstractNumId w:val="28"/>
  </w:num>
  <w:num w:numId="23">
    <w:abstractNumId w:val="44"/>
  </w:num>
  <w:num w:numId="24">
    <w:abstractNumId w:val="3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3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5"/>
  </w:num>
  <w:num w:numId="38">
    <w:abstractNumId w:val="17"/>
  </w:num>
  <w:num w:numId="39">
    <w:abstractNumId w:val="1"/>
  </w:num>
  <w:num w:numId="40">
    <w:abstractNumId w:val="14"/>
  </w:num>
  <w:num w:numId="41">
    <w:abstractNumId w:val="27"/>
  </w:num>
  <w:num w:numId="42">
    <w:abstractNumId w:val="43"/>
  </w:num>
  <w:num w:numId="43">
    <w:abstractNumId w:val="12"/>
  </w:num>
  <w:num w:numId="44">
    <w:abstractNumId w:val="39"/>
  </w:num>
  <w:num w:numId="45">
    <w:abstractNumId w:val="22"/>
  </w:num>
  <w:num w:numId="46">
    <w:abstractNumId w:val="16"/>
  </w:num>
  <w:num w:numId="4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036"/>
    <w:rsid w:val="00000BD7"/>
    <w:rsid w:val="000016EC"/>
    <w:rsid w:val="000043FE"/>
    <w:rsid w:val="00006FC3"/>
    <w:rsid w:val="0000701D"/>
    <w:rsid w:val="00010AFE"/>
    <w:rsid w:val="000125CE"/>
    <w:rsid w:val="00012721"/>
    <w:rsid w:val="00013DBE"/>
    <w:rsid w:val="000156FA"/>
    <w:rsid w:val="0001783E"/>
    <w:rsid w:val="00017B73"/>
    <w:rsid w:val="0002124F"/>
    <w:rsid w:val="00021EA5"/>
    <w:rsid w:val="000235C3"/>
    <w:rsid w:val="00023CA2"/>
    <w:rsid w:val="0003383F"/>
    <w:rsid w:val="00034EDB"/>
    <w:rsid w:val="000446B6"/>
    <w:rsid w:val="00044D9D"/>
    <w:rsid w:val="000462B9"/>
    <w:rsid w:val="00046352"/>
    <w:rsid w:val="00046E77"/>
    <w:rsid w:val="000505ED"/>
    <w:rsid w:val="000509AC"/>
    <w:rsid w:val="00050E90"/>
    <w:rsid w:val="000522A9"/>
    <w:rsid w:val="00053C88"/>
    <w:rsid w:val="00055A44"/>
    <w:rsid w:val="00056734"/>
    <w:rsid w:val="00060E17"/>
    <w:rsid w:val="0006316E"/>
    <w:rsid w:val="0006666F"/>
    <w:rsid w:val="000706F8"/>
    <w:rsid w:val="00072A14"/>
    <w:rsid w:val="00075202"/>
    <w:rsid w:val="000753E5"/>
    <w:rsid w:val="00077E72"/>
    <w:rsid w:val="000827D2"/>
    <w:rsid w:val="00083720"/>
    <w:rsid w:val="0008522F"/>
    <w:rsid w:val="000852BE"/>
    <w:rsid w:val="00090E1C"/>
    <w:rsid w:val="00096552"/>
    <w:rsid w:val="000A0AC6"/>
    <w:rsid w:val="000A1AD6"/>
    <w:rsid w:val="000A21C4"/>
    <w:rsid w:val="000B0718"/>
    <w:rsid w:val="000B3072"/>
    <w:rsid w:val="000B3703"/>
    <w:rsid w:val="000B3807"/>
    <w:rsid w:val="000B5E4D"/>
    <w:rsid w:val="000B6CB7"/>
    <w:rsid w:val="000C10F2"/>
    <w:rsid w:val="000C41BF"/>
    <w:rsid w:val="000C6F2C"/>
    <w:rsid w:val="000C76C8"/>
    <w:rsid w:val="000C7A90"/>
    <w:rsid w:val="000D49BB"/>
    <w:rsid w:val="000D6141"/>
    <w:rsid w:val="000E02BA"/>
    <w:rsid w:val="000E19DD"/>
    <w:rsid w:val="000E1F45"/>
    <w:rsid w:val="000E4547"/>
    <w:rsid w:val="000E7873"/>
    <w:rsid w:val="000F4244"/>
    <w:rsid w:val="00106752"/>
    <w:rsid w:val="00110299"/>
    <w:rsid w:val="0011182B"/>
    <w:rsid w:val="00113A7E"/>
    <w:rsid w:val="001171A4"/>
    <w:rsid w:val="00121D13"/>
    <w:rsid w:val="0012268A"/>
    <w:rsid w:val="001273B0"/>
    <w:rsid w:val="00135207"/>
    <w:rsid w:val="0014116C"/>
    <w:rsid w:val="00143071"/>
    <w:rsid w:val="00146EBB"/>
    <w:rsid w:val="00153089"/>
    <w:rsid w:val="001570F2"/>
    <w:rsid w:val="00157391"/>
    <w:rsid w:val="001600E4"/>
    <w:rsid w:val="001603E0"/>
    <w:rsid w:val="0016150B"/>
    <w:rsid w:val="00161BE5"/>
    <w:rsid w:val="0016478C"/>
    <w:rsid w:val="00164CE2"/>
    <w:rsid w:val="00165382"/>
    <w:rsid w:val="001653CD"/>
    <w:rsid w:val="001665D0"/>
    <w:rsid w:val="00167EC4"/>
    <w:rsid w:val="00172746"/>
    <w:rsid w:val="00175B31"/>
    <w:rsid w:val="0017775E"/>
    <w:rsid w:val="00177D0F"/>
    <w:rsid w:val="00187966"/>
    <w:rsid w:val="00193D17"/>
    <w:rsid w:val="00196152"/>
    <w:rsid w:val="001A2AED"/>
    <w:rsid w:val="001A2C07"/>
    <w:rsid w:val="001A60CD"/>
    <w:rsid w:val="001A65EE"/>
    <w:rsid w:val="001B069C"/>
    <w:rsid w:val="001B1E3C"/>
    <w:rsid w:val="001B350A"/>
    <w:rsid w:val="001B494A"/>
    <w:rsid w:val="001B68A7"/>
    <w:rsid w:val="001B6D17"/>
    <w:rsid w:val="001C2478"/>
    <w:rsid w:val="001C358F"/>
    <w:rsid w:val="001C3773"/>
    <w:rsid w:val="001C4746"/>
    <w:rsid w:val="001D1A74"/>
    <w:rsid w:val="001D384D"/>
    <w:rsid w:val="001D77FA"/>
    <w:rsid w:val="001D79A8"/>
    <w:rsid w:val="001E0981"/>
    <w:rsid w:val="001E0ACE"/>
    <w:rsid w:val="001E1326"/>
    <w:rsid w:val="001E1C8E"/>
    <w:rsid w:val="001E30F0"/>
    <w:rsid w:val="001E4C00"/>
    <w:rsid w:val="001E54D9"/>
    <w:rsid w:val="001F0C38"/>
    <w:rsid w:val="001F0DB4"/>
    <w:rsid w:val="001F2A5F"/>
    <w:rsid w:val="001F3322"/>
    <w:rsid w:val="001F4902"/>
    <w:rsid w:val="001F4BF9"/>
    <w:rsid w:val="001F70E6"/>
    <w:rsid w:val="00202237"/>
    <w:rsid w:val="00203802"/>
    <w:rsid w:val="00203B57"/>
    <w:rsid w:val="002049C2"/>
    <w:rsid w:val="00205951"/>
    <w:rsid w:val="002079E3"/>
    <w:rsid w:val="0021615A"/>
    <w:rsid w:val="00224B78"/>
    <w:rsid w:val="002259A9"/>
    <w:rsid w:val="0022659A"/>
    <w:rsid w:val="0022687C"/>
    <w:rsid w:val="00227D83"/>
    <w:rsid w:val="002350A3"/>
    <w:rsid w:val="002353B9"/>
    <w:rsid w:val="002356D4"/>
    <w:rsid w:val="00235D1A"/>
    <w:rsid w:val="002375A5"/>
    <w:rsid w:val="0023767A"/>
    <w:rsid w:val="0023791B"/>
    <w:rsid w:val="00241BC6"/>
    <w:rsid w:val="00241F9F"/>
    <w:rsid w:val="0024675D"/>
    <w:rsid w:val="0025263A"/>
    <w:rsid w:val="002536D8"/>
    <w:rsid w:val="00253FE3"/>
    <w:rsid w:val="00256306"/>
    <w:rsid w:val="002579E7"/>
    <w:rsid w:val="00264ACA"/>
    <w:rsid w:val="002654C3"/>
    <w:rsid w:val="00266AB7"/>
    <w:rsid w:val="00270CA0"/>
    <w:rsid w:val="0027294E"/>
    <w:rsid w:val="00275695"/>
    <w:rsid w:val="00276830"/>
    <w:rsid w:val="00281471"/>
    <w:rsid w:val="00283F94"/>
    <w:rsid w:val="00285211"/>
    <w:rsid w:val="00285E2B"/>
    <w:rsid w:val="002870BE"/>
    <w:rsid w:val="00287FD5"/>
    <w:rsid w:val="00290634"/>
    <w:rsid w:val="00291D19"/>
    <w:rsid w:val="002959D4"/>
    <w:rsid w:val="00295E46"/>
    <w:rsid w:val="002A28C0"/>
    <w:rsid w:val="002A3B30"/>
    <w:rsid w:val="002A4180"/>
    <w:rsid w:val="002A56E1"/>
    <w:rsid w:val="002A68F5"/>
    <w:rsid w:val="002B2A44"/>
    <w:rsid w:val="002B6795"/>
    <w:rsid w:val="002B681A"/>
    <w:rsid w:val="002C0374"/>
    <w:rsid w:val="002C3060"/>
    <w:rsid w:val="002C5B77"/>
    <w:rsid w:val="002D0CED"/>
    <w:rsid w:val="002D1522"/>
    <w:rsid w:val="002D1708"/>
    <w:rsid w:val="002D1D76"/>
    <w:rsid w:val="002D3E0D"/>
    <w:rsid w:val="002D5706"/>
    <w:rsid w:val="002D6E4D"/>
    <w:rsid w:val="002D78D6"/>
    <w:rsid w:val="002E250E"/>
    <w:rsid w:val="002F3CEA"/>
    <w:rsid w:val="002F5895"/>
    <w:rsid w:val="002F65E7"/>
    <w:rsid w:val="002F6F8C"/>
    <w:rsid w:val="003000A4"/>
    <w:rsid w:val="003006FC"/>
    <w:rsid w:val="00300B7F"/>
    <w:rsid w:val="00300F6A"/>
    <w:rsid w:val="00301259"/>
    <w:rsid w:val="00307A29"/>
    <w:rsid w:val="003101E7"/>
    <w:rsid w:val="00310586"/>
    <w:rsid w:val="00311E77"/>
    <w:rsid w:val="00312C8F"/>
    <w:rsid w:val="0031513E"/>
    <w:rsid w:val="00315D12"/>
    <w:rsid w:val="003164BF"/>
    <w:rsid w:val="0032131C"/>
    <w:rsid w:val="0032242B"/>
    <w:rsid w:val="00323199"/>
    <w:rsid w:val="00323796"/>
    <w:rsid w:val="0032470F"/>
    <w:rsid w:val="0032545F"/>
    <w:rsid w:val="00330FEA"/>
    <w:rsid w:val="00335689"/>
    <w:rsid w:val="00335AFE"/>
    <w:rsid w:val="00342D25"/>
    <w:rsid w:val="00342EF5"/>
    <w:rsid w:val="00345712"/>
    <w:rsid w:val="0034748C"/>
    <w:rsid w:val="0035203B"/>
    <w:rsid w:val="00352292"/>
    <w:rsid w:val="0035689C"/>
    <w:rsid w:val="00361D99"/>
    <w:rsid w:val="00362692"/>
    <w:rsid w:val="00366881"/>
    <w:rsid w:val="00367EA5"/>
    <w:rsid w:val="00372075"/>
    <w:rsid w:val="00373BA7"/>
    <w:rsid w:val="00374FC8"/>
    <w:rsid w:val="00376855"/>
    <w:rsid w:val="003775D3"/>
    <w:rsid w:val="00380286"/>
    <w:rsid w:val="00380503"/>
    <w:rsid w:val="00380869"/>
    <w:rsid w:val="00381D44"/>
    <w:rsid w:val="00382A04"/>
    <w:rsid w:val="0038537F"/>
    <w:rsid w:val="00385CEA"/>
    <w:rsid w:val="003867C4"/>
    <w:rsid w:val="003910B4"/>
    <w:rsid w:val="003911B1"/>
    <w:rsid w:val="00395C86"/>
    <w:rsid w:val="00396687"/>
    <w:rsid w:val="003A29D1"/>
    <w:rsid w:val="003A39FD"/>
    <w:rsid w:val="003A3CE7"/>
    <w:rsid w:val="003B08FB"/>
    <w:rsid w:val="003B3C72"/>
    <w:rsid w:val="003B4E88"/>
    <w:rsid w:val="003B75A6"/>
    <w:rsid w:val="003B7747"/>
    <w:rsid w:val="003C1B15"/>
    <w:rsid w:val="003C201E"/>
    <w:rsid w:val="003C653D"/>
    <w:rsid w:val="003C77F2"/>
    <w:rsid w:val="003C7AFF"/>
    <w:rsid w:val="003D3CA4"/>
    <w:rsid w:val="003D413D"/>
    <w:rsid w:val="003D45B5"/>
    <w:rsid w:val="003D663D"/>
    <w:rsid w:val="003D6B25"/>
    <w:rsid w:val="003D78FE"/>
    <w:rsid w:val="003D7B51"/>
    <w:rsid w:val="003D7C57"/>
    <w:rsid w:val="003E1FC2"/>
    <w:rsid w:val="003E2405"/>
    <w:rsid w:val="003E740D"/>
    <w:rsid w:val="003F378A"/>
    <w:rsid w:val="003F6BCB"/>
    <w:rsid w:val="003F6C70"/>
    <w:rsid w:val="004015B7"/>
    <w:rsid w:val="004021A3"/>
    <w:rsid w:val="0040543B"/>
    <w:rsid w:val="00413784"/>
    <w:rsid w:val="004142E2"/>
    <w:rsid w:val="00414925"/>
    <w:rsid w:val="00414EA1"/>
    <w:rsid w:val="00416099"/>
    <w:rsid w:val="00424534"/>
    <w:rsid w:val="00425AA7"/>
    <w:rsid w:val="00430F23"/>
    <w:rsid w:val="00433BB8"/>
    <w:rsid w:val="00433CFC"/>
    <w:rsid w:val="00445586"/>
    <w:rsid w:val="004456BD"/>
    <w:rsid w:val="00446FF6"/>
    <w:rsid w:val="00447345"/>
    <w:rsid w:val="004475EC"/>
    <w:rsid w:val="00447ADD"/>
    <w:rsid w:val="004504D7"/>
    <w:rsid w:val="004551E2"/>
    <w:rsid w:val="0045584F"/>
    <w:rsid w:val="004576E0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52F0"/>
    <w:rsid w:val="004A0F2E"/>
    <w:rsid w:val="004A640E"/>
    <w:rsid w:val="004A6CC5"/>
    <w:rsid w:val="004B1DC8"/>
    <w:rsid w:val="004B2EAB"/>
    <w:rsid w:val="004B4070"/>
    <w:rsid w:val="004B7061"/>
    <w:rsid w:val="004C3CD0"/>
    <w:rsid w:val="004C7F47"/>
    <w:rsid w:val="004D3834"/>
    <w:rsid w:val="004D5337"/>
    <w:rsid w:val="004E083C"/>
    <w:rsid w:val="004E2A70"/>
    <w:rsid w:val="004E5CE5"/>
    <w:rsid w:val="004E6638"/>
    <w:rsid w:val="004E77EA"/>
    <w:rsid w:val="004F0854"/>
    <w:rsid w:val="004F1C9F"/>
    <w:rsid w:val="004F2363"/>
    <w:rsid w:val="004F3B35"/>
    <w:rsid w:val="004F53F9"/>
    <w:rsid w:val="004F71ED"/>
    <w:rsid w:val="0050557F"/>
    <w:rsid w:val="0050677D"/>
    <w:rsid w:val="00507485"/>
    <w:rsid w:val="00514FCC"/>
    <w:rsid w:val="00515355"/>
    <w:rsid w:val="00527BD0"/>
    <w:rsid w:val="00527FD6"/>
    <w:rsid w:val="0053019D"/>
    <w:rsid w:val="00530408"/>
    <w:rsid w:val="0053118F"/>
    <w:rsid w:val="0053470B"/>
    <w:rsid w:val="0053544A"/>
    <w:rsid w:val="00536033"/>
    <w:rsid w:val="00537AED"/>
    <w:rsid w:val="005411D8"/>
    <w:rsid w:val="005423C4"/>
    <w:rsid w:val="00554199"/>
    <w:rsid w:val="00556859"/>
    <w:rsid w:val="00561695"/>
    <w:rsid w:val="00572F5D"/>
    <w:rsid w:val="0058206C"/>
    <w:rsid w:val="005841EA"/>
    <w:rsid w:val="00584202"/>
    <w:rsid w:val="005865BA"/>
    <w:rsid w:val="0059042A"/>
    <w:rsid w:val="005938FB"/>
    <w:rsid w:val="005943DF"/>
    <w:rsid w:val="005961F2"/>
    <w:rsid w:val="005A3AE7"/>
    <w:rsid w:val="005A6694"/>
    <w:rsid w:val="005B18B5"/>
    <w:rsid w:val="005B445B"/>
    <w:rsid w:val="005B652D"/>
    <w:rsid w:val="005C38FE"/>
    <w:rsid w:val="005C47F1"/>
    <w:rsid w:val="005C68F3"/>
    <w:rsid w:val="005D139C"/>
    <w:rsid w:val="005E087C"/>
    <w:rsid w:val="005E18E0"/>
    <w:rsid w:val="005E37F5"/>
    <w:rsid w:val="005F0918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4024"/>
    <w:rsid w:val="006045F7"/>
    <w:rsid w:val="00604FBE"/>
    <w:rsid w:val="00605C39"/>
    <w:rsid w:val="00606D68"/>
    <w:rsid w:val="0061018C"/>
    <w:rsid w:val="0061033D"/>
    <w:rsid w:val="00611A56"/>
    <w:rsid w:val="006134B7"/>
    <w:rsid w:val="00621881"/>
    <w:rsid w:val="00621D94"/>
    <w:rsid w:val="006228E9"/>
    <w:rsid w:val="00623A6A"/>
    <w:rsid w:val="00626B40"/>
    <w:rsid w:val="00626CD4"/>
    <w:rsid w:val="00627BF5"/>
    <w:rsid w:val="00627E65"/>
    <w:rsid w:val="006314E1"/>
    <w:rsid w:val="0064066D"/>
    <w:rsid w:val="00642541"/>
    <w:rsid w:val="00644C6F"/>
    <w:rsid w:val="006458AD"/>
    <w:rsid w:val="00646E63"/>
    <w:rsid w:val="00650285"/>
    <w:rsid w:val="00661FF8"/>
    <w:rsid w:val="006624F9"/>
    <w:rsid w:val="00664A98"/>
    <w:rsid w:val="00664EA8"/>
    <w:rsid w:val="00666362"/>
    <w:rsid w:val="00667090"/>
    <w:rsid w:val="006677BF"/>
    <w:rsid w:val="0067020A"/>
    <w:rsid w:val="00673A5F"/>
    <w:rsid w:val="0067485E"/>
    <w:rsid w:val="006766A5"/>
    <w:rsid w:val="00680C83"/>
    <w:rsid w:val="00681BCC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5D47"/>
    <w:rsid w:val="00697C16"/>
    <w:rsid w:val="006A00B2"/>
    <w:rsid w:val="006A0FB7"/>
    <w:rsid w:val="006A1889"/>
    <w:rsid w:val="006A3896"/>
    <w:rsid w:val="006B196D"/>
    <w:rsid w:val="006B2796"/>
    <w:rsid w:val="006B4C29"/>
    <w:rsid w:val="006B5B1E"/>
    <w:rsid w:val="006B5F36"/>
    <w:rsid w:val="006C015E"/>
    <w:rsid w:val="006C0CBC"/>
    <w:rsid w:val="006C1D55"/>
    <w:rsid w:val="006C2A29"/>
    <w:rsid w:val="006C78FF"/>
    <w:rsid w:val="006D0CB8"/>
    <w:rsid w:val="006D1E8E"/>
    <w:rsid w:val="006D2ED4"/>
    <w:rsid w:val="006D34C4"/>
    <w:rsid w:val="006D3D2D"/>
    <w:rsid w:val="006D420B"/>
    <w:rsid w:val="006E336F"/>
    <w:rsid w:val="006E46A6"/>
    <w:rsid w:val="006E5447"/>
    <w:rsid w:val="006E6C5A"/>
    <w:rsid w:val="006E7E3D"/>
    <w:rsid w:val="006F0496"/>
    <w:rsid w:val="006F3CB2"/>
    <w:rsid w:val="006F4622"/>
    <w:rsid w:val="006F7E3D"/>
    <w:rsid w:val="007008DA"/>
    <w:rsid w:val="00700ED7"/>
    <w:rsid w:val="00707359"/>
    <w:rsid w:val="00707B32"/>
    <w:rsid w:val="007102BD"/>
    <w:rsid w:val="0071056F"/>
    <w:rsid w:val="00710AFD"/>
    <w:rsid w:val="00710EEA"/>
    <w:rsid w:val="00711E7B"/>
    <w:rsid w:val="00715B69"/>
    <w:rsid w:val="007244D5"/>
    <w:rsid w:val="00724977"/>
    <w:rsid w:val="00727989"/>
    <w:rsid w:val="00735445"/>
    <w:rsid w:val="00743555"/>
    <w:rsid w:val="007448E1"/>
    <w:rsid w:val="00745299"/>
    <w:rsid w:val="00746F8E"/>
    <w:rsid w:val="00747E1C"/>
    <w:rsid w:val="00753A73"/>
    <w:rsid w:val="00755F8E"/>
    <w:rsid w:val="00760D8A"/>
    <w:rsid w:val="007612E6"/>
    <w:rsid w:val="00765BD5"/>
    <w:rsid w:val="0076745D"/>
    <w:rsid w:val="0077126B"/>
    <w:rsid w:val="00771D35"/>
    <w:rsid w:val="0077374E"/>
    <w:rsid w:val="007745E9"/>
    <w:rsid w:val="00775005"/>
    <w:rsid w:val="007814C2"/>
    <w:rsid w:val="00785918"/>
    <w:rsid w:val="00787994"/>
    <w:rsid w:val="00792A21"/>
    <w:rsid w:val="0079333B"/>
    <w:rsid w:val="007937CA"/>
    <w:rsid w:val="00793BC9"/>
    <w:rsid w:val="00794967"/>
    <w:rsid w:val="00795D2D"/>
    <w:rsid w:val="00796357"/>
    <w:rsid w:val="007A3773"/>
    <w:rsid w:val="007B0921"/>
    <w:rsid w:val="007B0F85"/>
    <w:rsid w:val="007B341A"/>
    <w:rsid w:val="007B5946"/>
    <w:rsid w:val="007C35C6"/>
    <w:rsid w:val="007C3CCC"/>
    <w:rsid w:val="007C6716"/>
    <w:rsid w:val="007D05FE"/>
    <w:rsid w:val="007D11DD"/>
    <w:rsid w:val="007D424D"/>
    <w:rsid w:val="007E0C56"/>
    <w:rsid w:val="007E42D4"/>
    <w:rsid w:val="007E57AB"/>
    <w:rsid w:val="007F0B56"/>
    <w:rsid w:val="007F5F13"/>
    <w:rsid w:val="008072C9"/>
    <w:rsid w:val="008078BB"/>
    <w:rsid w:val="00807ABA"/>
    <w:rsid w:val="00813C66"/>
    <w:rsid w:val="00814B1A"/>
    <w:rsid w:val="00815034"/>
    <w:rsid w:val="008214FA"/>
    <w:rsid w:val="00821A1F"/>
    <w:rsid w:val="00823954"/>
    <w:rsid w:val="00824426"/>
    <w:rsid w:val="0083193D"/>
    <w:rsid w:val="008346C6"/>
    <w:rsid w:val="00835E47"/>
    <w:rsid w:val="00843144"/>
    <w:rsid w:val="00843E05"/>
    <w:rsid w:val="00844361"/>
    <w:rsid w:val="00844BE7"/>
    <w:rsid w:val="00847B17"/>
    <w:rsid w:val="00851098"/>
    <w:rsid w:val="0085192D"/>
    <w:rsid w:val="0085343D"/>
    <w:rsid w:val="00854EB4"/>
    <w:rsid w:val="00856199"/>
    <w:rsid w:val="00856A8C"/>
    <w:rsid w:val="008579A6"/>
    <w:rsid w:val="00863502"/>
    <w:rsid w:val="00865946"/>
    <w:rsid w:val="008671FC"/>
    <w:rsid w:val="0087126E"/>
    <w:rsid w:val="00871350"/>
    <w:rsid w:val="008718A8"/>
    <w:rsid w:val="00871F91"/>
    <w:rsid w:val="00877EE5"/>
    <w:rsid w:val="00882FD0"/>
    <w:rsid w:val="008858B6"/>
    <w:rsid w:val="00885A45"/>
    <w:rsid w:val="00887FB2"/>
    <w:rsid w:val="00893F24"/>
    <w:rsid w:val="008948B4"/>
    <w:rsid w:val="00897E79"/>
    <w:rsid w:val="008A0A6B"/>
    <w:rsid w:val="008A6847"/>
    <w:rsid w:val="008A7CB3"/>
    <w:rsid w:val="008B0644"/>
    <w:rsid w:val="008B315B"/>
    <w:rsid w:val="008B3799"/>
    <w:rsid w:val="008B5274"/>
    <w:rsid w:val="008B5E36"/>
    <w:rsid w:val="008B7396"/>
    <w:rsid w:val="008C05AE"/>
    <w:rsid w:val="008C06E2"/>
    <w:rsid w:val="008C2688"/>
    <w:rsid w:val="008C33AF"/>
    <w:rsid w:val="008C7B67"/>
    <w:rsid w:val="008C7E9B"/>
    <w:rsid w:val="008D0B15"/>
    <w:rsid w:val="008D2915"/>
    <w:rsid w:val="008D4E01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0D1A"/>
    <w:rsid w:val="008F385E"/>
    <w:rsid w:val="008F5DB8"/>
    <w:rsid w:val="008F6368"/>
    <w:rsid w:val="00901BF5"/>
    <w:rsid w:val="00902F5E"/>
    <w:rsid w:val="009056E9"/>
    <w:rsid w:val="00913105"/>
    <w:rsid w:val="009216FA"/>
    <w:rsid w:val="00923972"/>
    <w:rsid w:val="00924A74"/>
    <w:rsid w:val="00925527"/>
    <w:rsid w:val="00926F77"/>
    <w:rsid w:val="00927AE8"/>
    <w:rsid w:val="00931A24"/>
    <w:rsid w:val="00931BB8"/>
    <w:rsid w:val="009335E8"/>
    <w:rsid w:val="00933B06"/>
    <w:rsid w:val="009354D2"/>
    <w:rsid w:val="00940E9C"/>
    <w:rsid w:val="00945347"/>
    <w:rsid w:val="00946FA1"/>
    <w:rsid w:val="00947A99"/>
    <w:rsid w:val="0095118D"/>
    <w:rsid w:val="009516E9"/>
    <w:rsid w:val="009521C3"/>
    <w:rsid w:val="0095446B"/>
    <w:rsid w:val="00955AAD"/>
    <w:rsid w:val="00963E97"/>
    <w:rsid w:val="0096406B"/>
    <w:rsid w:val="00966B28"/>
    <w:rsid w:val="009734E8"/>
    <w:rsid w:val="009761EC"/>
    <w:rsid w:val="009836DA"/>
    <w:rsid w:val="0098449A"/>
    <w:rsid w:val="00987422"/>
    <w:rsid w:val="00991997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5597"/>
    <w:rsid w:val="009B5AD2"/>
    <w:rsid w:val="009B67CC"/>
    <w:rsid w:val="009C1075"/>
    <w:rsid w:val="009C2A08"/>
    <w:rsid w:val="009C2EE4"/>
    <w:rsid w:val="009C3400"/>
    <w:rsid w:val="009C3971"/>
    <w:rsid w:val="009C565A"/>
    <w:rsid w:val="009C5F48"/>
    <w:rsid w:val="009D18E0"/>
    <w:rsid w:val="009D2BBF"/>
    <w:rsid w:val="009D2C47"/>
    <w:rsid w:val="009D61E8"/>
    <w:rsid w:val="009D6FED"/>
    <w:rsid w:val="009E33F9"/>
    <w:rsid w:val="009E35AB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3F80"/>
    <w:rsid w:val="00A05AE3"/>
    <w:rsid w:val="00A060A4"/>
    <w:rsid w:val="00A06857"/>
    <w:rsid w:val="00A12E12"/>
    <w:rsid w:val="00A132A6"/>
    <w:rsid w:val="00A1508A"/>
    <w:rsid w:val="00A1543F"/>
    <w:rsid w:val="00A20243"/>
    <w:rsid w:val="00A252E7"/>
    <w:rsid w:val="00A2760C"/>
    <w:rsid w:val="00A30111"/>
    <w:rsid w:val="00A33812"/>
    <w:rsid w:val="00A36015"/>
    <w:rsid w:val="00A37996"/>
    <w:rsid w:val="00A37C59"/>
    <w:rsid w:val="00A37E40"/>
    <w:rsid w:val="00A40769"/>
    <w:rsid w:val="00A440D1"/>
    <w:rsid w:val="00A461DE"/>
    <w:rsid w:val="00A525FA"/>
    <w:rsid w:val="00A52F62"/>
    <w:rsid w:val="00A53072"/>
    <w:rsid w:val="00A57DA4"/>
    <w:rsid w:val="00A61677"/>
    <w:rsid w:val="00A6300F"/>
    <w:rsid w:val="00A63D9F"/>
    <w:rsid w:val="00A6442A"/>
    <w:rsid w:val="00A6464E"/>
    <w:rsid w:val="00A70887"/>
    <w:rsid w:val="00A718DC"/>
    <w:rsid w:val="00A73293"/>
    <w:rsid w:val="00A81B53"/>
    <w:rsid w:val="00A82B7B"/>
    <w:rsid w:val="00A83C48"/>
    <w:rsid w:val="00A844EC"/>
    <w:rsid w:val="00A853C2"/>
    <w:rsid w:val="00A8601A"/>
    <w:rsid w:val="00A90CD7"/>
    <w:rsid w:val="00A91AFB"/>
    <w:rsid w:val="00A92011"/>
    <w:rsid w:val="00A957A1"/>
    <w:rsid w:val="00A95BA1"/>
    <w:rsid w:val="00A96727"/>
    <w:rsid w:val="00AA0024"/>
    <w:rsid w:val="00AA1ACD"/>
    <w:rsid w:val="00AA319F"/>
    <w:rsid w:val="00AA548A"/>
    <w:rsid w:val="00AA5B17"/>
    <w:rsid w:val="00AA7189"/>
    <w:rsid w:val="00AA7535"/>
    <w:rsid w:val="00AB050A"/>
    <w:rsid w:val="00AB5E95"/>
    <w:rsid w:val="00AC082A"/>
    <w:rsid w:val="00AC0EA3"/>
    <w:rsid w:val="00AC3A78"/>
    <w:rsid w:val="00AD39D2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F07E1"/>
    <w:rsid w:val="00AF7E6D"/>
    <w:rsid w:val="00B0049A"/>
    <w:rsid w:val="00B03225"/>
    <w:rsid w:val="00B05C3B"/>
    <w:rsid w:val="00B12A31"/>
    <w:rsid w:val="00B134B1"/>
    <w:rsid w:val="00B147A9"/>
    <w:rsid w:val="00B22E9C"/>
    <w:rsid w:val="00B23860"/>
    <w:rsid w:val="00B25C59"/>
    <w:rsid w:val="00B30628"/>
    <w:rsid w:val="00B308F8"/>
    <w:rsid w:val="00B31C39"/>
    <w:rsid w:val="00B340B2"/>
    <w:rsid w:val="00B34F1F"/>
    <w:rsid w:val="00B3582D"/>
    <w:rsid w:val="00B409FA"/>
    <w:rsid w:val="00B41551"/>
    <w:rsid w:val="00B420E9"/>
    <w:rsid w:val="00B50BCA"/>
    <w:rsid w:val="00B63746"/>
    <w:rsid w:val="00B65B52"/>
    <w:rsid w:val="00B708C2"/>
    <w:rsid w:val="00B735C1"/>
    <w:rsid w:val="00B7421D"/>
    <w:rsid w:val="00B7670B"/>
    <w:rsid w:val="00B77913"/>
    <w:rsid w:val="00B827DE"/>
    <w:rsid w:val="00B8618A"/>
    <w:rsid w:val="00B87608"/>
    <w:rsid w:val="00B87CC9"/>
    <w:rsid w:val="00B9429C"/>
    <w:rsid w:val="00B97686"/>
    <w:rsid w:val="00B9790F"/>
    <w:rsid w:val="00B97C13"/>
    <w:rsid w:val="00BA1CB2"/>
    <w:rsid w:val="00BA1F96"/>
    <w:rsid w:val="00BA6CA4"/>
    <w:rsid w:val="00BA7141"/>
    <w:rsid w:val="00BB1D1A"/>
    <w:rsid w:val="00BB20B7"/>
    <w:rsid w:val="00BB3B5B"/>
    <w:rsid w:val="00BB5452"/>
    <w:rsid w:val="00BC157B"/>
    <w:rsid w:val="00BC1DF0"/>
    <w:rsid w:val="00BC667B"/>
    <w:rsid w:val="00BC6C41"/>
    <w:rsid w:val="00BC7172"/>
    <w:rsid w:val="00BD78BF"/>
    <w:rsid w:val="00BE40F8"/>
    <w:rsid w:val="00BE4CF6"/>
    <w:rsid w:val="00BE5B11"/>
    <w:rsid w:val="00BE5C99"/>
    <w:rsid w:val="00BE7DEB"/>
    <w:rsid w:val="00BF233F"/>
    <w:rsid w:val="00BF2B1D"/>
    <w:rsid w:val="00BF4608"/>
    <w:rsid w:val="00C004B4"/>
    <w:rsid w:val="00C01A25"/>
    <w:rsid w:val="00C025B8"/>
    <w:rsid w:val="00C03EEE"/>
    <w:rsid w:val="00C059E0"/>
    <w:rsid w:val="00C073C5"/>
    <w:rsid w:val="00C07F8D"/>
    <w:rsid w:val="00C10A9E"/>
    <w:rsid w:val="00C13591"/>
    <w:rsid w:val="00C1516B"/>
    <w:rsid w:val="00C20ED7"/>
    <w:rsid w:val="00C212CD"/>
    <w:rsid w:val="00C21AE4"/>
    <w:rsid w:val="00C2224B"/>
    <w:rsid w:val="00C22C2F"/>
    <w:rsid w:val="00C22E0E"/>
    <w:rsid w:val="00C256D6"/>
    <w:rsid w:val="00C27F8B"/>
    <w:rsid w:val="00C33ED8"/>
    <w:rsid w:val="00C33F4A"/>
    <w:rsid w:val="00C37E25"/>
    <w:rsid w:val="00C40079"/>
    <w:rsid w:val="00C409DA"/>
    <w:rsid w:val="00C41074"/>
    <w:rsid w:val="00C41C0C"/>
    <w:rsid w:val="00C4362F"/>
    <w:rsid w:val="00C4434F"/>
    <w:rsid w:val="00C444E5"/>
    <w:rsid w:val="00C44CEB"/>
    <w:rsid w:val="00C46A77"/>
    <w:rsid w:val="00C46D7D"/>
    <w:rsid w:val="00C46ECF"/>
    <w:rsid w:val="00C4792D"/>
    <w:rsid w:val="00C542FA"/>
    <w:rsid w:val="00C551AD"/>
    <w:rsid w:val="00C56058"/>
    <w:rsid w:val="00C5646E"/>
    <w:rsid w:val="00C6296D"/>
    <w:rsid w:val="00C644F6"/>
    <w:rsid w:val="00C647B0"/>
    <w:rsid w:val="00C64E37"/>
    <w:rsid w:val="00C64FF2"/>
    <w:rsid w:val="00C65937"/>
    <w:rsid w:val="00C65E7B"/>
    <w:rsid w:val="00C740C8"/>
    <w:rsid w:val="00C75C66"/>
    <w:rsid w:val="00C75F69"/>
    <w:rsid w:val="00C77B45"/>
    <w:rsid w:val="00C82F2E"/>
    <w:rsid w:val="00C85A22"/>
    <w:rsid w:val="00C8657A"/>
    <w:rsid w:val="00C91982"/>
    <w:rsid w:val="00C930C3"/>
    <w:rsid w:val="00CA0D35"/>
    <w:rsid w:val="00CA28B8"/>
    <w:rsid w:val="00CA3769"/>
    <w:rsid w:val="00CA416D"/>
    <w:rsid w:val="00CA72EA"/>
    <w:rsid w:val="00CA7E12"/>
    <w:rsid w:val="00CB0BBD"/>
    <w:rsid w:val="00CB5F45"/>
    <w:rsid w:val="00CB5F6D"/>
    <w:rsid w:val="00CB7296"/>
    <w:rsid w:val="00CB76BB"/>
    <w:rsid w:val="00CC0F05"/>
    <w:rsid w:val="00CC201D"/>
    <w:rsid w:val="00CC237B"/>
    <w:rsid w:val="00CC508C"/>
    <w:rsid w:val="00CC6BA2"/>
    <w:rsid w:val="00CD3B8E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44CA"/>
    <w:rsid w:val="00D156AA"/>
    <w:rsid w:val="00D17EDA"/>
    <w:rsid w:val="00D2440C"/>
    <w:rsid w:val="00D2734E"/>
    <w:rsid w:val="00D3049F"/>
    <w:rsid w:val="00D34BF3"/>
    <w:rsid w:val="00D34C20"/>
    <w:rsid w:val="00D3631F"/>
    <w:rsid w:val="00D37109"/>
    <w:rsid w:val="00D400BF"/>
    <w:rsid w:val="00D40128"/>
    <w:rsid w:val="00D44493"/>
    <w:rsid w:val="00D53852"/>
    <w:rsid w:val="00D54054"/>
    <w:rsid w:val="00D62922"/>
    <w:rsid w:val="00D62A27"/>
    <w:rsid w:val="00D67F9A"/>
    <w:rsid w:val="00D72B5F"/>
    <w:rsid w:val="00D74ABE"/>
    <w:rsid w:val="00D74D21"/>
    <w:rsid w:val="00D74FF8"/>
    <w:rsid w:val="00D75AEF"/>
    <w:rsid w:val="00D7626F"/>
    <w:rsid w:val="00D77AE0"/>
    <w:rsid w:val="00D807CB"/>
    <w:rsid w:val="00D81D50"/>
    <w:rsid w:val="00D83A34"/>
    <w:rsid w:val="00D84F10"/>
    <w:rsid w:val="00D852FE"/>
    <w:rsid w:val="00D87F83"/>
    <w:rsid w:val="00D91437"/>
    <w:rsid w:val="00D92EAD"/>
    <w:rsid w:val="00D939A8"/>
    <w:rsid w:val="00D95270"/>
    <w:rsid w:val="00DA3149"/>
    <w:rsid w:val="00DA5545"/>
    <w:rsid w:val="00DA5AF8"/>
    <w:rsid w:val="00DB1277"/>
    <w:rsid w:val="00DB5008"/>
    <w:rsid w:val="00DB5BB5"/>
    <w:rsid w:val="00DB72A3"/>
    <w:rsid w:val="00DC119C"/>
    <w:rsid w:val="00DC2D47"/>
    <w:rsid w:val="00DC5EF3"/>
    <w:rsid w:val="00DC6F53"/>
    <w:rsid w:val="00DD1C80"/>
    <w:rsid w:val="00DD3E42"/>
    <w:rsid w:val="00DD411E"/>
    <w:rsid w:val="00DD47E2"/>
    <w:rsid w:val="00DD581D"/>
    <w:rsid w:val="00DE2539"/>
    <w:rsid w:val="00DE6C87"/>
    <w:rsid w:val="00DE7152"/>
    <w:rsid w:val="00DE7202"/>
    <w:rsid w:val="00DE7854"/>
    <w:rsid w:val="00DE7EE5"/>
    <w:rsid w:val="00DF071B"/>
    <w:rsid w:val="00DF2F3C"/>
    <w:rsid w:val="00DF35C2"/>
    <w:rsid w:val="00DF3FC0"/>
    <w:rsid w:val="00DF7463"/>
    <w:rsid w:val="00E0286F"/>
    <w:rsid w:val="00E03124"/>
    <w:rsid w:val="00E040A6"/>
    <w:rsid w:val="00E060BB"/>
    <w:rsid w:val="00E061BC"/>
    <w:rsid w:val="00E07251"/>
    <w:rsid w:val="00E101D7"/>
    <w:rsid w:val="00E10447"/>
    <w:rsid w:val="00E1282C"/>
    <w:rsid w:val="00E129F5"/>
    <w:rsid w:val="00E16395"/>
    <w:rsid w:val="00E26ADB"/>
    <w:rsid w:val="00E26B37"/>
    <w:rsid w:val="00E26E6B"/>
    <w:rsid w:val="00E31425"/>
    <w:rsid w:val="00E337BC"/>
    <w:rsid w:val="00E368B9"/>
    <w:rsid w:val="00E45DF0"/>
    <w:rsid w:val="00E5270B"/>
    <w:rsid w:val="00E53624"/>
    <w:rsid w:val="00E53DCD"/>
    <w:rsid w:val="00E54FA2"/>
    <w:rsid w:val="00E55F1F"/>
    <w:rsid w:val="00E642E3"/>
    <w:rsid w:val="00E642ED"/>
    <w:rsid w:val="00E65147"/>
    <w:rsid w:val="00E65DF8"/>
    <w:rsid w:val="00E67AA4"/>
    <w:rsid w:val="00E71076"/>
    <w:rsid w:val="00E72D42"/>
    <w:rsid w:val="00E74B25"/>
    <w:rsid w:val="00E81BFE"/>
    <w:rsid w:val="00E8786E"/>
    <w:rsid w:val="00E90D25"/>
    <w:rsid w:val="00E90DBE"/>
    <w:rsid w:val="00E96A11"/>
    <w:rsid w:val="00EA5718"/>
    <w:rsid w:val="00EA5A07"/>
    <w:rsid w:val="00EA778D"/>
    <w:rsid w:val="00EB118D"/>
    <w:rsid w:val="00EB12FF"/>
    <w:rsid w:val="00EB3281"/>
    <w:rsid w:val="00EB41C8"/>
    <w:rsid w:val="00EB45E9"/>
    <w:rsid w:val="00EB702C"/>
    <w:rsid w:val="00EB73AD"/>
    <w:rsid w:val="00EC4633"/>
    <w:rsid w:val="00EC5062"/>
    <w:rsid w:val="00EC5817"/>
    <w:rsid w:val="00EC7808"/>
    <w:rsid w:val="00ED36F7"/>
    <w:rsid w:val="00ED5C75"/>
    <w:rsid w:val="00ED6177"/>
    <w:rsid w:val="00ED6A7D"/>
    <w:rsid w:val="00ED75E9"/>
    <w:rsid w:val="00EE0BFD"/>
    <w:rsid w:val="00EE3551"/>
    <w:rsid w:val="00EE4048"/>
    <w:rsid w:val="00EE441C"/>
    <w:rsid w:val="00EF078A"/>
    <w:rsid w:val="00EF1064"/>
    <w:rsid w:val="00EF31CB"/>
    <w:rsid w:val="00EF41E5"/>
    <w:rsid w:val="00EF4F01"/>
    <w:rsid w:val="00EF711C"/>
    <w:rsid w:val="00EF782B"/>
    <w:rsid w:val="00EF7A35"/>
    <w:rsid w:val="00F00695"/>
    <w:rsid w:val="00F011CF"/>
    <w:rsid w:val="00F02CD5"/>
    <w:rsid w:val="00F07209"/>
    <w:rsid w:val="00F079BF"/>
    <w:rsid w:val="00F07EB0"/>
    <w:rsid w:val="00F11CF2"/>
    <w:rsid w:val="00F12FFB"/>
    <w:rsid w:val="00F1351C"/>
    <w:rsid w:val="00F1368A"/>
    <w:rsid w:val="00F15E79"/>
    <w:rsid w:val="00F224C3"/>
    <w:rsid w:val="00F2417C"/>
    <w:rsid w:val="00F30E3E"/>
    <w:rsid w:val="00F36D33"/>
    <w:rsid w:val="00F4438F"/>
    <w:rsid w:val="00F447B6"/>
    <w:rsid w:val="00F45328"/>
    <w:rsid w:val="00F45AD3"/>
    <w:rsid w:val="00F4770C"/>
    <w:rsid w:val="00F540EF"/>
    <w:rsid w:val="00F54BA8"/>
    <w:rsid w:val="00F56995"/>
    <w:rsid w:val="00F56DF7"/>
    <w:rsid w:val="00F60580"/>
    <w:rsid w:val="00F63C1C"/>
    <w:rsid w:val="00F75009"/>
    <w:rsid w:val="00F777D6"/>
    <w:rsid w:val="00F80D1E"/>
    <w:rsid w:val="00F85489"/>
    <w:rsid w:val="00F92356"/>
    <w:rsid w:val="00F925BE"/>
    <w:rsid w:val="00F93E90"/>
    <w:rsid w:val="00F95765"/>
    <w:rsid w:val="00F95812"/>
    <w:rsid w:val="00F971E6"/>
    <w:rsid w:val="00FA098D"/>
    <w:rsid w:val="00FA0D7F"/>
    <w:rsid w:val="00FA19AC"/>
    <w:rsid w:val="00FA1D70"/>
    <w:rsid w:val="00FA2F8B"/>
    <w:rsid w:val="00FA60AB"/>
    <w:rsid w:val="00FA690E"/>
    <w:rsid w:val="00FA771F"/>
    <w:rsid w:val="00FB25A3"/>
    <w:rsid w:val="00FB30EB"/>
    <w:rsid w:val="00FB4BC4"/>
    <w:rsid w:val="00FC0B23"/>
    <w:rsid w:val="00FC1274"/>
    <w:rsid w:val="00FC5509"/>
    <w:rsid w:val="00FD0605"/>
    <w:rsid w:val="00FD30E2"/>
    <w:rsid w:val="00FD5E1C"/>
    <w:rsid w:val="00FD5E86"/>
    <w:rsid w:val="00FE2321"/>
    <w:rsid w:val="00FE470B"/>
    <w:rsid w:val="00FE5D49"/>
    <w:rsid w:val="00FE6DEB"/>
    <w:rsid w:val="00FF0C3A"/>
    <w:rsid w:val="00FF232C"/>
    <w:rsid w:val="00FF2C8D"/>
    <w:rsid w:val="00FF39A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E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C059E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contents/pl-pl/article/warranty/dell-emc-warran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pd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A53F-8C60-4CD0-BB1A-5B6C0C5E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3774</Words>
  <Characters>22648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2023-07-21T09:12:00Z</dcterms:created>
  <dcterms:modified xsi:type="dcterms:W3CDTF">2023-10-27T05:57:00Z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2023-07-21T09:12:21Z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edfddadd-0588-4cc7-baab-12562b8bf06b</vt:lpwstr>
  </property>
  <property fmtid="{D5CDD505-2E9C-101B-9397-08002B2CF9AE}" pid="8" name="MSIP_Label_dad3be33-4108-4738-9e07-d8656a181486_ContentBits">
    <vt:lpwstr>0</vt:lpwstr>
  </property>
</Properties>
</file>