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18C2" w14:textId="09EA20CB" w:rsidR="00383F38" w:rsidRDefault="000A32D3">
      <w:pPr>
        <w:pStyle w:val="Tekstpodstawowy"/>
        <w:ind w:left="8689"/>
        <w:rPr>
          <w:rFonts w:ascii="Times New Roman"/>
        </w:rPr>
      </w:pPr>
      <w:r>
        <w:rPr>
          <w:noProof/>
          <w:lang w:eastAsia="pl-PL" w:bidi="ar-SA"/>
        </w:rPr>
        <w:drawing>
          <wp:anchor distT="0" distB="0" distL="0" distR="0" simplePos="0" relativeHeight="251666432" behindDoc="0" locked="0" layoutInCell="1" allowOverlap="1" wp14:anchorId="1D11B122" wp14:editId="272A109E">
            <wp:simplePos x="0" y="0"/>
            <wp:positionH relativeFrom="page">
              <wp:posOffset>438785</wp:posOffset>
            </wp:positionH>
            <wp:positionV relativeFrom="paragraph">
              <wp:posOffset>371285</wp:posOffset>
            </wp:positionV>
            <wp:extent cx="2352675" cy="8686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52675" cy="868680"/>
                    </a:xfrm>
                    <a:prstGeom prst="rect">
                      <a:avLst/>
                    </a:prstGeom>
                  </pic:spPr>
                </pic:pic>
              </a:graphicData>
            </a:graphic>
          </wp:anchor>
        </w:drawing>
      </w:r>
      <w:r w:rsidR="003E5B5E">
        <w:rPr>
          <w:rFonts w:ascii="Times New Roman"/>
          <w:noProof/>
          <w:lang w:eastAsia="pl-PL" w:bidi="ar-SA"/>
        </w:rPr>
        <w:drawing>
          <wp:inline distT="0" distB="0" distL="0" distR="0" wp14:anchorId="7A321035" wp14:editId="6DA4AE0C">
            <wp:extent cx="1310639"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10639" cy="377951"/>
                    </a:xfrm>
                    <a:prstGeom prst="rect">
                      <a:avLst/>
                    </a:prstGeom>
                  </pic:spPr>
                </pic:pic>
              </a:graphicData>
            </a:graphic>
          </wp:inline>
        </w:drawing>
      </w:r>
    </w:p>
    <w:p w14:paraId="352AA238" w14:textId="77777777" w:rsidR="00383F38" w:rsidRDefault="00383F38">
      <w:pPr>
        <w:pStyle w:val="Tekstpodstawowy"/>
        <w:rPr>
          <w:rFonts w:ascii="Times New Roman"/>
        </w:rPr>
      </w:pPr>
    </w:p>
    <w:p w14:paraId="3F9E0CB8" w14:textId="77777777" w:rsidR="00383F38" w:rsidRDefault="00383F38">
      <w:pPr>
        <w:pStyle w:val="Tekstpodstawowy"/>
        <w:rPr>
          <w:rFonts w:ascii="Times New Roman"/>
        </w:rPr>
      </w:pPr>
    </w:p>
    <w:p w14:paraId="2D5AC889" w14:textId="77777777" w:rsidR="00383F38" w:rsidRDefault="00383F38">
      <w:pPr>
        <w:pStyle w:val="Tekstpodstawowy"/>
        <w:spacing w:before="8"/>
        <w:rPr>
          <w:rFonts w:ascii="Times New Roman"/>
          <w:sz w:val="23"/>
        </w:rPr>
      </w:pPr>
    </w:p>
    <w:p w14:paraId="0ECBF382" w14:textId="11B28D79" w:rsidR="00383F38" w:rsidRDefault="003E5B5E">
      <w:pPr>
        <w:pStyle w:val="Tekstpodstawowy"/>
        <w:spacing w:before="1"/>
        <w:ind w:left="4649" w:right="131"/>
      </w:pPr>
      <w:r>
        <w:t>Zestawienie tematyczne – Prawo do poszanowania życia rodzinnego więźniów osadzonych w odległych zakładach karnych</w:t>
      </w:r>
    </w:p>
    <w:p w14:paraId="41497D7F" w14:textId="16408F30" w:rsidR="00383F38" w:rsidRDefault="00D521F2">
      <w:pPr>
        <w:pStyle w:val="Tekstpodstawowy"/>
        <w:spacing w:before="5"/>
        <w:rPr>
          <w:sz w:val="13"/>
        </w:rPr>
      </w:pPr>
      <w:r>
        <w:rPr>
          <w:noProof/>
        </w:rPr>
        <mc:AlternateContent>
          <mc:Choice Requires="wpg">
            <w:drawing>
              <wp:anchor distT="0" distB="0" distL="0" distR="0" simplePos="0" relativeHeight="251658240" behindDoc="1" locked="0" layoutInCell="1" allowOverlap="1" wp14:anchorId="61B5F8AB" wp14:editId="74EF2A8E">
                <wp:simplePos x="0" y="0"/>
                <wp:positionH relativeFrom="page">
                  <wp:posOffset>429895</wp:posOffset>
                </wp:positionH>
                <wp:positionV relativeFrom="paragraph">
                  <wp:posOffset>67945</wp:posOffset>
                </wp:positionV>
                <wp:extent cx="6764655" cy="12700"/>
                <wp:effectExtent l="0" t="0" r="0" b="0"/>
                <wp:wrapTopAndBottom/>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12700"/>
                          <a:chOff x="677" y="515"/>
                          <a:chExt cx="10653" cy="20"/>
                        </a:xfrm>
                      </wpg:grpSpPr>
                      <wps:wsp>
                        <wps:cNvPr id="18" name="Line 34"/>
                        <wps:cNvCnPr>
                          <a:cxnSpLocks noChangeShapeType="1"/>
                        </wps:cNvCnPr>
                        <wps:spPr bwMode="auto">
                          <a:xfrm>
                            <a:off x="677" y="525"/>
                            <a:ext cx="4513"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5190" y="525"/>
                            <a:ext cx="612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0" name="Rectangle 32"/>
                        <wps:cNvSpPr>
                          <a:spLocks noChangeArrowheads="1"/>
                        </wps:cNvSpPr>
                        <wps:spPr bwMode="auto">
                          <a:xfrm>
                            <a:off x="11310" y="515"/>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09E4C" id="Group 31" o:spid="_x0000_s1026" style="position:absolute;margin-left:33.85pt;margin-top:5.35pt;width:532.65pt;height:1pt;z-index:-251658240;mso-wrap-distance-left:0;mso-wrap-distance-right:0;mso-position-horizontal-relative:page" coordorigin="677,515" coordsize="10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">
                <v:line id="Line 34" o:spid="_x0000_s1027" style="position:absolute;visibility:visible;mso-wrap-style:square" from="677,525" to="51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" strokecolor="#7f7f7f" strokeweight=".96pt"/>
                <v:line id="Line 33" o:spid="_x0000_s1028" style="position:absolute;visibility:visible;mso-wrap-style:square" from="5190,525" to="113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" strokecolor="#7f7f7f" strokeweight=".96pt"/>
                <v:rect id="Rectangle 32" o:spid="_x0000_s1029" style="position:absolute;left:11310;top:51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" fillcolor="#7f7f7f" stroked="f"/>
                <w10:wrap type="topAndBottom" anchorx="page"/>
              </v:group>
            </w:pict>
          </mc:Fallback>
        </mc:AlternateContent>
      </w:r>
    </w:p>
    <w:p w14:paraId="3B603E9D" w14:textId="04AF3A64" w:rsidR="00383F38" w:rsidRDefault="00A8217E" w:rsidP="000A32D3">
      <w:pPr>
        <w:spacing w:before="100"/>
        <w:ind w:left="4395" w:right="953" w:firstLine="3969"/>
        <w:rPr>
          <w:sz w:val="18"/>
        </w:rPr>
      </w:pPr>
      <w:r>
        <w:rPr>
          <w:color w:val="EC7E12"/>
          <w:sz w:val="18"/>
        </w:rPr>
        <w:t>Kwi</w:t>
      </w:r>
      <w:r w:rsidR="003E5B5E">
        <w:rPr>
          <w:color w:val="EC7E12"/>
          <w:sz w:val="18"/>
        </w:rPr>
        <w:t>e</w:t>
      </w:r>
      <w:r>
        <w:rPr>
          <w:color w:val="EC7E12"/>
          <w:sz w:val="18"/>
        </w:rPr>
        <w:t>c</w:t>
      </w:r>
      <w:r w:rsidR="003E5B5E">
        <w:rPr>
          <w:color w:val="EC7E12"/>
          <w:sz w:val="18"/>
        </w:rPr>
        <w:t>ień 202</w:t>
      </w:r>
      <w:r>
        <w:rPr>
          <w:color w:val="EC7E12"/>
          <w:sz w:val="18"/>
        </w:rPr>
        <w:t>4</w:t>
      </w:r>
      <w:r w:rsidR="000A32D3">
        <w:rPr>
          <w:color w:val="EC7E12"/>
          <w:sz w:val="18"/>
        </w:rPr>
        <w:t xml:space="preserve"> r.</w:t>
      </w:r>
      <w:r w:rsidR="003E5B5E">
        <w:rPr>
          <w:color w:val="EC7E12"/>
          <w:sz w:val="18"/>
        </w:rPr>
        <w:t xml:space="preserve"> Niniejsze zestawienie </w:t>
      </w:r>
      <w:r w:rsidR="000A32D3">
        <w:rPr>
          <w:color w:val="EC7E12"/>
          <w:sz w:val="18"/>
        </w:rPr>
        <w:t>nie jest wiążące dla Trybunału i nie ma charakteru wyczerpującego</w:t>
      </w:r>
    </w:p>
    <w:p w14:paraId="764EDFD4" w14:textId="77777777" w:rsidR="00383F38" w:rsidRDefault="00383F38">
      <w:pPr>
        <w:pStyle w:val="Tekstpodstawowy"/>
      </w:pPr>
    </w:p>
    <w:p w14:paraId="4AEDBD34" w14:textId="77777777" w:rsidR="00383F38" w:rsidRDefault="003E5B5E" w:rsidP="00CC2738">
      <w:pPr>
        <w:spacing w:after="19"/>
        <w:ind w:left="880" w:right="959"/>
        <w:jc w:val="both"/>
        <w:rPr>
          <w:sz w:val="40"/>
        </w:rPr>
      </w:pPr>
      <w:r>
        <w:rPr>
          <w:color w:val="0071BC"/>
          <w:sz w:val="40"/>
        </w:rPr>
        <w:t>Prawo do poszanowania życia rodzinnego więźniów osadzonych w odległych zakładach karnych</w:t>
      </w:r>
    </w:p>
    <w:p w14:paraId="1D805107" w14:textId="0DCADB5E" w:rsidR="00383F38" w:rsidRDefault="00D521F2">
      <w:pPr>
        <w:pStyle w:val="Tekstpodstawowy"/>
        <w:spacing w:line="60" w:lineRule="exact"/>
        <w:ind w:left="820"/>
        <w:rPr>
          <w:sz w:val="6"/>
        </w:rPr>
      </w:pPr>
      <w:r>
        <w:rPr>
          <w:noProof/>
          <w:sz w:val="6"/>
        </w:rPr>
        <mc:AlternateContent>
          <mc:Choice Requires="wpg">
            <w:drawing>
              <wp:inline distT="0" distB="0" distL="0" distR="0" wp14:anchorId="535199C1" wp14:editId="5AF540FC">
                <wp:extent cx="5770245" cy="38100"/>
                <wp:effectExtent l="19050" t="1905" r="20955" b="7620"/>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16" name="Line 30"/>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45524" id="Group 29"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">
                <v:line id="Line 30"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" strokecolor="#eaeaea" strokeweight="3pt"/>
                <w10:anchorlock/>
              </v:group>
            </w:pict>
          </mc:Fallback>
        </mc:AlternateContent>
      </w:r>
    </w:p>
    <w:p w14:paraId="3BBC99C9" w14:textId="77777777" w:rsidR="00980487" w:rsidRDefault="00980487">
      <w:pPr>
        <w:pStyle w:val="Tekstpodstawowy"/>
        <w:spacing w:before="1"/>
        <w:rPr>
          <w:sz w:val="15"/>
        </w:rPr>
      </w:pPr>
    </w:p>
    <w:p w14:paraId="26AB76B3" w14:textId="764E9D28" w:rsidR="00980487" w:rsidRDefault="00D521F2">
      <w:pPr>
        <w:pStyle w:val="Tekstpodstawowy"/>
        <w:spacing w:before="1"/>
        <w:rPr>
          <w:sz w:val="15"/>
        </w:rPr>
      </w:pPr>
      <w:r>
        <w:rPr>
          <w:noProof/>
          <w:sz w:val="15"/>
        </w:rPr>
        <mc:AlternateContent>
          <mc:Choice Requires="wps">
            <w:drawing>
              <wp:anchor distT="0" distB="0" distL="114300" distR="114300" simplePos="0" relativeHeight="251668480" behindDoc="1" locked="0" layoutInCell="1" allowOverlap="1" wp14:anchorId="2FAD8090" wp14:editId="6662C5E4">
                <wp:simplePos x="0" y="0"/>
                <wp:positionH relativeFrom="column">
                  <wp:posOffset>452120</wp:posOffset>
                </wp:positionH>
                <wp:positionV relativeFrom="paragraph">
                  <wp:posOffset>76200</wp:posOffset>
                </wp:positionV>
                <wp:extent cx="5913755" cy="1615440"/>
                <wp:effectExtent l="0" t="0" r="0" b="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16154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537B2" id="Rectangle 36" o:spid="_x0000_s1026" style="position:absolute;margin-left:35.6pt;margin-top:6pt;width:465.65pt;height:12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" fillcolor="#f2f2f2 [3052]" stroked="f"/>
            </w:pict>
          </mc:Fallback>
        </mc:AlternateContent>
      </w:r>
    </w:p>
    <w:p w14:paraId="53B8B38D" w14:textId="3C40BD9A" w:rsidR="00980487" w:rsidRDefault="00980487" w:rsidP="00980487">
      <w:pPr>
        <w:pStyle w:val="Tekstpodstawowy"/>
        <w:spacing w:before="1"/>
        <w:ind w:left="851" w:right="957"/>
        <w:rPr>
          <w:b/>
          <w:bCs/>
          <w:color w:val="3F3F3F"/>
        </w:rPr>
      </w:pPr>
      <w:r>
        <w:rPr>
          <w:b/>
          <w:bCs/>
          <w:color w:val="3F3F3F"/>
        </w:rPr>
        <w:t xml:space="preserve">Artykuł 8 (prawo do poszanowania życia prywatnego i </w:t>
      </w:r>
      <w:r>
        <w:rPr>
          <w:b/>
          <w:bCs/>
          <w:color w:val="323232"/>
        </w:rPr>
        <w:t xml:space="preserve">rodzinnego) </w:t>
      </w:r>
      <w:hyperlink r:id="rId10" w:history="1">
        <w:r w:rsidRPr="008121F9">
          <w:rPr>
            <w:rStyle w:val="Hipercze"/>
            <w:b/>
            <w:bCs/>
          </w:rPr>
          <w:t>Europejskiej konwencji praw człowieka</w:t>
        </w:r>
      </w:hyperlink>
      <w:r>
        <w:rPr>
          <w:b/>
          <w:bCs/>
          <w:color w:val="3F3F3F"/>
        </w:rPr>
        <w:t>:</w:t>
      </w:r>
    </w:p>
    <w:p w14:paraId="1FF8D1D9" w14:textId="0AB8C2A1" w:rsidR="00980487" w:rsidRDefault="00980487" w:rsidP="00980487">
      <w:pPr>
        <w:pStyle w:val="Tekstpodstawowy"/>
        <w:spacing w:before="1"/>
        <w:ind w:left="851" w:right="957"/>
        <w:rPr>
          <w:sz w:val="15"/>
        </w:rPr>
      </w:pPr>
    </w:p>
    <w:p w14:paraId="5EB57168" w14:textId="40C3803F" w:rsidR="00980487" w:rsidRDefault="00980487" w:rsidP="00980487">
      <w:pPr>
        <w:spacing w:before="1"/>
        <w:ind w:left="851" w:right="957"/>
        <w:jc w:val="both"/>
        <w:rPr>
          <w:i/>
          <w:sz w:val="20"/>
        </w:rPr>
      </w:pPr>
      <w:r>
        <w:rPr>
          <w:color w:val="3F3F3F"/>
          <w:sz w:val="20"/>
        </w:rPr>
        <w:t>„1.</w:t>
      </w:r>
      <w:r>
        <w:rPr>
          <w:i/>
          <w:iCs/>
          <w:color w:val="3F3F3F"/>
          <w:sz w:val="20"/>
        </w:rPr>
        <w:t xml:space="preserve"> </w:t>
      </w:r>
      <w:r>
        <w:rPr>
          <w:color w:val="3F3F3F"/>
          <w:sz w:val="20"/>
        </w:rPr>
        <w:t>Każdy ma prawo do poszanowania swojego życia prywatnego i rodzinnego, swojego mieszkania i swojej korespondencji.</w:t>
      </w:r>
    </w:p>
    <w:p w14:paraId="71CC793F" w14:textId="458F9B43" w:rsidR="00980487" w:rsidRDefault="00980487" w:rsidP="00980487">
      <w:pPr>
        <w:spacing w:before="40"/>
        <w:ind w:left="851" w:right="957"/>
        <w:jc w:val="both"/>
        <w:rPr>
          <w:i/>
          <w:sz w:val="20"/>
        </w:rPr>
      </w:pPr>
      <w:r>
        <w:rPr>
          <w:color w:val="3F3F3F"/>
          <w:sz w:val="20"/>
        </w:rPr>
        <w:t>2.</w:t>
      </w:r>
      <w:r>
        <w:rPr>
          <w:i/>
          <w:iCs/>
          <w:color w:val="3F3F3F"/>
          <w:sz w:val="20"/>
        </w:rPr>
        <w:t xml:space="preserve"> </w:t>
      </w:r>
      <w:r>
        <w:rPr>
          <w:color w:val="3F3F3F"/>
          <w:sz w:val="20"/>
        </w:rPr>
        <w:t>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osób”.</w:t>
      </w:r>
    </w:p>
    <w:p w14:paraId="27E8E512" w14:textId="583E8230" w:rsidR="00980487" w:rsidRDefault="00980487">
      <w:pPr>
        <w:pStyle w:val="Tekstpodstawowy"/>
        <w:spacing w:before="1"/>
        <w:rPr>
          <w:sz w:val="15"/>
        </w:rPr>
      </w:pPr>
    </w:p>
    <w:p w14:paraId="5EB14AEA" w14:textId="125BBC84" w:rsidR="00383F38" w:rsidRDefault="00383F38">
      <w:pPr>
        <w:pStyle w:val="Tekstpodstawowy"/>
        <w:spacing w:before="1"/>
        <w:rPr>
          <w:sz w:val="15"/>
        </w:rPr>
      </w:pPr>
    </w:p>
    <w:p w14:paraId="23F48B38" w14:textId="20003F76" w:rsidR="00980487" w:rsidRDefault="00D521F2" w:rsidP="00980487">
      <w:pPr>
        <w:spacing w:before="49"/>
        <w:ind w:left="851" w:right="957"/>
        <w:jc w:val="both"/>
        <w:rPr>
          <w:sz w:val="20"/>
        </w:rPr>
      </w:pPr>
      <w:r>
        <w:rPr>
          <w:noProof/>
          <w:sz w:val="15"/>
        </w:rPr>
        <mc:AlternateContent>
          <mc:Choice Requires="wps">
            <w:drawing>
              <wp:anchor distT="0" distB="0" distL="114300" distR="114300" simplePos="0" relativeHeight="251669504" behindDoc="1" locked="0" layoutInCell="1" allowOverlap="1" wp14:anchorId="2FAD8090" wp14:editId="3DB4DA12">
                <wp:simplePos x="0" y="0"/>
                <wp:positionH relativeFrom="column">
                  <wp:posOffset>459740</wp:posOffset>
                </wp:positionH>
                <wp:positionV relativeFrom="paragraph">
                  <wp:posOffset>36195</wp:posOffset>
                </wp:positionV>
                <wp:extent cx="5913755" cy="1615440"/>
                <wp:effectExtent l="0" t="0" r="0" b="0"/>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16154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D355" id="Rectangle 37" o:spid="_x0000_s1026" style="position:absolute;margin-left:36.2pt;margin-top:2.85pt;width:465.65pt;height:12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" fillcolor="#f2f2f2 [3052]" stroked="f"/>
            </w:pict>
          </mc:Fallback>
        </mc:AlternateContent>
      </w:r>
      <w:r w:rsidR="00980487">
        <w:rPr>
          <w:color w:val="3F3F3F"/>
          <w:sz w:val="20"/>
        </w:rPr>
        <w:t>„[Europejska</w:t>
      </w:r>
      <w:r w:rsidR="00CC2738">
        <w:rPr>
          <w:color w:val="3F3F3F"/>
          <w:sz w:val="20"/>
        </w:rPr>
        <w:t>]</w:t>
      </w:r>
      <w:r w:rsidR="00980487">
        <w:rPr>
          <w:color w:val="3F3F3F"/>
          <w:sz w:val="20"/>
        </w:rPr>
        <w:t xml:space="preserve"> konwencja [praw człowieka] nie przyznaje więźniom prawa do wyboru miejsca osadzenia, a fakt, że więźniowie są oddzieleni od swoich rodzin i w pewnej odległości od nich, jest nieuniknioną konsekwencją pozbawienia wolności. Niemniej osadzenie osoby w zakładzie karnym, który znajduje się tak daleko od jej rodziny, że odwiedziny są bardzo utrudnione lub wręcz niemożliwe, może w pewnych okolicznościach stanowić ingerencję w życie rodzinne, ponieważ możliwość odwiedzin </w:t>
      </w:r>
      <w:r w:rsidR="004557BC">
        <w:rPr>
          <w:color w:val="3F3F3F"/>
          <w:sz w:val="20"/>
        </w:rPr>
        <w:t xml:space="preserve">osadzonego </w:t>
      </w:r>
      <w:r w:rsidR="00980487">
        <w:rPr>
          <w:color w:val="3F3F3F"/>
          <w:sz w:val="20"/>
        </w:rPr>
        <w:t>przez członków rodziny jest niezbędna do utrzymania więzi rodzinnych [...] Dlatego też istotnym elementem prawa więźniów do poszanowania życia rodzinnego jest to, by władze więzienn</w:t>
      </w:r>
      <w:r w:rsidR="004557BC">
        <w:rPr>
          <w:color w:val="3F3F3F"/>
          <w:sz w:val="20"/>
        </w:rPr>
        <w:t>e</w:t>
      </w:r>
      <w:r w:rsidR="00980487">
        <w:rPr>
          <w:color w:val="3F3F3F"/>
          <w:sz w:val="20"/>
        </w:rPr>
        <w:t xml:space="preserve"> pomagały</w:t>
      </w:r>
      <w:r w:rsidR="00980487">
        <w:rPr>
          <w:sz w:val="20"/>
        </w:rPr>
        <w:t xml:space="preserve"> </w:t>
      </w:r>
      <w:r w:rsidR="00980487">
        <w:rPr>
          <w:color w:val="3F3F3F"/>
          <w:sz w:val="20"/>
          <w:shd w:val="clear" w:color="auto" w:fill="F3F3F3"/>
        </w:rPr>
        <w:t>im w utrzymywaniu kontaktów z ich bliskimi [...]” (</w:t>
      </w:r>
      <w:proofErr w:type="spellStart"/>
      <w:r w:rsidR="008121F9">
        <w:rPr>
          <w:color w:val="0071BC"/>
          <w:sz w:val="20"/>
          <w:u w:val="single"/>
          <w:shd w:val="clear" w:color="auto" w:fill="F3F3F3"/>
        </w:rPr>
        <w:fldChar w:fldCharType="begin"/>
      </w:r>
      <w:r w:rsidR="008121F9">
        <w:rPr>
          <w:color w:val="0071BC"/>
          <w:sz w:val="20"/>
          <w:u w:val="single"/>
          <w:shd w:val="clear" w:color="auto" w:fill="F3F3F3"/>
        </w:rPr>
        <w:instrText>HYPERLINK "https://hudoc.echr.coe.int/eng?i=001-147326"</w:instrText>
      </w:r>
      <w:r w:rsidR="008121F9">
        <w:rPr>
          <w:color w:val="0071BC"/>
          <w:sz w:val="20"/>
          <w:u w:val="single"/>
          <w:shd w:val="clear" w:color="auto" w:fill="F3F3F3"/>
        </w:rPr>
      </w:r>
      <w:r w:rsidR="008121F9">
        <w:rPr>
          <w:color w:val="0071BC"/>
          <w:sz w:val="20"/>
          <w:u w:val="single"/>
          <w:shd w:val="clear" w:color="auto" w:fill="F3F3F3"/>
        </w:rPr>
        <w:fldChar w:fldCharType="separate"/>
      </w:r>
      <w:r w:rsidR="00980487" w:rsidRPr="008121F9">
        <w:rPr>
          <w:rStyle w:val="Hipercze"/>
          <w:sz w:val="20"/>
          <w:shd w:val="clear" w:color="auto" w:fill="F3F3F3"/>
        </w:rPr>
        <w:t>Vintman</w:t>
      </w:r>
      <w:proofErr w:type="spellEnd"/>
      <w:r w:rsidR="00980487" w:rsidRPr="008121F9">
        <w:rPr>
          <w:rStyle w:val="Hipercze"/>
          <w:sz w:val="20"/>
          <w:shd w:val="clear" w:color="auto" w:fill="F3F3F3"/>
        </w:rPr>
        <w:t xml:space="preserve"> przeciwko Ukrainie</w:t>
      </w:r>
      <w:r w:rsidR="008121F9">
        <w:rPr>
          <w:color w:val="0071BC"/>
          <w:sz w:val="20"/>
          <w:u w:val="single"/>
          <w:shd w:val="clear" w:color="auto" w:fill="F3F3F3"/>
        </w:rPr>
        <w:fldChar w:fldCharType="end"/>
      </w:r>
      <w:r w:rsidR="00980487">
        <w:rPr>
          <w:color w:val="3F3F3F"/>
          <w:sz w:val="20"/>
          <w:shd w:val="clear" w:color="auto" w:fill="F3F3F3"/>
        </w:rPr>
        <w:t>, wyrok z dnia</w:t>
      </w:r>
      <w:r w:rsidR="00980487">
        <w:rPr>
          <w:color w:val="3F3F3F"/>
          <w:sz w:val="20"/>
        </w:rPr>
        <w:t xml:space="preserve"> 23 października 2014 r., § 78).</w:t>
      </w:r>
    </w:p>
    <w:p w14:paraId="68766AEB" w14:textId="77777777" w:rsidR="00980487" w:rsidRDefault="00980487">
      <w:pPr>
        <w:pStyle w:val="Tekstpodstawowy"/>
        <w:spacing w:before="1"/>
        <w:rPr>
          <w:sz w:val="15"/>
        </w:rPr>
      </w:pPr>
    </w:p>
    <w:p w14:paraId="5293D6E3" w14:textId="219F211C" w:rsidR="00383F38" w:rsidRDefault="00383F38">
      <w:pPr>
        <w:pStyle w:val="Tekstpodstawowy"/>
        <w:spacing w:before="3"/>
        <w:rPr>
          <w:sz w:val="11"/>
        </w:rPr>
      </w:pPr>
    </w:p>
    <w:p w14:paraId="0CA7A12D" w14:textId="77777777" w:rsidR="00383F38" w:rsidRDefault="00383F38">
      <w:pPr>
        <w:pStyle w:val="Tekstpodstawowy"/>
        <w:spacing w:before="7"/>
        <w:rPr>
          <w:sz w:val="7"/>
        </w:rPr>
      </w:pPr>
    </w:p>
    <w:p w14:paraId="15DF059B" w14:textId="497C9E55" w:rsidR="00383F38" w:rsidRDefault="003E5B5E">
      <w:pPr>
        <w:pStyle w:val="Nagwek11"/>
        <w:spacing w:before="101"/>
        <w:rPr>
          <w:u w:val="none"/>
        </w:rPr>
      </w:pPr>
      <w:hyperlink r:id="rId11" w:history="1">
        <w:proofErr w:type="spellStart"/>
        <w:r w:rsidRPr="008121F9">
          <w:rPr>
            <w:rStyle w:val="Hipercze"/>
          </w:rPr>
          <w:t>Marincola</w:t>
        </w:r>
        <w:proofErr w:type="spellEnd"/>
        <w:r w:rsidRPr="008121F9">
          <w:rPr>
            <w:rStyle w:val="Hipercze"/>
          </w:rPr>
          <w:t xml:space="preserve"> i </w:t>
        </w:r>
        <w:proofErr w:type="spellStart"/>
        <w:r w:rsidRPr="008121F9">
          <w:rPr>
            <w:rStyle w:val="Hipercze"/>
          </w:rPr>
          <w:t>Sestito</w:t>
        </w:r>
        <w:proofErr w:type="spellEnd"/>
        <w:r w:rsidRPr="008121F9">
          <w:rPr>
            <w:rStyle w:val="Hipercze"/>
          </w:rPr>
          <w:t xml:space="preserve"> przeciwko Włochom</w:t>
        </w:r>
      </w:hyperlink>
    </w:p>
    <w:p w14:paraId="27E6BF03" w14:textId="73F0BAC2" w:rsidR="00383F38" w:rsidRDefault="003E5B5E">
      <w:pPr>
        <w:spacing w:before="60" w:line="218" w:lineRule="exact"/>
        <w:ind w:left="880"/>
        <w:jc w:val="both"/>
        <w:rPr>
          <w:sz w:val="18"/>
        </w:rPr>
      </w:pPr>
      <w:r>
        <w:rPr>
          <w:color w:val="7F7F7F"/>
          <w:sz w:val="18"/>
        </w:rPr>
        <w:t xml:space="preserve">25 listopada 1999 r. (decyzja </w:t>
      </w:r>
      <w:r w:rsidR="009173F4">
        <w:rPr>
          <w:color w:val="7F7F7F"/>
          <w:sz w:val="18"/>
        </w:rPr>
        <w:t>w przedmiocie</w:t>
      </w:r>
      <w:r>
        <w:rPr>
          <w:color w:val="7F7F7F"/>
          <w:sz w:val="18"/>
        </w:rPr>
        <w:t xml:space="preserve"> dopuszczalności)</w:t>
      </w:r>
    </w:p>
    <w:p w14:paraId="5A3A964D" w14:textId="303D78DD" w:rsidR="00383F38" w:rsidRDefault="003E5B5E">
      <w:pPr>
        <w:pStyle w:val="Tekstpodstawowy"/>
        <w:ind w:left="879" w:right="968"/>
        <w:jc w:val="both"/>
      </w:pPr>
      <w:r>
        <w:t xml:space="preserve">Skarżący – więzień i jego żona – podnieśli, że ich życie rodzinne ucierpiało podczas </w:t>
      </w:r>
      <w:r w:rsidR="00983680">
        <w:t xml:space="preserve">okresu </w:t>
      </w:r>
      <w:r>
        <w:t xml:space="preserve">pierwszego </w:t>
      </w:r>
      <w:r w:rsidR="00983680">
        <w:t xml:space="preserve">pozbawienia wolności </w:t>
      </w:r>
      <w:r>
        <w:t xml:space="preserve">skarżącego, w szczególności dlatego, że był on kilkakrotnie przenoszony i umieszczany w zakładach karnych daleko od </w:t>
      </w:r>
      <w:r w:rsidR="004557BC">
        <w:t xml:space="preserve">jego </w:t>
      </w:r>
      <w:r>
        <w:t>miejsca zamieszkania.</w:t>
      </w:r>
    </w:p>
    <w:p w14:paraId="33FB75E7" w14:textId="5B31C1BA" w:rsidR="00383F38" w:rsidRDefault="003E5B5E" w:rsidP="00461923">
      <w:pPr>
        <w:pStyle w:val="Tekstpodstawowy"/>
        <w:ind w:left="879" w:right="968"/>
        <w:jc w:val="both"/>
        <w:rPr>
          <w:sz w:val="15"/>
        </w:rPr>
      </w:pPr>
      <w:r>
        <w:rPr>
          <w:noProof/>
          <w:lang w:eastAsia="pl-PL" w:bidi="ar-SA"/>
        </w:rPr>
        <w:drawing>
          <wp:anchor distT="0" distB="0" distL="0" distR="0" simplePos="0" relativeHeight="7" behindDoc="0" locked="0" layoutInCell="1" allowOverlap="1" wp14:anchorId="27A869AD" wp14:editId="76174993">
            <wp:simplePos x="0" y="0"/>
            <wp:positionH relativeFrom="page">
              <wp:posOffset>3401060</wp:posOffset>
            </wp:positionH>
            <wp:positionV relativeFrom="paragraph">
              <wp:posOffset>1524825</wp:posOffset>
            </wp:positionV>
            <wp:extent cx="744092" cy="594074"/>
            <wp:effectExtent l="0" t="0" r="0" b="0"/>
            <wp:wrapTopAndBottom/>
            <wp:docPr id="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png"/>
                    <pic:cNvPicPr/>
                  </pic:nvPicPr>
                  <pic:blipFill>
                    <a:blip r:embed="rId12" cstate="print"/>
                    <a:stretch>
                      <a:fillRect/>
                    </a:stretch>
                  </pic:blipFill>
                  <pic:spPr>
                    <a:xfrm>
                      <a:off x="0" y="0"/>
                      <a:ext cx="744092" cy="594074"/>
                    </a:xfrm>
                    <a:prstGeom prst="rect">
                      <a:avLst/>
                    </a:prstGeom>
                  </pic:spPr>
                </pic:pic>
              </a:graphicData>
            </a:graphic>
          </wp:anchor>
        </w:drawing>
      </w:r>
      <w:r>
        <w:rPr>
          <w:color w:val="0071BC"/>
        </w:rPr>
        <w:t xml:space="preserve">Trybunał uznał </w:t>
      </w:r>
      <w:r w:rsidR="009173F4">
        <w:rPr>
          <w:color w:val="0071BC"/>
        </w:rPr>
        <w:t>zarzuty</w:t>
      </w:r>
      <w:r>
        <w:rPr>
          <w:color w:val="0071BC"/>
        </w:rPr>
        <w:t xml:space="preserve"> skarżących </w:t>
      </w:r>
      <w:r w:rsidR="007524A4">
        <w:rPr>
          <w:color w:val="0071BC"/>
        </w:rPr>
        <w:t xml:space="preserve">wniesione </w:t>
      </w:r>
      <w:r>
        <w:rPr>
          <w:color w:val="0071BC"/>
        </w:rPr>
        <w:t xml:space="preserve">na podstawie art. 8 (prawo do poszanowania życia prywatnego i rodzinnego) </w:t>
      </w:r>
      <w:r w:rsidR="007524A4">
        <w:rPr>
          <w:color w:val="0071BC"/>
        </w:rPr>
        <w:t>E</w:t>
      </w:r>
      <w:r>
        <w:rPr>
          <w:color w:val="0071BC"/>
        </w:rPr>
        <w:t xml:space="preserve">uropejskiej konwencji praw człowieka za </w:t>
      </w:r>
      <w:r>
        <w:rPr>
          <w:b/>
          <w:bCs/>
          <w:color w:val="0071BC"/>
        </w:rPr>
        <w:t>niedopuszczalne</w:t>
      </w:r>
      <w:r>
        <w:rPr>
          <w:color w:val="0071BC"/>
        </w:rPr>
        <w:t xml:space="preserve"> jako </w:t>
      </w:r>
      <w:r w:rsidR="009173F4">
        <w:rPr>
          <w:color w:val="0071BC"/>
        </w:rPr>
        <w:t>oczywiście niezasadne</w:t>
      </w:r>
      <w:r>
        <w:rPr>
          <w:color w:val="0071BC"/>
        </w:rPr>
        <w:t xml:space="preserve">. Trybunał zaczął od wskazania, że Konwencja nie przyznaje więźniom prawa do wyboru miejsca osadzenia, a fakt, że więźniowie byli oddzieleni od swoich rodzin i w pewnej odległości od nich, był nieuniknioną </w:t>
      </w:r>
      <w:r>
        <w:rPr>
          <w:color w:val="0071BC"/>
        </w:rPr>
        <w:lastRenderedPageBreak/>
        <w:t xml:space="preserve">konsekwencją </w:t>
      </w:r>
      <w:r w:rsidR="009173F4">
        <w:rPr>
          <w:color w:val="0071BC"/>
        </w:rPr>
        <w:t xml:space="preserve">ich </w:t>
      </w:r>
      <w:r>
        <w:rPr>
          <w:color w:val="0071BC"/>
        </w:rPr>
        <w:t>pozbawienia wolności. Niemniej Trybunał zauważył, że osadzenie osoby w zakładzie karnym, który znajdował się tak daleko od jej rodziny, że odwiedziny były bardzo utrudnione lub wręcz niemożliwe, mógł w nadzwyczajnych okolicznościach stanowić ingerencję w życie rodzinne, ponieważ możliwość odwiedzin przez członków rodziny jest niezbędna d</w:t>
      </w:r>
      <w:r w:rsidR="009173F4">
        <w:rPr>
          <w:color w:val="0071BC"/>
        </w:rPr>
        <w:t>la</w:t>
      </w:r>
      <w:r>
        <w:rPr>
          <w:color w:val="0071BC"/>
        </w:rPr>
        <w:t xml:space="preserve"> utrzymania życia rodzinnego. W niniejszej sprawie, w zakresie, w jakim wizyty rodzinne były ograniczone i odbywały się w trudnych warunkach, Trybunał stwierdził, że doszło do ingerencji w prawo skarżących do poszanowania ich życia rodzinnego. Zauważając jednak w szczególności, że specjalny reżim więzienny, któremu podlegał pierwszy skarżący, miał na celu zerwanie więzi między daną osobą </w:t>
      </w:r>
      <w:r w:rsidR="009173F4">
        <w:rPr>
          <w:color w:val="0071BC"/>
        </w:rPr>
        <w:t>i</w:t>
      </w:r>
      <w:r>
        <w:rPr>
          <w:color w:val="0071BC"/>
        </w:rPr>
        <w:t xml:space="preserve"> jej pierwotnym środowiskiem przestępczym, Trybunał orzekł, że przedmiotowe środki służyły realizacji uprawnionych celów </w:t>
      </w:r>
      <w:r w:rsidR="00D11477">
        <w:rPr>
          <w:color w:val="0071BC"/>
        </w:rPr>
        <w:t xml:space="preserve">w postaci </w:t>
      </w:r>
      <w:r>
        <w:rPr>
          <w:color w:val="0071BC"/>
        </w:rPr>
        <w:t>zapewnienia bezpieczeństwa publicznego oraz zapobiegania przestępczości i zakłócaniu porządku.</w:t>
      </w:r>
    </w:p>
    <w:p w14:paraId="50E6F9CE" w14:textId="6C23CD15" w:rsidR="00383F38" w:rsidRDefault="003E5B5E">
      <w:pPr>
        <w:pStyle w:val="Nagwek11"/>
        <w:spacing w:before="100"/>
        <w:rPr>
          <w:u w:val="none"/>
        </w:rPr>
      </w:pPr>
      <w:hyperlink r:id="rId13" w:history="1">
        <w:proofErr w:type="spellStart"/>
        <w:r w:rsidRPr="00FA13A0">
          <w:rPr>
            <w:rStyle w:val="Hipercze"/>
          </w:rPr>
          <w:t>Pesce</w:t>
        </w:r>
        <w:proofErr w:type="spellEnd"/>
        <w:r w:rsidRPr="00FA13A0">
          <w:rPr>
            <w:rStyle w:val="Hipercze"/>
          </w:rPr>
          <w:t xml:space="preserve"> przeciwko Włochom</w:t>
        </w:r>
      </w:hyperlink>
    </w:p>
    <w:p w14:paraId="480A3A56" w14:textId="07394A47" w:rsidR="00383F38" w:rsidRDefault="003E5B5E">
      <w:pPr>
        <w:spacing w:before="61"/>
        <w:ind w:left="880"/>
        <w:jc w:val="both"/>
        <w:rPr>
          <w:sz w:val="18"/>
        </w:rPr>
      </w:pPr>
      <w:r>
        <w:rPr>
          <w:color w:val="7F7F7F"/>
          <w:sz w:val="18"/>
        </w:rPr>
        <w:t>29 stycznia 2008 r. (</w:t>
      </w:r>
      <w:r w:rsidR="00D11477">
        <w:rPr>
          <w:color w:val="7F7F7F"/>
          <w:sz w:val="18"/>
        </w:rPr>
        <w:t>decyzja</w:t>
      </w:r>
      <w:r>
        <w:rPr>
          <w:color w:val="7F7F7F"/>
          <w:sz w:val="18"/>
        </w:rPr>
        <w:t xml:space="preserve"> częściow</w:t>
      </w:r>
      <w:r w:rsidR="00D11477">
        <w:rPr>
          <w:color w:val="7F7F7F"/>
          <w:sz w:val="18"/>
        </w:rPr>
        <w:t>a</w:t>
      </w:r>
      <w:r>
        <w:rPr>
          <w:color w:val="7F7F7F"/>
          <w:sz w:val="18"/>
        </w:rPr>
        <w:t xml:space="preserve"> w </w:t>
      </w:r>
      <w:r w:rsidR="00D11477">
        <w:rPr>
          <w:color w:val="7F7F7F"/>
          <w:sz w:val="18"/>
        </w:rPr>
        <w:t>przedmiocie</w:t>
      </w:r>
      <w:r>
        <w:rPr>
          <w:color w:val="7F7F7F"/>
          <w:sz w:val="18"/>
        </w:rPr>
        <w:t xml:space="preserve"> dopuszczalności)</w:t>
      </w:r>
    </w:p>
    <w:p w14:paraId="4B6CE1AA" w14:textId="0E40CFA9" w:rsidR="00383F38" w:rsidRDefault="003E5B5E">
      <w:pPr>
        <w:pStyle w:val="Tekstpodstawowy"/>
        <w:ind w:left="879" w:right="969"/>
        <w:jc w:val="both"/>
      </w:pPr>
      <w:r>
        <w:t xml:space="preserve">Skarżący, który został skazany na karę dożywotniego pozbawienia wolności </w:t>
      </w:r>
      <w:r w:rsidR="00294782">
        <w:t xml:space="preserve">za, </w:t>
      </w:r>
      <w:r>
        <w:t>między innymi</w:t>
      </w:r>
      <w:r w:rsidR="00294782">
        <w:t>,</w:t>
      </w:r>
      <w:r>
        <w:t xml:space="preserve"> przestępstw</w:t>
      </w:r>
      <w:r w:rsidR="00294782">
        <w:t xml:space="preserve">o udziału w </w:t>
      </w:r>
      <w:r>
        <w:t xml:space="preserve">organizacji przestępczej typu mafijnego, utrzymywał w szczególności, że reżim więzienny </w:t>
      </w:r>
      <w:r w:rsidR="00294782">
        <w:t>o</w:t>
      </w:r>
      <w:r>
        <w:t xml:space="preserve"> wysokim nadzor</w:t>
      </w:r>
      <w:r w:rsidR="00294782">
        <w:t>ze</w:t>
      </w:r>
      <w:r>
        <w:t xml:space="preserve"> (E.I.V.), któremu skarżący podlegał, </w:t>
      </w:r>
      <w:r w:rsidR="00DB2194">
        <w:t>pociągał za sobą</w:t>
      </w:r>
      <w:r>
        <w:t xml:space="preserve"> ograniczen</w:t>
      </w:r>
      <w:r w:rsidR="00DB2194">
        <w:t>ia</w:t>
      </w:r>
      <w:r>
        <w:t xml:space="preserve"> jego prawa do przyjmowania wizyt członków rodziny, zważywszy, że </w:t>
      </w:r>
      <w:r w:rsidR="004E6C4C">
        <w:t xml:space="preserve">zakłady karne </w:t>
      </w:r>
      <w:r>
        <w:t>z oddziałami E.I.V. znajdowały się daleko od miejsca zamieszkania jego rodziny.</w:t>
      </w:r>
    </w:p>
    <w:p w14:paraId="2B1A0A3B" w14:textId="7C51E81E" w:rsidR="00383F38" w:rsidRDefault="003E5B5E">
      <w:pPr>
        <w:pStyle w:val="Tekstpodstawowy"/>
        <w:ind w:left="879" w:right="968"/>
        <w:jc w:val="both"/>
      </w:pPr>
      <w:r>
        <w:rPr>
          <w:color w:val="0071BC"/>
        </w:rPr>
        <w:t xml:space="preserve">Trybunał uznał skargę wniesioną przez skarżącego za </w:t>
      </w:r>
      <w:r>
        <w:rPr>
          <w:b/>
          <w:bCs/>
          <w:color w:val="0071BC"/>
        </w:rPr>
        <w:t>niedopuszczalną</w:t>
      </w:r>
      <w:r>
        <w:rPr>
          <w:color w:val="0071BC"/>
        </w:rPr>
        <w:t xml:space="preserve"> jako w sposób oczywisty nieuzasadnioną. Zauważył w szczególności, że reżim </w:t>
      </w:r>
      <w:r w:rsidR="00DB2194">
        <w:rPr>
          <w:color w:val="0071BC"/>
        </w:rPr>
        <w:t xml:space="preserve">o </w:t>
      </w:r>
      <w:r>
        <w:rPr>
          <w:color w:val="0071BC"/>
        </w:rPr>
        <w:t>wysoki</w:t>
      </w:r>
      <w:r w:rsidR="00DB2194">
        <w:rPr>
          <w:color w:val="0071BC"/>
        </w:rPr>
        <w:t>m</w:t>
      </w:r>
      <w:r>
        <w:rPr>
          <w:color w:val="0071BC"/>
        </w:rPr>
        <w:t xml:space="preserve"> nadzor</w:t>
      </w:r>
      <w:r w:rsidR="00DB2194">
        <w:rPr>
          <w:color w:val="0071BC"/>
        </w:rPr>
        <w:t>ze</w:t>
      </w:r>
      <w:r>
        <w:rPr>
          <w:color w:val="0071BC"/>
        </w:rPr>
        <w:t xml:space="preserve"> nie wiązał się dla skarżącego z dodatkowymi ograniczeniami </w:t>
      </w:r>
      <w:r w:rsidR="00DB2194">
        <w:rPr>
          <w:color w:val="0071BC"/>
        </w:rPr>
        <w:t xml:space="preserve">co do </w:t>
      </w:r>
      <w:r>
        <w:rPr>
          <w:color w:val="0071BC"/>
        </w:rPr>
        <w:t xml:space="preserve">liczby wizyt członków rodziny.  W niniejszej sprawie Trybunał uznał – nie </w:t>
      </w:r>
      <w:r w:rsidR="006D1C6D">
        <w:rPr>
          <w:color w:val="0071BC"/>
        </w:rPr>
        <w:t>bagatelizując</w:t>
      </w:r>
      <w:r>
        <w:rPr>
          <w:color w:val="0071BC"/>
        </w:rPr>
        <w:t xml:space="preserve"> trudności, jakie mogli napotkać jego krewni w podróży do zakładu karnego </w:t>
      </w:r>
      <w:proofErr w:type="spellStart"/>
      <w:r>
        <w:rPr>
          <w:color w:val="0071BC"/>
        </w:rPr>
        <w:t>Secondigliano</w:t>
      </w:r>
      <w:proofErr w:type="spellEnd"/>
      <w:r>
        <w:rPr>
          <w:color w:val="0071BC"/>
        </w:rPr>
        <w:t xml:space="preserve"> w Neapolu, do którego skarżący został przeniesiony – że fakt osadzenia skarżącego w tej placówce nie mógł znacząco naruszyć prawa do wizyt członków rodziny. Rodzina skarżącego mieszkała we Włoszech i nie było dowodów na to, że podróż do </w:t>
      </w:r>
      <w:proofErr w:type="spellStart"/>
      <w:r>
        <w:rPr>
          <w:color w:val="0071BC"/>
        </w:rPr>
        <w:t>Secondigliano</w:t>
      </w:r>
      <w:proofErr w:type="spellEnd"/>
      <w:r>
        <w:rPr>
          <w:color w:val="0071BC"/>
        </w:rPr>
        <w:t xml:space="preserve"> mogła powodować niemożliwe do pokonania, czy choćby szczególnie duże, trudności.</w:t>
      </w:r>
    </w:p>
    <w:p w14:paraId="21073A40" w14:textId="74C5CAAE" w:rsidR="00383F38" w:rsidRDefault="003E5B5E" w:rsidP="00E8322D">
      <w:pPr>
        <w:pStyle w:val="Nagwek11"/>
        <w:ind w:left="879"/>
        <w:rPr>
          <w:u w:val="none"/>
        </w:rPr>
      </w:pPr>
      <w:hyperlink r:id="rId14" w:history="1">
        <w:proofErr w:type="spellStart"/>
        <w:r w:rsidRPr="00210517">
          <w:rPr>
            <w:rStyle w:val="Hipercze"/>
          </w:rPr>
          <w:t>Khodorkovskiy</w:t>
        </w:r>
        <w:proofErr w:type="spellEnd"/>
        <w:r w:rsidRPr="00210517">
          <w:rPr>
            <w:rStyle w:val="Hipercze"/>
          </w:rPr>
          <w:t xml:space="preserve"> i </w:t>
        </w:r>
        <w:proofErr w:type="spellStart"/>
        <w:r w:rsidRPr="00210517">
          <w:rPr>
            <w:rStyle w:val="Hipercze"/>
          </w:rPr>
          <w:t>Lebedev</w:t>
        </w:r>
        <w:proofErr w:type="spellEnd"/>
        <w:r w:rsidRPr="00210517">
          <w:rPr>
            <w:rStyle w:val="Hipercze"/>
          </w:rPr>
          <w:t xml:space="preserve"> przeciwko Rosji</w:t>
        </w:r>
      </w:hyperlink>
      <w:r w:rsidR="00E8322D" w:rsidRPr="00DD4355">
        <w:rPr>
          <w:rStyle w:val="Odwoanieprzypisudolnego"/>
          <w:b w:val="0"/>
          <w:bCs w:val="0"/>
          <w:u w:val="none" w:color="0071BC"/>
        </w:rPr>
        <w:footnoteReference w:id="1"/>
      </w:r>
    </w:p>
    <w:p w14:paraId="2D52614C" w14:textId="77777777" w:rsidR="00383F38" w:rsidRDefault="003E5B5E">
      <w:pPr>
        <w:spacing w:before="60"/>
        <w:ind w:left="880"/>
        <w:jc w:val="both"/>
        <w:rPr>
          <w:sz w:val="18"/>
        </w:rPr>
      </w:pPr>
      <w:r>
        <w:rPr>
          <w:color w:val="7F7F7F"/>
          <w:sz w:val="18"/>
        </w:rPr>
        <w:t>25 lipca 2013 r. (wyrok)</w:t>
      </w:r>
    </w:p>
    <w:p w14:paraId="3666FB43" w14:textId="7824D1C2" w:rsidR="00964251" w:rsidRDefault="003E5B5E" w:rsidP="00964251">
      <w:pPr>
        <w:pStyle w:val="Tekstpodstawowy"/>
        <w:ind w:left="879" w:right="969"/>
        <w:jc w:val="both"/>
      </w:pPr>
      <w:r>
        <w:t>Skarżący, dwaj byli członkowie kadry kierowniczej wyższego szczebla i główni udziałowcy dużej grupy przemysłowej, odby</w:t>
      </w:r>
      <w:r w:rsidR="004E6C4C">
        <w:t>wa</w:t>
      </w:r>
      <w:r>
        <w:t xml:space="preserve">li karę pozbawienia wolności w okręgu Karelskim i w okręgu Jamalsko-Nienieckim po skazaniu ich we wrześniu 2005 r. za uchylanie się od płacenia podatków i oszustwa podatkowe na dużą skalę. </w:t>
      </w:r>
      <w:r w:rsidR="005E74B4">
        <w:t>Zarzucali</w:t>
      </w:r>
      <w:r>
        <w:t xml:space="preserve"> w szczególności, że ich przeniesienie do kolonii karnych położonych kilka tysięcy kilometrów od Moskwy uniemożliwiło im spotkanie z rodzinami.</w:t>
      </w:r>
    </w:p>
    <w:p w14:paraId="4C6B755A" w14:textId="35C48E24" w:rsidR="00383F38" w:rsidRDefault="003E5B5E" w:rsidP="00964251">
      <w:pPr>
        <w:pStyle w:val="Tekstpodstawowy"/>
        <w:ind w:left="879" w:right="969"/>
        <w:jc w:val="both"/>
      </w:pPr>
      <w:r>
        <w:rPr>
          <w:color w:val="0071BC"/>
        </w:rPr>
        <w:t xml:space="preserve">Trybunał orzekł, że doszło do </w:t>
      </w:r>
      <w:r>
        <w:rPr>
          <w:b/>
          <w:bCs/>
          <w:color w:val="0071BC"/>
        </w:rPr>
        <w:t xml:space="preserve">naruszenia art. 8 </w:t>
      </w:r>
      <w:r w:rsidRPr="00E31018">
        <w:rPr>
          <w:color w:val="0071BC"/>
        </w:rPr>
        <w:t>Konwencji</w:t>
      </w:r>
      <w:r>
        <w:rPr>
          <w:color w:val="0071BC"/>
        </w:rPr>
        <w:t xml:space="preserve"> </w:t>
      </w:r>
      <w:r w:rsidR="005E74B4">
        <w:rPr>
          <w:color w:val="0071BC"/>
        </w:rPr>
        <w:t>ze względu na</w:t>
      </w:r>
      <w:r>
        <w:rPr>
          <w:color w:val="0071BC"/>
        </w:rPr>
        <w:t xml:space="preserve"> przeniesieni</w:t>
      </w:r>
      <w:r w:rsidR="005E74B4">
        <w:rPr>
          <w:color w:val="0071BC"/>
        </w:rPr>
        <w:t>e</w:t>
      </w:r>
      <w:r>
        <w:rPr>
          <w:color w:val="0071BC"/>
        </w:rPr>
        <w:t xml:space="preserve"> skarżących do kolonii karnych na Syberii i Dalekiej Północy, kilka tysięcy kilometrów od Moskwy i ich rodzin. Trybunał stwierdził, że wobec braku jasnej i przewidywalnej metody rozmieszczania osób skazanych w koloniach karnych</w:t>
      </w:r>
      <w:r w:rsidR="005E74B4">
        <w:rPr>
          <w:color w:val="0071BC"/>
        </w:rPr>
        <w:t>,</w:t>
      </w:r>
      <w:r>
        <w:rPr>
          <w:color w:val="0071BC"/>
        </w:rPr>
        <w:t xml:space="preserve"> system ten nie zapewniał środka ochrony prawnej przed arbitralną ingerencją władz publicznych i doprowadził do rezultatów, które były niezgodne z poszanowaniem życia prywatnego i rodzinnego skarżących. Trybunał podkreślił w szczególności, że rozmieszczenie osadzonych w zakładach karnych nie może pozostawać całkowicie w gestii organów administracyjnych oraz że należy w jakiś sposób uwzględnić interesy skazanych w zakresie utrzymywania przynajmniej niektórych więzi rodzinnych i społecznych.</w:t>
      </w:r>
    </w:p>
    <w:p w14:paraId="5181E83E" w14:textId="03B4415D" w:rsidR="00383F38" w:rsidRDefault="003E5B5E">
      <w:pPr>
        <w:pStyle w:val="Nagwek11"/>
        <w:ind w:left="879"/>
        <w:jc w:val="left"/>
        <w:rPr>
          <w:u w:val="none"/>
        </w:rPr>
      </w:pPr>
      <w:hyperlink r:id="rId15" w:history="1">
        <w:proofErr w:type="spellStart"/>
        <w:r w:rsidRPr="00FA13A0">
          <w:rPr>
            <w:rStyle w:val="Hipercze"/>
          </w:rPr>
          <w:t>Bellomonte</w:t>
        </w:r>
        <w:proofErr w:type="spellEnd"/>
        <w:r w:rsidRPr="00FA13A0">
          <w:rPr>
            <w:rStyle w:val="Hipercze"/>
          </w:rPr>
          <w:t xml:space="preserve"> przeciwko Włochom</w:t>
        </w:r>
      </w:hyperlink>
    </w:p>
    <w:p w14:paraId="7FB77799" w14:textId="06A7FA26" w:rsidR="00383F38" w:rsidRDefault="003E5B5E">
      <w:pPr>
        <w:spacing w:before="60"/>
        <w:ind w:left="880"/>
        <w:rPr>
          <w:sz w:val="18"/>
        </w:rPr>
      </w:pPr>
      <w:r>
        <w:rPr>
          <w:color w:val="7F7F7F"/>
          <w:sz w:val="18"/>
        </w:rPr>
        <w:t xml:space="preserve">1 kwietnia 2014 r. (decyzja </w:t>
      </w:r>
      <w:r w:rsidR="00856EF7">
        <w:rPr>
          <w:color w:val="7F7F7F"/>
          <w:sz w:val="18"/>
        </w:rPr>
        <w:t>w przedmiocie</w:t>
      </w:r>
      <w:r>
        <w:rPr>
          <w:color w:val="7F7F7F"/>
          <w:sz w:val="18"/>
        </w:rPr>
        <w:t xml:space="preserve"> dopuszczalności)</w:t>
      </w:r>
    </w:p>
    <w:p w14:paraId="3C742A0F" w14:textId="60B133C6" w:rsidR="00383F38" w:rsidRDefault="003E5B5E">
      <w:pPr>
        <w:pStyle w:val="Tekstpodstawowy"/>
        <w:ind w:left="880" w:right="969" w:hanging="1"/>
        <w:jc w:val="both"/>
      </w:pPr>
      <w:r>
        <w:t xml:space="preserve">Skarżący, </w:t>
      </w:r>
      <w:r w:rsidR="004E6C4C">
        <w:t xml:space="preserve">którego </w:t>
      </w:r>
      <w:r>
        <w:t>oskarżon</w:t>
      </w:r>
      <w:r w:rsidR="004E6C4C">
        <w:t>o</w:t>
      </w:r>
      <w:r>
        <w:t xml:space="preserve"> o </w:t>
      </w:r>
      <w:r w:rsidR="00856EF7">
        <w:t>udział</w:t>
      </w:r>
      <w:r>
        <w:t xml:space="preserve"> </w:t>
      </w:r>
      <w:r w:rsidR="00856EF7">
        <w:t>w</w:t>
      </w:r>
      <w:r>
        <w:t xml:space="preserve"> skrajnie lewicowej grup</w:t>
      </w:r>
      <w:r w:rsidR="00856EF7">
        <w:t>ie</w:t>
      </w:r>
      <w:r>
        <w:t xml:space="preserve"> terrorystycznej, został w lipcu 2009 r. przeniesiony z Rzymu do zakładu karnego Catanzaro i przydzielony do skrzydła o wysokim poziomie zabezpieczeń. </w:t>
      </w:r>
      <w:r w:rsidR="00856EF7">
        <w:t>Zarzucał</w:t>
      </w:r>
      <w:r>
        <w:t xml:space="preserve"> nieuzasadnioną ingerencję w jego prawo do poszanowania życia prywatnego i rodzinnego twierdząc, że jego żonie szczególnie trudno było odwiedzić go w Catanzaro, położonym daleko od miejsca, w którym mieszkała na Sardynii i do którego nie było bezpośredniego lotu.</w:t>
      </w:r>
    </w:p>
    <w:p w14:paraId="7DE0C711" w14:textId="72D5A790" w:rsidR="00383F38" w:rsidRPr="00964251" w:rsidRDefault="003E5B5E" w:rsidP="00964251">
      <w:pPr>
        <w:pStyle w:val="Tekstpodstawowy"/>
        <w:ind w:left="880" w:right="969"/>
        <w:jc w:val="both"/>
        <w:rPr>
          <w:sz w:val="15"/>
        </w:rPr>
      </w:pPr>
      <w:r>
        <w:rPr>
          <w:color w:val="0071BC"/>
        </w:rPr>
        <w:t xml:space="preserve">Trybunał uznał skargę wniesioną przez skarżącego za </w:t>
      </w:r>
      <w:r>
        <w:rPr>
          <w:b/>
          <w:bCs/>
          <w:color w:val="0071BC"/>
        </w:rPr>
        <w:t>niedopuszczalną</w:t>
      </w:r>
      <w:r>
        <w:rPr>
          <w:color w:val="0071BC"/>
        </w:rPr>
        <w:t xml:space="preserve"> jako w sposób </w:t>
      </w:r>
      <w:r>
        <w:rPr>
          <w:color w:val="0071BC"/>
        </w:rPr>
        <w:lastRenderedPageBreak/>
        <w:t xml:space="preserve">oczywisty nieuzasadnioną </w:t>
      </w:r>
      <w:r w:rsidR="00856EF7">
        <w:rPr>
          <w:color w:val="0071BC"/>
        </w:rPr>
        <w:t>stwierdzając</w:t>
      </w:r>
      <w:r>
        <w:rPr>
          <w:color w:val="0071BC"/>
        </w:rPr>
        <w:t xml:space="preserve">, że ingerencja w prawo skarżącego do poszanowania jego życia prywatnego i rodzinnego była proporcjonalna </w:t>
      </w:r>
      <w:r w:rsidR="00D504E7">
        <w:rPr>
          <w:color w:val="0071BC"/>
        </w:rPr>
        <w:t>do</w:t>
      </w:r>
      <w:r>
        <w:rPr>
          <w:color w:val="0071BC"/>
        </w:rPr>
        <w:t xml:space="preserve"> uprawnionego </w:t>
      </w:r>
      <w:r w:rsidR="00D504E7">
        <w:rPr>
          <w:color w:val="0071BC"/>
        </w:rPr>
        <w:t xml:space="preserve">realizowanego </w:t>
      </w:r>
      <w:r>
        <w:rPr>
          <w:color w:val="0071BC"/>
        </w:rPr>
        <w:t xml:space="preserve">celu, a mianowicie osadzenia go w zakładzie karnym przeznaczonym dla nowej generacji skrajnie lewicowych terrorystów oraz że państwo włoskie nie przekroczyło w tym względzie swojego marginesu </w:t>
      </w:r>
      <w:r w:rsidR="00D504E7">
        <w:rPr>
          <w:color w:val="0071BC"/>
        </w:rPr>
        <w:t>swobody</w:t>
      </w:r>
      <w:r>
        <w:rPr>
          <w:color w:val="0071BC"/>
        </w:rPr>
        <w:t xml:space="preserve">. Trybunał zauważył w szczególności, że włoskie władze więzienne ustanowiły jasny i przewidywalny system przydzielania więźniów wymagających zwiększonych środków bezpieczeństwa oraz że tego systemu </w:t>
      </w:r>
      <w:r w:rsidR="00D504E7">
        <w:rPr>
          <w:color w:val="0071BC"/>
        </w:rPr>
        <w:t>od</w:t>
      </w:r>
      <w:r>
        <w:rPr>
          <w:color w:val="0071BC"/>
        </w:rPr>
        <w:t>separo</w:t>
      </w:r>
      <w:r w:rsidR="00D504E7">
        <w:rPr>
          <w:color w:val="0071BC"/>
        </w:rPr>
        <w:t>wy</w:t>
      </w:r>
      <w:r>
        <w:rPr>
          <w:color w:val="0071BC"/>
        </w:rPr>
        <w:t>wania i przydzielania więźniów nie można uznać za arbitralny czy nieracjonalny. Trybunał zauważył również, że nierealistyczn</w:t>
      </w:r>
      <w:r w:rsidR="00D504E7">
        <w:rPr>
          <w:color w:val="0071BC"/>
        </w:rPr>
        <w:t>ym było</w:t>
      </w:r>
      <w:r>
        <w:rPr>
          <w:color w:val="0071BC"/>
        </w:rPr>
        <w:t xml:space="preserve"> oczekiwanie, </w:t>
      </w:r>
      <w:r w:rsidR="004A06E2">
        <w:rPr>
          <w:color w:val="0071BC"/>
        </w:rPr>
        <w:t>że wyłączenie</w:t>
      </w:r>
      <w:r>
        <w:rPr>
          <w:color w:val="0071BC"/>
        </w:rPr>
        <w:t xml:space="preserve"> z takiego systemu </w:t>
      </w:r>
      <w:r w:rsidR="004A06E2">
        <w:rPr>
          <w:color w:val="0071BC"/>
        </w:rPr>
        <w:t>zostanie dokonane</w:t>
      </w:r>
      <w:r>
        <w:rPr>
          <w:color w:val="0071BC"/>
        </w:rPr>
        <w:t xml:space="preserve"> w celu złagodzenia trudności, jakie żona skarżącego mogła napotkać podróżując do Catanzaro. Ponadto Trybunał uznał, że odległość między Sardynią </w:t>
      </w:r>
      <w:r w:rsidR="004A06E2">
        <w:rPr>
          <w:color w:val="0071BC"/>
        </w:rPr>
        <w:t>i</w:t>
      </w:r>
      <w:r>
        <w:rPr>
          <w:color w:val="0071BC"/>
        </w:rPr>
        <w:t xml:space="preserve"> Catanzaro nie</w:t>
      </w:r>
      <w:r w:rsidR="00964251">
        <w:rPr>
          <w:sz w:val="15"/>
        </w:rPr>
        <w:t xml:space="preserve"> </w:t>
      </w:r>
      <w:r>
        <w:rPr>
          <w:color w:val="0071BC"/>
        </w:rPr>
        <w:t>wyda</w:t>
      </w:r>
      <w:r w:rsidR="004A06E2">
        <w:rPr>
          <w:color w:val="0071BC"/>
        </w:rPr>
        <w:t>wała</w:t>
      </w:r>
      <w:r>
        <w:rPr>
          <w:color w:val="0071BC"/>
        </w:rPr>
        <w:t xml:space="preserve"> się nadmierna i że brak bezpośrednich lotów między tymi dwoma miejscami nie stanowi</w:t>
      </w:r>
      <w:r w:rsidR="004A06E2">
        <w:rPr>
          <w:color w:val="0071BC"/>
        </w:rPr>
        <w:t>ł</w:t>
      </w:r>
      <w:r>
        <w:rPr>
          <w:color w:val="0071BC"/>
        </w:rPr>
        <w:t xml:space="preserve"> </w:t>
      </w:r>
      <w:r w:rsidR="004E6C4C">
        <w:rPr>
          <w:color w:val="0071BC"/>
        </w:rPr>
        <w:t xml:space="preserve">niemożliwej do pokonania </w:t>
      </w:r>
      <w:r>
        <w:rPr>
          <w:color w:val="0071BC"/>
        </w:rPr>
        <w:t>przeszkody</w:t>
      </w:r>
      <w:r w:rsidR="004E6C4C">
        <w:rPr>
          <w:color w:val="0071BC"/>
        </w:rPr>
        <w:t>.</w:t>
      </w:r>
    </w:p>
    <w:p w14:paraId="3341C47F" w14:textId="136C2C00" w:rsidR="00383F38" w:rsidRDefault="003E5B5E">
      <w:pPr>
        <w:pStyle w:val="Nagwek11"/>
        <w:rPr>
          <w:u w:val="none"/>
        </w:rPr>
      </w:pPr>
      <w:hyperlink r:id="rId16" w:history="1">
        <w:proofErr w:type="spellStart"/>
        <w:r w:rsidRPr="00927A66">
          <w:rPr>
            <w:rStyle w:val="Hipercze"/>
          </w:rPr>
          <w:t>Čalovskis</w:t>
        </w:r>
        <w:proofErr w:type="spellEnd"/>
        <w:r w:rsidRPr="00927A66">
          <w:rPr>
            <w:rStyle w:val="Hipercze"/>
          </w:rPr>
          <w:t xml:space="preserve"> przeciwko Łotwie</w:t>
        </w:r>
      </w:hyperlink>
    </w:p>
    <w:p w14:paraId="7D1C1692" w14:textId="77777777" w:rsidR="00383F38" w:rsidRDefault="003E5B5E">
      <w:pPr>
        <w:spacing w:before="60"/>
        <w:ind w:left="880"/>
        <w:jc w:val="both"/>
        <w:rPr>
          <w:sz w:val="18"/>
        </w:rPr>
      </w:pPr>
      <w:r>
        <w:rPr>
          <w:color w:val="7F7F7F"/>
          <w:sz w:val="18"/>
        </w:rPr>
        <w:t>24 lipca 2014 r. (wyrok)</w:t>
      </w:r>
    </w:p>
    <w:p w14:paraId="399AE875" w14:textId="4626C454" w:rsidR="00383F38" w:rsidRDefault="003E5B5E">
      <w:pPr>
        <w:pStyle w:val="Tekstpodstawowy"/>
        <w:ind w:left="880" w:right="970"/>
        <w:jc w:val="both"/>
      </w:pPr>
      <w:r>
        <w:t xml:space="preserve">Sprawa ta dotyczyła </w:t>
      </w:r>
      <w:r w:rsidR="004E6C4C">
        <w:t xml:space="preserve">zatrzymania </w:t>
      </w:r>
      <w:r>
        <w:t xml:space="preserve">skarżącego </w:t>
      </w:r>
      <w:r w:rsidR="00E1633D">
        <w:t>i zastosowania wobec niego aresztu</w:t>
      </w:r>
      <w:r>
        <w:t xml:space="preserve"> ekstradyc</w:t>
      </w:r>
      <w:r w:rsidR="00E1633D">
        <w:t>yjnego</w:t>
      </w:r>
      <w:r>
        <w:t xml:space="preserve">, jak również zezwolenia na jego ekstradycję do Stanów Zjednoczonych w celu </w:t>
      </w:r>
      <w:r w:rsidR="00572F28">
        <w:t>ścigania pod</w:t>
      </w:r>
      <w:r>
        <w:t xml:space="preserve"> zarzut</w:t>
      </w:r>
      <w:r w:rsidR="00572F28">
        <w:t>em</w:t>
      </w:r>
      <w:r>
        <w:t xml:space="preserve"> udziału w przestępstwach związanych z cyberprzestępczością. Skarżący </w:t>
      </w:r>
      <w:r w:rsidR="00572F28">
        <w:t>zarzucał</w:t>
      </w:r>
      <w:r>
        <w:t xml:space="preserve"> w szczególności, że w przypadku ekstradycji z Łotwy będzie narażony na tortury i</w:t>
      </w:r>
      <w:r w:rsidR="00572F28">
        <w:t xml:space="preserve"> wymierzenie</w:t>
      </w:r>
      <w:r>
        <w:t xml:space="preserve"> </w:t>
      </w:r>
      <w:r w:rsidR="00E1633D">
        <w:t>rażąco surow</w:t>
      </w:r>
      <w:r w:rsidR="00572F28">
        <w:t>ej</w:t>
      </w:r>
      <w:r w:rsidR="00E1633D">
        <w:t xml:space="preserve"> </w:t>
      </w:r>
      <w:r>
        <w:t>kar</w:t>
      </w:r>
      <w:r w:rsidR="00572F28">
        <w:t>y</w:t>
      </w:r>
      <w:r>
        <w:t xml:space="preserve"> pozbawienia wolności. Dodał, że wyrok </w:t>
      </w:r>
      <w:r w:rsidR="00572F28">
        <w:t>będzie</w:t>
      </w:r>
      <w:r>
        <w:t xml:space="preserve"> wykon</w:t>
      </w:r>
      <w:r w:rsidR="00572F28">
        <w:t>ywany</w:t>
      </w:r>
      <w:r>
        <w:t xml:space="preserve"> daleko od </w:t>
      </w:r>
      <w:r w:rsidR="00E1633D">
        <w:t xml:space="preserve">jego </w:t>
      </w:r>
      <w:r w:rsidR="00572F28">
        <w:t>domu</w:t>
      </w:r>
      <w:r>
        <w:t>.</w:t>
      </w:r>
    </w:p>
    <w:p w14:paraId="06D4AF71" w14:textId="1D31A052" w:rsidR="00383F38" w:rsidRDefault="003E5B5E">
      <w:pPr>
        <w:pStyle w:val="Tekstpodstawowy"/>
        <w:ind w:left="880" w:right="969"/>
        <w:jc w:val="both"/>
      </w:pPr>
      <w:r>
        <w:rPr>
          <w:color w:val="0071BC"/>
        </w:rPr>
        <w:t xml:space="preserve">Trybunał orzekł, że </w:t>
      </w:r>
      <w:r>
        <w:rPr>
          <w:b/>
          <w:bCs/>
          <w:color w:val="0071BC"/>
        </w:rPr>
        <w:t xml:space="preserve">nie doszło do naruszenia art. 3 </w:t>
      </w:r>
      <w:r>
        <w:rPr>
          <w:color w:val="0071BC"/>
        </w:rPr>
        <w:t xml:space="preserve">(zakaz tortur </w:t>
      </w:r>
      <w:r w:rsidR="00572F28">
        <w:rPr>
          <w:color w:val="0071BC"/>
        </w:rPr>
        <w:t>i</w:t>
      </w:r>
      <w:r>
        <w:rPr>
          <w:color w:val="0071BC"/>
        </w:rPr>
        <w:t xml:space="preserve"> nieludzkiego lub poniżającego karania lub traktowania) Konwencji w odniesieniu do </w:t>
      </w:r>
      <w:r w:rsidR="00E1633D">
        <w:rPr>
          <w:color w:val="0071BC"/>
        </w:rPr>
        <w:t>zezwolenia na ekstradycję skarżącego</w:t>
      </w:r>
      <w:r>
        <w:rPr>
          <w:color w:val="0071BC"/>
        </w:rPr>
        <w:t xml:space="preserve"> uznając, że skarżący nie byłby narażony na realne ryzyko złego traktowania, gdyby został poddany ekstradycji do Stanów Zjednoczonych w związku z oskarżeniem o przestępstwa związane z cyberprzestępczością. W szczególności w odniesieniu do twierdzenia skarżącego, że wyrok </w:t>
      </w:r>
      <w:r w:rsidR="00572F28">
        <w:rPr>
          <w:color w:val="0071BC"/>
        </w:rPr>
        <w:t>będzie</w:t>
      </w:r>
      <w:r>
        <w:rPr>
          <w:color w:val="0071BC"/>
        </w:rPr>
        <w:t xml:space="preserve"> wykon</w:t>
      </w:r>
      <w:r w:rsidR="00572F28">
        <w:rPr>
          <w:color w:val="0071BC"/>
        </w:rPr>
        <w:t>yw</w:t>
      </w:r>
      <w:r>
        <w:rPr>
          <w:color w:val="0071BC"/>
        </w:rPr>
        <w:t xml:space="preserve">any daleko od jego </w:t>
      </w:r>
      <w:r w:rsidR="00572F28">
        <w:rPr>
          <w:color w:val="0071BC"/>
        </w:rPr>
        <w:t>domu</w:t>
      </w:r>
      <w:r>
        <w:rPr>
          <w:color w:val="0071BC"/>
        </w:rPr>
        <w:t xml:space="preserve"> Trybunał stwierdził, że skarżący </w:t>
      </w:r>
      <w:r>
        <w:rPr>
          <w:b/>
          <w:bCs/>
          <w:color w:val="0071BC"/>
        </w:rPr>
        <w:t>nie powołał się na żadne wyjątkowe okoliczności w</w:t>
      </w:r>
      <w:r>
        <w:rPr>
          <w:color w:val="0071BC"/>
        </w:rPr>
        <w:t xml:space="preserve"> jego </w:t>
      </w:r>
      <w:r>
        <w:rPr>
          <w:b/>
          <w:bCs/>
          <w:color w:val="0071BC"/>
        </w:rPr>
        <w:t>życiu prywatnym lub rodzinnym</w:t>
      </w:r>
      <w:r>
        <w:rPr>
          <w:color w:val="0071BC"/>
        </w:rPr>
        <w:t xml:space="preserve">, które przemawiałyby za </w:t>
      </w:r>
      <w:r w:rsidR="00E1633D">
        <w:rPr>
          <w:color w:val="0071BC"/>
        </w:rPr>
        <w:t xml:space="preserve">odmową </w:t>
      </w:r>
      <w:r w:rsidR="005849A4">
        <w:rPr>
          <w:color w:val="0071BC"/>
        </w:rPr>
        <w:t>jego</w:t>
      </w:r>
      <w:r w:rsidR="00E1633D">
        <w:rPr>
          <w:color w:val="0071BC"/>
        </w:rPr>
        <w:t xml:space="preserve"> </w:t>
      </w:r>
      <w:r>
        <w:rPr>
          <w:color w:val="0071BC"/>
        </w:rPr>
        <w:t>ekstradycji. Trybunał zauważył również, że zgodnie z zapewnieniami dyplomatycznymi udzielonymi przez Stany Zjednoczone, tamtejsze władze dołożą starań, by uszanować</w:t>
      </w:r>
      <w:r w:rsidR="005849A4">
        <w:rPr>
          <w:color w:val="0071BC"/>
        </w:rPr>
        <w:t>,</w:t>
      </w:r>
      <w:r>
        <w:rPr>
          <w:color w:val="0071BC"/>
        </w:rPr>
        <w:t xml:space="preserve"> </w:t>
      </w:r>
      <w:r w:rsidR="005849A4">
        <w:rPr>
          <w:color w:val="0071BC"/>
        </w:rPr>
        <w:t xml:space="preserve">w przypadku skazania, </w:t>
      </w:r>
      <w:r>
        <w:rPr>
          <w:color w:val="0071BC"/>
        </w:rPr>
        <w:t>jego wniosek o odbycie kary na Łotwie.</w:t>
      </w:r>
    </w:p>
    <w:p w14:paraId="285B3AD9" w14:textId="4F63CCC0" w:rsidR="00383F38" w:rsidRDefault="003E5B5E">
      <w:pPr>
        <w:pStyle w:val="Nagwek11"/>
        <w:spacing w:before="121"/>
        <w:rPr>
          <w:u w:val="none"/>
        </w:rPr>
      </w:pPr>
      <w:hyperlink r:id="rId17" w:history="1">
        <w:proofErr w:type="spellStart"/>
        <w:r w:rsidRPr="00927A66">
          <w:rPr>
            <w:rStyle w:val="Hipercze"/>
          </w:rPr>
          <w:t>Vintman</w:t>
        </w:r>
        <w:proofErr w:type="spellEnd"/>
        <w:r w:rsidRPr="00927A66">
          <w:rPr>
            <w:rStyle w:val="Hipercze"/>
          </w:rPr>
          <w:t xml:space="preserve"> przeciwko Ukrainie</w:t>
        </w:r>
      </w:hyperlink>
    </w:p>
    <w:p w14:paraId="4EED6488" w14:textId="77777777" w:rsidR="00383F38" w:rsidRDefault="003E5B5E">
      <w:pPr>
        <w:spacing w:before="60"/>
        <w:ind w:left="880"/>
        <w:jc w:val="both"/>
        <w:rPr>
          <w:sz w:val="18"/>
        </w:rPr>
      </w:pPr>
      <w:r>
        <w:rPr>
          <w:color w:val="7F7F7F"/>
          <w:sz w:val="18"/>
        </w:rPr>
        <w:t>23 października 2014 r. (wyrok)</w:t>
      </w:r>
    </w:p>
    <w:p w14:paraId="04369D1C" w14:textId="7F772CAC" w:rsidR="00383F38" w:rsidRDefault="003E5B5E">
      <w:pPr>
        <w:pStyle w:val="Tekstpodstawowy"/>
        <w:ind w:left="880" w:right="966"/>
        <w:jc w:val="both"/>
      </w:pPr>
      <w:r>
        <w:t xml:space="preserve">Skarżący podniósł, że został zmuszony do odbycia kary pozbawienia wolności z dala od domu, w związku z czym jego matka w podeszłym wieku, która była w złym stanie zdrowia, nie </w:t>
      </w:r>
      <w:r w:rsidR="00E1633D">
        <w:t xml:space="preserve">była w stanie </w:t>
      </w:r>
      <w:r>
        <w:t>odwiedz</w:t>
      </w:r>
      <w:r w:rsidR="00E1633D">
        <w:t>a</w:t>
      </w:r>
      <w:r>
        <w:t xml:space="preserve">ć </w:t>
      </w:r>
      <w:r w:rsidR="00E1633D">
        <w:t xml:space="preserve">go </w:t>
      </w:r>
      <w:r>
        <w:t xml:space="preserve">przez ponad dziesięć lat. W chwili wydania wyroku przez Trybunał skarżący odbywał karę w zakładzie karnym oddalonym </w:t>
      </w:r>
      <w:r w:rsidR="005849A4">
        <w:t xml:space="preserve">od domu </w:t>
      </w:r>
      <w:r>
        <w:t xml:space="preserve">o około 700 km– czas podróży na tej trasie wynosił od 12 do 16 godzin. Skarżący zarzucał w szczególności, że przy </w:t>
      </w:r>
      <w:r w:rsidR="005849A4">
        <w:t>oddalaniu</w:t>
      </w:r>
      <w:r>
        <w:t xml:space="preserve"> wniosków skarżącego o przeniesienie go bliżej miejsca zamieszkania nieuwzględnienie przez władze jego argumentów dotyczących niezdolności jego matki do podróży na duże odległości było niezgodne z prawem i niesprawiedliwe oraz że nie dysponował on skutecznym środkiem odwoławczym w odniesieniu do te</w:t>
      </w:r>
      <w:r w:rsidR="001622BC">
        <w:t>go zarzutu</w:t>
      </w:r>
      <w:r>
        <w:t>.</w:t>
      </w:r>
    </w:p>
    <w:p w14:paraId="3E35FDA2" w14:textId="3ADAA62E" w:rsidR="00383F38" w:rsidRDefault="003E5B5E">
      <w:pPr>
        <w:pStyle w:val="Tekstpodstawowy"/>
        <w:ind w:left="879" w:right="966"/>
        <w:jc w:val="both"/>
      </w:pPr>
      <w:r>
        <w:rPr>
          <w:color w:val="0071BC"/>
        </w:rPr>
        <w:t xml:space="preserve">Trybunał orzekł, że doszło do </w:t>
      </w:r>
      <w:r>
        <w:rPr>
          <w:b/>
          <w:bCs/>
          <w:color w:val="0071BC"/>
        </w:rPr>
        <w:t>naruszenia art. 8</w:t>
      </w:r>
      <w:r>
        <w:rPr>
          <w:color w:val="0071BC"/>
        </w:rPr>
        <w:t xml:space="preserve"> Konwencji</w:t>
      </w:r>
      <w:r w:rsidR="001622BC">
        <w:rPr>
          <w:color w:val="0071BC"/>
        </w:rPr>
        <w:t xml:space="preserve"> w związku z tym, że</w:t>
      </w:r>
      <w:r>
        <w:rPr>
          <w:color w:val="0071BC"/>
        </w:rPr>
        <w:t xml:space="preserve"> skarżący nie był w stanie uzyskać przeniesienia do </w:t>
      </w:r>
      <w:r w:rsidR="009F33E5">
        <w:rPr>
          <w:color w:val="0071BC"/>
        </w:rPr>
        <w:t xml:space="preserve">zakładu karnego </w:t>
      </w:r>
      <w:r>
        <w:rPr>
          <w:color w:val="0071BC"/>
        </w:rPr>
        <w:t xml:space="preserve">położonego bliżej jego </w:t>
      </w:r>
      <w:r w:rsidR="001622BC">
        <w:rPr>
          <w:color w:val="0071BC"/>
        </w:rPr>
        <w:t>domu</w:t>
      </w:r>
      <w:r>
        <w:rPr>
          <w:color w:val="0071BC"/>
        </w:rPr>
        <w:t xml:space="preserve">, uznając przy tym, że sytuacja osobista skarżącego i </w:t>
      </w:r>
      <w:r w:rsidR="001622BC">
        <w:rPr>
          <w:color w:val="0071BC"/>
        </w:rPr>
        <w:t xml:space="preserve">jego </w:t>
      </w:r>
      <w:r>
        <w:rPr>
          <w:color w:val="0071BC"/>
        </w:rPr>
        <w:t>interes w utrzym</w:t>
      </w:r>
      <w:r w:rsidR="001622BC">
        <w:rPr>
          <w:color w:val="0071BC"/>
        </w:rPr>
        <w:t>yw</w:t>
      </w:r>
      <w:r>
        <w:rPr>
          <w:color w:val="0071BC"/>
        </w:rPr>
        <w:t>ani</w:t>
      </w:r>
      <w:r w:rsidR="001622BC">
        <w:rPr>
          <w:color w:val="0071BC"/>
        </w:rPr>
        <w:t>u</w:t>
      </w:r>
      <w:r>
        <w:rPr>
          <w:color w:val="0071BC"/>
        </w:rPr>
        <w:t xml:space="preserve"> więzi rodzinnych nigdy nie zostały </w:t>
      </w:r>
      <w:r w:rsidR="001622BC">
        <w:rPr>
          <w:color w:val="0071BC"/>
        </w:rPr>
        <w:t>zbadane</w:t>
      </w:r>
      <w:r>
        <w:rPr>
          <w:color w:val="0071BC"/>
        </w:rPr>
        <w:t xml:space="preserve"> i nie przedstawiono żadnych istotnych i wystarczających powodów ingerencji w jego prawo do poszanowania życia rodzinnego. O ile Trybunał gotów był zaakceptować, że ingerencja była zgodna z prawem i realizowała uprawnione cele</w:t>
      </w:r>
      <w:r w:rsidR="004F3B0D">
        <w:rPr>
          <w:color w:val="0071BC"/>
        </w:rPr>
        <w:t xml:space="preserve"> w postaci</w:t>
      </w:r>
      <w:r>
        <w:rPr>
          <w:color w:val="0071BC"/>
        </w:rPr>
        <w:t xml:space="preserve"> zapobiegani</w:t>
      </w:r>
      <w:r w:rsidR="004F3B0D">
        <w:rPr>
          <w:color w:val="0071BC"/>
        </w:rPr>
        <w:t>a</w:t>
      </w:r>
      <w:r>
        <w:rPr>
          <w:color w:val="0071BC"/>
        </w:rPr>
        <w:t xml:space="preserve"> przeludnieniu </w:t>
      </w:r>
      <w:r w:rsidR="009F33E5">
        <w:rPr>
          <w:color w:val="0071BC"/>
        </w:rPr>
        <w:t xml:space="preserve">zakładów karnych </w:t>
      </w:r>
      <w:r>
        <w:rPr>
          <w:color w:val="0071BC"/>
        </w:rPr>
        <w:t>i utrzymani</w:t>
      </w:r>
      <w:r w:rsidR="004F3B0D">
        <w:rPr>
          <w:color w:val="0071BC"/>
        </w:rPr>
        <w:t>a</w:t>
      </w:r>
      <w:r>
        <w:rPr>
          <w:color w:val="0071BC"/>
        </w:rPr>
        <w:t xml:space="preserve"> dyscypliny, o tyle uznał jednak, że była ona nieproporcjonalna. Zauważył w szczególności, że chociaż władze </w:t>
      </w:r>
      <w:r w:rsidR="004F3B0D">
        <w:rPr>
          <w:color w:val="0071BC"/>
        </w:rPr>
        <w:t>powoływały się</w:t>
      </w:r>
      <w:r>
        <w:rPr>
          <w:color w:val="0071BC"/>
        </w:rPr>
        <w:t xml:space="preserve"> na brak dostępnych miejsc, nie podały żadnych </w:t>
      </w:r>
      <w:r w:rsidR="004F3B0D">
        <w:rPr>
          <w:color w:val="0071BC"/>
        </w:rPr>
        <w:t>szczegółów</w:t>
      </w:r>
      <w:r>
        <w:rPr>
          <w:color w:val="0071BC"/>
        </w:rPr>
        <w:t xml:space="preserve"> i nie było dowod</w:t>
      </w:r>
      <w:r w:rsidR="004F3B0D">
        <w:rPr>
          <w:color w:val="0071BC"/>
        </w:rPr>
        <w:t>u</w:t>
      </w:r>
      <w:r>
        <w:rPr>
          <w:color w:val="0071BC"/>
        </w:rPr>
        <w:t>, że w rzeczywistości rozważ</w:t>
      </w:r>
      <w:r w:rsidR="004F3B0D">
        <w:rPr>
          <w:color w:val="0071BC"/>
        </w:rPr>
        <w:t>y</w:t>
      </w:r>
      <w:r>
        <w:rPr>
          <w:color w:val="0071BC"/>
        </w:rPr>
        <w:t xml:space="preserve">ły umieszczenie skarżącego w którymkolwiek z wielu regionów położonych bliżej jego </w:t>
      </w:r>
      <w:r w:rsidR="004F3B0D">
        <w:rPr>
          <w:color w:val="0071BC"/>
        </w:rPr>
        <w:t>domu</w:t>
      </w:r>
      <w:r>
        <w:rPr>
          <w:color w:val="0071BC"/>
        </w:rPr>
        <w:t xml:space="preserve">. Ponadto władze nie zakwestionowały faktu, że starsza i słaba matka skarżącego fizycznie nie była w stanie odwiedzić go w </w:t>
      </w:r>
      <w:r w:rsidR="009F33E5">
        <w:rPr>
          <w:color w:val="0071BC"/>
        </w:rPr>
        <w:t>miejscach</w:t>
      </w:r>
      <w:r>
        <w:rPr>
          <w:color w:val="0071BC"/>
        </w:rPr>
        <w:t xml:space="preserve">, w których </w:t>
      </w:r>
      <w:r w:rsidR="009F33E5">
        <w:rPr>
          <w:color w:val="0071BC"/>
        </w:rPr>
        <w:t>go osadzano</w:t>
      </w:r>
      <w:r>
        <w:rPr>
          <w:color w:val="0071BC"/>
        </w:rPr>
        <w:t xml:space="preserve">. Trybunał orzekł również, że </w:t>
      </w:r>
      <w:r>
        <w:rPr>
          <w:b/>
          <w:bCs/>
          <w:color w:val="0071BC"/>
        </w:rPr>
        <w:t xml:space="preserve">doszło do naruszenia art. 13 </w:t>
      </w:r>
      <w:r>
        <w:rPr>
          <w:color w:val="0071BC"/>
        </w:rPr>
        <w:t xml:space="preserve">Konwencji (prawo do skutecznego środka odwoławczego) </w:t>
      </w:r>
      <w:r>
        <w:rPr>
          <w:b/>
          <w:bCs/>
          <w:color w:val="0071BC"/>
        </w:rPr>
        <w:t>w związku z art. 8.</w:t>
      </w:r>
      <w:r>
        <w:rPr>
          <w:color w:val="0071BC"/>
        </w:rPr>
        <w:t xml:space="preserve"> w odniesieniu do braku skutecznego środka odwoławczego w związku z </w:t>
      </w:r>
      <w:r>
        <w:rPr>
          <w:color w:val="0071BC"/>
        </w:rPr>
        <w:lastRenderedPageBreak/>
        <w:t xml:space="preserve">niemożnością uzyskania przez skarżącego przeniesienia do zakładu karnego położonego bliżej </w:t>
      </w:r>
      <w:r w:rsidR="008E469B">
        <w:rPr>
          <w:color w:val="0071BC"/>
        </w:rPr>
        <w:t>domu</w:t>
      </w:r>
      <w:r>
        <w:rPr>
          <w:color w:val="0071BC"/>
        </w:rPr>
        <w:t>.</w:t>
      </w:r>
    </w:p>
    <w:p w14:paraId="38500E1D" w14:textId="562D6C63" w:rsidR="00383F38" w:rsidRDefault="003E5B5E">
      <w:pPr>
        <w:spacing w:before="80"/>
        <w:ind w:left="879"/>
        <w:jc w:val="both"/>
        <w:rPr>
          <w:sz w:val="20"/>
        </w:rPr>
      </w:pPr>
      <w:r>
        <w:rPr>
          <w:color w:val="3F3F3F"/>
          <w:sz w:val="20"/>
        </w:rPr>
        <w:t xml:space="preserve">Zob. też: </w:t>
      </w:r>
      <w:hyperlink r:id="rId18" w:history="1">
        <w:proofErr w:type="spellStart"/>
        <w:r w:rsidRPr="00927A66">
          <w:rPr>
            <w:rStyle w:val="Hipercze"/>
            <w:b/>
            <w:bCs/>
            <w:sz w:val="20"/>
          </w:rPr>
          <w:t>Rodzevillo</w:t>
        </w:r>
        <w:proofErr w:type="spellEnd"/>
        <w:r w:rsidRPr="00927A66">
          <w:rPr>
            <w:rStyle w:val="Hipercze"/>
            <w:b/>
            <w:bCs/>
            <w:sz w:val="20"/>
          </w:rPr>
          <w:t xml:space="preserve"> przeci</w:t>
        </w:r>
        <w:r w:rsidRPr="00927A66">
          <w:rPr>
            <w:rStyle w:val="Hipercze"/>
            <w:b/>
            <w:bCs/>
            <w:sz w:val="20"/>
          </w:rPr>
          <w:t>w</w:t>
        </w:r>
        <w:r w:rsidRPr="00927A66">
          <w:rPr>
            <w:rStyle w:val="Hipercze"/>
            <w:b/>
            <w:bCs/>
            <w:sz w:val="20"/>
          </w:rPr>
          <w:t>ko Ukrainie</w:t>
        </w:r>
      </w:hyperlink>
      <w:r>
        <w:rPr>
          <w:color w:val="3F3F3F"/>
          <w:sz w:val="20"/>
        </w:rPr>
        <w:t>, wyrok z dnia 14 stycznia 2016 r.</w:t>
      </w:r>
    </w:p>
    <w:p w14:paraId="723A3557" w14:textId="1D3921B2" w:rsidR="00383F38" w:rsidRDefault="003E5B5E">
      <w:pPr>
        <w:pStyle w:val="Nagwek11"/>
        <w:spacing w:before="119"/>
        <w:rPr>
          <w:u w:val="none"/>
        </w:rPr>
      </w:pPr>
      <w:hyperlink r:id="rId19" w:history="1">
        <w:r w:rsidRPr="00927A66">
          <w:rPr>
            <w:rStyle w:val="Hipercze"/>
          </w:rPr>
          <w:t>Serce przeciwko Rumunii</w:t>
        </w:r>
      </w:hyperlink>
    </w:p>
    <w:p w14:paraId="3E1D3D65" w14:textId="77777777" w:rsidR="00383F38" w:rsidRDefault="003E5B5E">
      <w:pPr>
        <w:spacing w:before="60"/>
        <w:ind w:left="880"/>
        <w:jc w:val="both"/>
        <w:rPr>
          <w:sz w:val="18"/>
        </w:rPr>
      </w:pPr>
      <w:r>
        <w:rPr>
          <w:color w:val="7F7F7F"/>
          <w:sz w:val="18"/>
        </w:rPr>
        <w:t>30 czerwca 2015 r. (wyrok)</w:t>
      </w:r>
    </w:p>
    <w:p w14:paraId="7D725559" w14:textId="0F89E93C" w:rsidR="00383F38" w:rsidRDefault="003E5B5E" w:rsidP="00280C0F">
      <w:pPr>
        <w:pStyle w:val="Tekstpodstawowy"/>
        <w:ind w:left="879" w:right="969"/>
        <w:jc w:val="both"/>
        <w:rPr>
          <w:sz w:val="15"/>
        </w:rPr>
      </w:pPr>
      <w:r>
        <w:t xml:space="preserve">Skarżący, obywatel turecki odbywający karę pozbawienia wolności w Rumunii, skarżył się w szczególności na odmowę przez władze rumuńskie przeniesienia go do innego państwa członkowskiego Rady Europy – Turcji – w celu odbycia tam </w:t>
      </w:r>
      <w:r w:rsidR="009F33E5">
        <w:t xml:space="preserve">pozostałej części </w:t>
      </w:r>
      <w:r>
        <w:t xml:space="preserve">kary, blisko żony i dzieci, </w:t>
      </w:r>
      <w:r w:rsidR="009F33E5">
        <w:t xml:space="preserve">którzy </w:t>
      </w:r>
      <w:r>
        <w:t>nie</w:t>
      </w:r>
      <w:r w:rsidR="009F33E5">
        <w:t xml:space="preserve"> mieli środków </w:t>
      </w:r>
      <w:r>
        <w:t xml:space="preserve">na </w:t>
      </w:r>
      <w:r w:rsidR="008E469B">
        <w:t>podróż</w:t>
      </w:r>
      <w:r>
        <w:t xml:space="preserve"> do Rumunii w celu odwiedzenia skarżącego.</w:t>
      </w:r>
    </w:p>
    <w:p w14:paraId="26412AA6" w14:textId="16E22D95" w:rsidR="00383F38" w:rsidRDefault="003E5B5E">
      <w:pPr>
        <w:pStyle w:val="Tekstpodstawowy"/>
        <w:spacing w:before="100"/>
        <w:ind w:left="880" w:right="969"/>
        <w:jc w:val="both"/>
      </w:pPr>
      <w:r>
        <w:rPr>
          <w:color w:val="0071BC"/>
        </w:rPr>
        <w:t xml:space="preserve">Pomimo stwierdzenia, że niehigieniczne warunki, w jakich skarżący był </w:t>
      </w:r>
      <w:r w:rsidR="008E469B">
        <w:rPr>
          <w:color w:val="0071BC"/>
        </w:rPr>
        <w:t>osadzony</w:t>
      </w:r>
      <w:r>
        <w:rPr>
          <w:color w:val="0071BC"/>
        </w:rPr>
        <w:t xml:space="preserve"> w Rumunii, brak aktywności lub pracy oraz przeludnienie zakładu karnego, w którym skarżący przebywał, naruszyły jego prawa chronione na mocy art. 3 (zakaz nieludzkiego lub poniżającego karania lub traktowania) Konwencji, Trybunał uznał, że </w:t>
      </w:r>
      <w:r>
        <w:rPr>
          <w:b/>
          <w:bCs/>
          <w:color w:val="0071BC"/>
        </w:rPr>
        <w:t>art. 8</w:t>
      </w:r>
      <w:r>
        <w:rPr>
          <w:color w:val="0071BC"/>
        </w:rPr>
        <w:t xml:space="preserve"> Konwencji </w:t>
      </w:r>
      <w:r>
        <w:rPr>
          <w:b/>
          <w:bCs/>
          <w:color w:val="0071BC"/>
        </w:rPr>
        <w:t>nie m</w:t>
      </w:r>
      <w:r w:rsidR="008E469B">
        <w:rPr>
          <w:b/>
          <w:bCs/>
          <w:color w:val="0071BC"/>
        </w:rPr>
        <w:t>iał</w:t>
      </w:r>
      <w:r>
        <w:rPr>
          <w:b/>
          <w:bCs/>
          <w:color w:val="0071BC"/>
        </w:rPr>
        <w:t xml:space="preserve"> zastosowania</w:t>
      </w:r>
      <w:r>
        <w:rPr>
          <w:color w:val="0071BC"/>
        </w:rPr>
        <w:t xml:space="preserve"> do jego wniosku o międzypaństwowe przeniesienie do zakładu karnego. Trybunał zauważył w szczególności, że nie można </w:t>
      </w:r>
      <w:r w:rsidR="00F718AE">
        <w:rPr>
          <w:color w:val="0071BC"/>
        </w:rPr>
        <w:t>twierdzić</w:t>
      </w:r>
      <w:r>
        <w:rPr>
          <w:color w:val="0071BC"/>
        </w:rPr>
        <w:t>, iż skarżący miał jakiekolwiek materialne prawo na mocy prawa rumuńskiego do przeniesienia do kraju pochodzenia.</w:t>
      </w:r>
    </w:p>
    <w:p w14:paraId="2D0DEAC3" w14:textId="736E6A90" w:rsidR="00383F38" w:rsidRDefault="003E5B5E">
      <w:pPr>
        <w:pStyle w:val="Tekstpodstawowy"/>
        <w:spacing w:before="80"/>
        <w:ind w:left="880" w:right="970"/>
        <w:jc w:val="both"/>
      </w:pPr>
      <w:r w:rsidRPr="00E31018">
        <w:rPr>
          <w:i/>
          <w:iCs/>
          <w:color w:val="3F3F3F"/>
        </w:rPr>
        <w:t>Zob. też:</w:t>
      </w:r>
      <w:r>
        <w:rPr>
          <w:color w:val="3F3F3F"/>
        </w:rPr>
        <w:t xml:space="preserve"> </w:t>
      </w:r>
      <w:hyperlink r:id="rId20" w:history="1">
        <w:proofErr w:type="spellStart"/>
        <w:r w:rsidRPr="00927A66">
          <w:rPr>
            <w:rStyle w:val="Hipercze"/>
            <w:b/>
            <w:bCs/>
          </w:rPr>
          <w:t>Palfreeman</w:t>
        </w:r>
        <w:proofErr w:type="spellEnd"/>
        <w:r w:rsidRPr="00927A66">
          <w:rPr>
            <w:rStyle w:val="Hipercze"/>
            <w:b/>
            <w:bCs/>
          </w:rPr>
          <w:t xml:space="preserve"> przeciwko Bułgarii</w:t>
        </w:r>
      </w:hyperlink>
      <w:r>
        <w:rPr>
          <w:color w:val="3F3F3F"/>
        </w:rPr>
        <w:t xml:space="preserve">, decyzja </w:t>
      </w:r>
      <w:r w:rsidR="00F718AE">
        <w:rPr>
          <w:color w:val="3F3F3F"/>
        </w:rPr>
        <w:t>o</w:t>
      </w:r>
      <w:r>
        <w:rPr>
          <w:color w:val="3F3F3F"/>
        </w:rPr>
        <w:t xml:space="preserve"> dopuszczalności z dnia 16 maja 2017 r. dotycząca odmowy przez władze przeniesienia obywatela australijskiego odbywającego karę pozbawienia wolności w Bułgarii do państwa niebędącego członkiem Rady Europy.</w:t>
      </w:r>
    </w:p>
    <w:p w14:paraId="09F4071F" w14:textId="349001BA" w:rsidR="00383F38" w:rsidRDefault="003E5B5E">
      <w:pPr>
        <w:pStyle w:val="Nagwek11"/>
        <w:rPr>
          <w:u w:val="none"/>
        </w:rPr>
      </w:pPr>
      <w:hyperlink r:id="rId21" w:history="1">
        <w:proofErr w:type="spellStart"/>
        <w:r w:rsidRPr="00927A66">
          <w:rPr>
            <w:rStyle w:val="Hipercze"/>
          </w:rPr>
          <w:t>Labaca</w:t>
        </w:r>
        <w:proofErr w:type="spellEnd"/>
        <w:r w:rsidRPr="00927A66">
          <w:rPr>
            <w:rStyle w:val="Hipercze"/>
          </w:rPr>
          <w:t xml:space="preserve"> </w:t>
        </w:r>
        <w:proofErr w:type="spellStart"/>
        <w:r w:rsidRPr="00927A66">
          <w:rPr>
            <w:rStyle w:val="Hipercze"/>
          </w:rPr>
          <w:t>Larrea</w:t>
        </w:r>
        <w:proofErr w:type="spellEnd"/>
        <w:r w:rsidRPr="00927A66">
          <w:rPr>
            <w:rStyle w:val="Hipercze"/>
          </w:rPr>
          <w:t xml:space="preserve"> przeciwko Francji i dwie inne skargi</w:t>
        </w:r>
      </w:hyperlink>
    </w:p>
    <w:p w14:paraId="71C1E04A" w14:textId="30A5F2A7" w:rsidR="00383F38" w:rsidRDefault="003E5B5E">
      <w:pPr>
        <w:spacing w:before="60"/>
        <w:ind w:left="880"/>
        <w:jc w:val="both"/>
        <w:rPr>
          <w:sz w:val="18"/>
        </w:rPr>
      </w:pPr>
      <w:r>
        <w:rPr>
          <w:color w:val="7F7F7F"/>
          <w:sz w:val="18"/>
        </w:rPr>
        <w:t xml:space="preserve">7 lutego 2017 r. (decyzja </w:t>
      </w:r>
      <w:r w:rsidR="00F718AE">
        <w:rPr>
          <w:color w:val="7F7F7F"/>
          <w:sz w:val="18"/>
        </w:rPr>
        <w:t>w przedmiocie</w:t>
      </w:r>
      <w:r>
        <w:rPr>
          <w:color w:val="7F7F7F"/>
          <w:sz w:val="18"/>
        </w:rPr>
        <w:t xml:space="preserve"> dopuszczalności)</w:t>
      </w:r>
    </w:p>
    <w:p w14:paraId="35C66148" w14:textId="71300DBD" w:rsidR="00383F38" w:rsidRDefault="003E5B5E">
      <w:pPr>
        <w:pStyle w:val="Tekstpodstawowy"/>
        <w:ind w:left="880" w:right="968"/>
        <w:jc w:val="both"/>
      </w:pPr>
      <w:r>
        <w:t>Sprawa ta dotyczyła osadzenia we Francji trzech obywateli Hiszpanii i członków ETA. Po początkowych okresach osadzenia w zakładach karnych w rejonie Paryża, zostali oni przeniesieni do zakładu karnego Lyon-</w:t>
      </w:r>
      <w:proofErr w:type="spellStart"/>
      <w:r>
        <w:t>Corbas</w:t>
      </w:r>
      <w:proofErr w:type="spellEnd"/>
      <w:r>
        <w:t xml:space="preserve">. </w:t>
      </w:r>
      <w:r w:rsidR="00C6321E">
        <w:t xml:space="preserve">Skarżyli się </w:t>
      </w:r>
      <w:r>
        <w:t xml:space="preserve">w szczególności na </w:t>
      </w:r>
      <w:r w:rsidR="00C6321E">
        <w:t xml:space="preserve">ich </w:t>
      </w:r>
      <w:r>
        <w:t>przeniesieni</w:t>
      </w:r>
      <w:r w:rsidR="00C6321E">
        <w:t>e</w:t>
      </w:r>
      <w:r>
        <w:t xml:space="preserve"> daleko od </w:t>
      </w:r>
      <w:r w:rsidR="00C6321E">
        <w:t>ich</w:t>
      </w:r>
      <w:r>
        <w:t xml:space="preserve"> domów i rodzin, a także na brak skutecznego środka odwoławczego w odniesieniu do tego przeniesienia.</w:t>
      </w:r>
    </w:p>
    <w:p w14:paraId="168EDE4D" w14:textId="7AA1B9CF" w:rsidR="00383F38" w:rsidRDefault="003E5B5E">
      <w:pPr>
        <w:pStyle w:val="Tekstpodstawowy"/>
        <w:spacing w:before="1"/>
        <w:ind w:left="879" w:right="966"/>
        <w:jc w:val="both"/>
      </w:pPr>
      <w:r>
        <w:rPr>
          <w:color w:val="0071BC"/>
        </w:rPr>
        <w:t xml:space="preserve">Trybunał uznał skargi skarżących wniesione na podstawie art. 8 Konwencji za niedopuszczalne jako w sposób oczywisty nieuzasadnione stwierdzając, że </w:t>
      </w:r>
      <w:r w:rsidR="00C6321E">
        <w:rPr>
          <w:color w:val="0071BC"/>
        </w:rPr>
        <w:t xml:space="preserve">ich </w:t>
      </w:r>
      <w:r>
        <w:rPr>
          <w:color w:val="0071BC"/>
        </w:rPr>
        <w:t xml:space="preserve">przeniesienie do zakładu karnego </w:t>
      </w:r>
      <w:r w:rsidR="00CB109D">
        <w:rPr>
          <w:color w:val="0071BC"/>
        </w:rPr>
        <w:t xml:space="preserve">w </w:t>
      </w:r>
      <w:r>
        <w:rPr>
          <w:color w:val="0071BC"/>
        </w:rPr>
        <w:t>Lyon-</w:t>
      </w:r>
      <w:proofErr w:type="spellStart"/>
      <w:r>
        <w:rPr>
          <w:color w:val="0071BC"/>
        </w:rPr>
        <w:t>Corbas</w:t>
      </w:r>
      <w:proofErr w:type="spellEnd"/>
      <w:r>
        <w:rPr>
          <w:color w:val="0071BC"/>
        </w:rPr>
        <w:t xml:space="preserve"> nie </w:t>
      </w:r>
      <w:r w:rsidR="00CB109D">
        <w:rPr>
          <w:color w:val="0071BC"/>
        </w:rPr>
        <w:t xml:space="preserve">stanowiło znaczącego ograniczenia </w:t>
      </w:r>
      <w:r>
        <w:rPr>
          <w:color w:val="0071BC"/>
        </w:rPr>
        <w:t>ich prawa do przyjmowania wizyt. W tym względzie Trybunał zauważył w szczególności, że skarżący nie byli przedmiotem środków mających na celu ograniczenie ich prawa do kontakt</w:t>
      </w:r>
      <w:r w:rsidR="00C6321E">
        <w:rPr>
          <w:color w:val="0071BC"/>
        </w:rPr>
        <w:t>ów</w:t>
      </w:r>
      <w:r>
        <w:rPr>
          <w:color w:val="0071BC"/>
        </w:rPr>
        <w:t xml:space="preserve"> z rodzin</w:t>
      </w:r>
      <w:r w:rsidR="00C6321E">
        <w:rPr>
          <w:color w:val="0071BC"/>
        </w:rPr>
        <w:t>ami</w:t>
      </w:r>
      <w:r>
        <w:rPr>
          <w:color w:val="0071BC"/>
        </w:rPr>
        <w:t>. Przeciwnie, z akt sprawy wynikało, że członkowie rodzin bardzo często odwiedzali skarżących i odbywali z nimi rozmowy telefoniczne. Nie było również dowod</w:t>
      </w:r>
      <w:r w:rsidR="00C6321E">
        <w:rPr>
          <w:color w:val="0071BC"/>
        </w:rPr>
        <w:t>u</w:t>
      </w:r>
      <w:r>
        <w:rPr>
          <w:color w:val="0071BC"/>
        </w:rPr>
        <w:t xml:space="preserve"> na to, że podróże, które musieli odbyć członkowie rodzin skarżących, spowodowały jakiekolwiek niemożliwe do pokonania czy choćby szczególne utrudnienia. Trybunał uznał również za </w:t>
      </w:r>
      <w:r>
        <w:rPr>
          <w:b/>
          <w:bCs/>
          <w:color w:val="0071BC"/>
        </w:rPr>
        <w:t>niedopuszczalne</w:t>
      </w:r>
      <w:r>
        <w:rPr>
          <w:color w:val="0071BC"/>
        </w:rPr>
        <w:t xml:space="preserve"> skargi skarżących wniesione na podstawie art. 13 (prawo do skutecznego środka odwoławczego) Konwencji, jako w sposób oczywisty nieuzasadnione uznając, że skarżący nie mieli żadnych dających się uzasadnić roszczeń, w odniesieniu do których mogliby dochodzić swojego prawa do skutecznego środka odwoławczego.</w:t>
      </w:r>
    </w:p>
    <w:p w14:paraId="01F2ECF8" w14:textId="7B56F25C" w:rsidR="00383F38" w:rsidRPr="00DD4355" w:rsidRDefault="003E5B5E">
      <w:pPr>
        <w:pStyle w:val="Nagwek11"/>
        <w:ind w:left="879"/>
        <w:rPr>
          <w:b w:val="0"/>
          <w:bCs w:val="0"/>
          <w:u w:val="none"/>
        </w:rPr>
      </w:pPr>
      <w:hyperlink r:id="rId22" w:history="1">
        <w:proofErr w:type="spellStart"/>
        <w:r w:rsidRPr="00210517">
          <w:rPr>
            <w:rStyle w:val="Hipercze"/>
          </w:rPr>
          <w:t>Polyakova</w:t>
        </w:r>
        <w:proofErr w:type="spellEnd"/>
        <w:r w:rsidRPr="00210517">
          <w:rPr>
            <w:rStyle w:val="Hipercze"/>
          </w:rPr>
          <w:t xml:space="preserve"> i Inni przeciwko Rosji</w:t>
        </w:r>
      </w:hyperlink>
      <w:r w:rsidR="00DD4355" w:rsidRPr="00DD4355">
        <w:rPr>
          <w:rStyle w:val="Odwoanieprzypisudolnego"/>
          <w:b w:val="0"/>
          <w:bCs w:val="0"/>
          <w:u w:val="none" w:color="0071BC"/>
        </w:rPr>
        <w:footnoteReference w:id="2"/>
      </w:r>
    </w:p>
    <w:p w14:paraId="5F799406" w14:textId="77777777" w:rsidR="00383F38" w:rsidRDefault="003E5B5E">
      <w:pPr>
        <w:spacing w:before="60"/>
        <w:ind w:left="880"/>
        <w:jc w:val="both"/>
        <w:rPr>
          <w:sz w:val="18"/>
        </w:rPr>
      </w:pPr>
      <w:r>
        <w:rPr>
          <w:color w:val="7F7F7F"/>
          <w:sz w:val="18"/>
        </w:rPr>
        <w:t>7 marca 2017 r. (wyrok)</w:t>
      </w:r>
    </w:p>
    <w:p w14:paraId="56309148" w14:textId="0BC93ACF" w:rsidR="00383F38" w:rsidRDefault="003E5B5E">
      <w:pPr>
        <w:pStyle w:val="Tekstpodstawowy"/>
        <w:ind w:left="880" w:right="970"/>
        <w:jc w:val="both"/>
      </w:pPr>
      <w:r>
        <w:t xml:space="preserve">Skarżący byli albo osadzonymi, albo członkami rodzin osadzonych, na których niekorzystnie wpłynęły decyzje Rosyjskiej Federalnej Służby Więziennej („FSIN”) o osadzeniu osób w zakładach karnych oddalonych tysiące kilometrów od ich rodzin. Skarżący </w:t>
      </w:r>
      <w:r w:rsidR="00956771">
        <w:t>zarzucili</w:t>
      </w:r>
      <w:r>
        <w:t xml:space="preserve"> w szczególności, że decyzje o </w:t>
      </w:r>
      <w:r w:rsidR="00956771">
        <w:t>ulokowaniu</w:t>
      </w:r>
      <w:r>
        <w:t xml:space="preserve"> więźniów </w:t>
      </w:r>
      <w:r w:rsidR="00956771">
        <w:t>w</w:t>
      </w:r>
      <w:r>
        <w:t xml:space="preserve"> odległych </w:t>
      </w:r>
      <w:r w:rsidR="009F2CA1">
        <w:t>jednostkach penitencjarnych</w:t>
      </w:r>
      <w:r>
        <w:t xml:space="preserve"> i późniejsza niemożność uzyskania przez nich przeniesienia</w:t>
      </w:r>
      <w:r w:rsidR="00956771">
        <w:t>,</w:t>
      </w:r>
      <w:r w:rsidR="00CB109D">
        <w:t xml:space="preserve"> stanowiły</w:t>
      </w:r>
      <w:r>
        <w:t xml:space="preserve"> </w:t>
      </w:r>
      <w:r w:rsidR="00CB109D">
        <w:t xml:space="preserve">naruszenie </w:t>
      </w:r>
      <w:r>
        <w:t>ich praw</w:t>
      </w:r>
      <w:r w:rsidR="00CB109D">
        <w:t>a</w:t>
      </w:r>
      <w:r>
        <w:t xml:space="preserve"> do poszanowania życia rodzinnego.</w:t>
      </w:r>
    </w:p>
    <w:p w14:paraId="4CC244BE" w14:textId="1D01EB71" w:rsidR="00A8217E" w:rsidRDefault="003E5B5E" w:rsidP="00F62786">
      <w:pPr>
        <w:pStyle w:val="Tekstpodstawowy"/>
        <w:ind w:left="880" w:right="967"/>
        <w:jc w:val="both"/>
        <w:rPr>
          <w:color w:val="0071BC"/>
        </w:rPr>
      </w:pPr>
      <w:r>
        <w:rPr>
          <w:color w:val="0071BC"/>
        </w:rPr>
        <w:t xml:space="preserve">Trybunał orzekł, że w odniesieniu do każdego ze skarżących doszło do </w:t>
      </w:r>
      <w:r>
        <w:rPr>
          <w:b/>
          <w:bCs/>
          <w:color w:val="0071BC"/>
        </w:rPr>
        <w:t>naruszenia art.</w:t>
      </w:r>
      <w:r w:rsidR="00280C0F">
        <w:rPr>
          <w:b/>
          <w:bCs/>
          <w:color w:val="0071BC"/>
        </w:rPr>
        <w:t> </w:t>
      </w:r>
      <w:r>
        <w:rPr>
          <w:b/>
          <w:bCs/>
          <w:color w:val="0071BC"/>
        </w:rPr>
        <w:t>8</w:t>
      </w:r>
      <w:r>
        <w:rPr>
          <w:color w:val="0071BC"/>
        </w:rPr>
        <w:t xml:space="preserve"> Konwencji, ponieważ obowiązujące prawo krajowe nie </w:t>
      </w:r>
      <w:r w:rsidR="00956771">
        <w:rPr>
          <w:color w:val="0071BC"/>
        </w:rPr>
        <w:t>przewidywało</w:t>
      </w:r>
      <w:r w:rsidR="002326D7">
        <w:rPr>
          <w:color w:val="0071BC"/>
        </w:rPr>
        <w:t xml:space="preserve"> </w:t>
      </w:r>
      <w:r>
        <w:rPr>
          <w:color w:val="0071BC"/>
        </w:rPr>
        <w:t xml:space="preserve">wystarczających </w:t>
      </w:r>
      <w:r w:rsidR="002326D7">
        <w:rPr>
          <w:color w:val="0071BC"/>
        </w:rPr>
        <w:t xml:space="preserve">gwarancji </w:t>
      </w:r>
      <w:r>
        <w:rPr>
          <w:color w:val="0071BC"/>
        </w:rPr>
        <w:t xml:space="preserve">przed nadużyciami w zakresie rozmieszczenia geograficznego więźniów. Trybunał zauważył w szczególności, że odległość między </w:t>
      </w:r>
      <w:r w:rsidR="00956771">
        <w:rPr>
          <w:color w:val="0071BC"/>
        </w:rPr>
        <w:t>jednostkami penitencjarnymi</w:t>
      </w:r>
      <w:r>
        <w:rPr>
          <w:color w:val="0071BC"/>
        </w:rPr>
        <w:t xml:space="preserve"> </w:t>
      </w:r>
      <w:r w:rsidR="009F2CA1">
        <w:rPr>
          <w:color w:val="0071BC"/>
        </w:rPr>
        <w:t>i</w:t>
      </w:r>
      <w:r>
        <w:rPr>
          <w:color w:val="0071BC"/>
        </w:rPr>
        <w:t xml:space="preserve"> </w:t>
      </w:r>
      <w:r>
        <w:rPr>
          <w:color w:val="0071BC"/>
        </w:rPr>
        <w:lastRenderedPageBreak/>
        <w:t xml:space="preserve">domami rodzin więźniów – wynosząca od 2000 do 8000 kilometrów – </w:t>
      </w:r>
      <w:r w:rsidR="009F2CA1">
        <w:rPr>
          <w:color w:val="0071BC"/>
        </w:rPr>
        <w:t>była</w:t>
      </w:r>
      <w:r>
        <w:rPr>
          <w:color w:val="0071BC"/>
        </w:rPr>
        <w:t xml:space="preserve"> tak duża, że przysparza</w:t>
      </w:r>
      <w:r w:rsidR="009F2CA1">
        <w:rPr>
          <w:color w:val="0071BC"/>
        </w:rPr>
        <w:t>ła</w:t>
      </w:r>
      <w:r>
        <w:rPr>
          <w:color w:val="0071BC"/>
        </w:rPr>
        <w:t xml:space="preserve"> trudności zainteresowanym osobom. W szczególności jeden ze skarżących (osadzony) nie mógł zobaczyć się z matką przed jej śmiercią, podczas gdy druga skarżąca (małe dziecko urodzone po </w:t>
      </w:r>
      <w:r w:rsidR="002326D7">
        <w:rPr>
          <w:color w:val="0071BC"/>
        </w:rPr>
        <w:t xml:space="preserve">skazaniu </w:t>
      </w:r>
      <w:r>
        <w:rPr>
          <w:color w:val="0071BC"/>
        </w:rPr>
        <w:t>ojca) nigdy nie widziała się z ojcem. Trybunał zauważył również, że jakość standardów prawnych wymaga</w:t>
      </w:r>
      <w:r w:rsidR="00654A70">
        <w:rPr>
          <w:color w:val="0071BC"/>
        </w:rPr>
        <w:t>ła</w:t>
      </w:r>
      <w:r>
        <w:rPr>
          <w:color w:val="0071BC"/>
        </w:rPr>
        <w:t xml:space="preserve">, aby prawo krajowe zapewniało ochronę przed arbitralnością w wykonywaniu uprawnień dyskrecjonalnych pozostawionych władzy wykonawczej. Prawo rosyjskie nie wymagało jednak, aby FSIN brała pod uwagę </w:t>
      </w:r>
      <w:r w:rsidR="002326D7">
        <w:rPr>
          <w:color w:val="0071BC"/>
        </w:rPr>
        <w:t>ewentualn</w:t>
      </w:r>
      <w:r w:rsidR="00654A70">
        <w:rPr>
          <w:color w:val="0071BC"/>
        </w:rPr>
        <w:t>y</w:t>
      </w:r>
      <w:r w:rsidR="002326D7">
        <w:rPr>
          <w:color w:val="0071BC"/>
        </w:rPr>
        <w:t xml:space="preserve"> </w:t>
      </w:r>
      <w:r>
        <w:rPr>
          <w:color w:val="0071BC"/>
        </w:rPr>
        <w:t>wpływ</w:t>
      </w:r>
      <w:r w:rsidR="002326D7">
        <w:rPr>
          <w:color w:val="0071BC"/>
        </w:rPr>
        <w:t xml:space="preserve"> </w:t>
      </w:r>
      <w:r>
        <w:rPr>
          <w:color w:val="0071BC"/>
        </w:rPr>
        <w:t>lokalizacj</w:t>
      </w:r>
      <w:r w:rsidR="002326D7">
        <w:rPr>
          <w:color w:val="0071BC"/>
        </w:rPr>
        <w:t>i</w:t>
      </w:r>
      <w:r>
        <w:rPr>
          <w:color w:val="0071BC"/>
        </w:rPr>
        <w:t xml:space="preserve"> </w:t>
      </w:r>
      <w:r w:rsidR="00654A70">
        <w:rPr>
          <w:color w:val="0071BC"/>
        </w:rPr>
        <w:t>jednostki penitencjarnej</w:t>
      </w:r>
      <w:r>
        <w:rPr>
          <w:color w:val="0071BC"/>
        </w:rPr>
        <w:t xml:space="preserve"> na życie rodzinne skarżących. Ponadto prawo nie dawało skarżącym realnej możliwości uzyskania przeniesienia do inne</w:t>
      </w:r>
      <w:r w:rsidR="00654A70">
        <w:rPr>
          <w:color w:val="0071BC"/>
        </w:rPr>
        <w:t>j jednostki penitencjarnej</w:t>
      </w:r>
      <w:r>
        <w:rPr>
          <w:color w:val="0071BC"/>
        </w:rPr>
        <w:t xml:space="preserve"> z </w:t>
      </w:r>
      <w:r w:rsidR="002326D7">
        <w:rPr>
          <w:color w:val="0071BC"/>
        </w:rPr>
        <w:t xml:space="preserve">przyczyn </w:t>
      </w:r>
      <w:r>
        <w:rPr>
          <w:color w:val="0071BC"/>
        </w:rPr>
        <w:t>związanych z prawem do poszanowania życia rodzinnego – ani poprzez złożenie wniosku do samej FSIN, ani poprzez kontrolę sądową wydawanych przez nią decyzji.</w:t>
      </w:r>
    </w:p>
    <w:p w14:paraId="7E395CCF" w14:textId="3258EA08" w:rsidR="00A8217E" w:rsidRDefault="00A8217E" w:rsidP="00A8217E">
      <w:pPr>
        <w:pStyle w:val="Tekstpodstawowy"/>
        <w:spacing w:before="80"/>
        <w:ind w:left="880" w:right="970"/>
        <w:jc w:val="both"/>
      </w:pPr>
      <w:r w:rsidRPr="00E31018">
        <w:rPr>
          <w:i/>
          <w:iCs/>
          <w:color w:val="3F3F3F"/>
        </w:rPr>
        <w:t>Zob. też:</w:t>
      </w:r>
      <w:r>
        <w:rPr>
          <w:color w:val="3F3F3F"/>
        </w:rPr>
        <w:t xml:space="preserve"> </w:t>
      </w:r>
      <w:hyperlink r:id="rId23" w:history="1">
        <w:proofErr w:type="spellStart"/>
        <w:r w:rsidRPr="00A15E89">
          <w:rPr>
            <w:rStyle w:val="Hipercze"/>
            <w:b/>
            <w:bCs/>
          </w:rPr>
          <w:t>Razvozzhayev</w:t>
        </w:r>
        <w:proofErr w:type="spellEnd"/>
        <w:r w:rsidRPr="00A15E89">
          <w:rPr>
            <w:rStyle w:val="Hipercze"/>
            <w:b/>
            <w:bCs/>
          </w:rPr>
          <w:t xml:space="preserve"> przeciwko Rosji i Ukrainie oraz </w:t>
        </w:r>
        <w:proofErr w:type="spellStart"/>
        <w:r w:rsidRPr="00A15E89">
          <w:rPr>
            <w:rStyle w:val="Hipercze"/>
            <w:b/>
            <w:bCs/>
          </w:rPr>
          <w:t>Udaltsov</w:t>
        </w:r>
        <w:proofErr w:type="spellEnd"/>
        <w:r w:rsidRPr="00A15E89">
          <w:rPr>
            <w:rStyle w:val="Hipercze"/>
            <w:b/>
            <w:bCs/>
          </w:rPr>
          <w:t xml:space="preserve"> przeciwko Rosji</w:t>
        </w:r>
      </w:hyperlink>
      <w:r w:rsidR="00DD4355" w:rsidRPr="00DD4355">
        <w:rPr>
          <w:rStyle w:val="Odwoanieprzypisudolnego"/>
          <w:u w:color="0071BC"/>
        </w:rPr>
        <w:footnoteReference w:id="3"/>
      </w:r>
      <w:r>
        <w:rPr>
          <w:color w:val="3F3F3F"/>
        </w:rPr>
        <w:t xml:space="preserve">, </w:t>
      </w:r>
      <w:r w:rsidR="00182295">
        <w:rPr>
          <w:color w:val="3F3F3F"/>
        </w:rPr>
        <w:t>wyrok</w:t>
      </w:r>
      <w:r>
        <w:rPr>
          <w:color w:val="3F3F3F"/>
        </w:rPr>
        <w:t xml:space="preserve"> z dnia 1</w:t>
      </w:r>
      <w:r w:rsidR="00F62786">
        <w:rPr>
          <w:color w:val="3F3F3F"/>
        </w:rPr>
        <w:t>9 listopada</w:t>
      </w:r>
      <w:r>
        <w:rPr>
          <w:color w:val="3F3F3F"/>
        </w:rPr>
        <w:t xml:space="preserve"> 201</w:t>
      </w:r>
      <w:r w:rsidR="00F62786">
        <w:rPr>
          <w:color w:val="3F3F3F"/>
        </w:rPr>
        <w:t>9</w:t>
      </w:r>
      <w:r>
        <w:rPr>
          <w:color w:val="3F3F3F"/>
        </w:rPr>
        <w:t xml:space="preserve"> r.</w:t>
      </w:r>
    </w:p>
    <w:p w14:paraId="0B70B76C" w14:textId="77777777" w:rsidR="00A8217E" w:rsidRDefault="00A8217E" w:rsidP="00280C0F">
      <w:pPr>
        <w:pStyle w:val="Tekstpodstawowy"/>
        <w:ind w:left="880" w:right="967"/>
        <w:jc w:val="both"/>
        <w:rPr>
          <w:sz w:val="15"/>
        </w:rPr>
      </w:pPr>
    </w:p>
    <w:p w14:paraId="07E73058" w14:textId="779C6D0A" w:rsidR="00383F38" w:rsidRDefault="003E5B5E">
      <w:pPr>
        <w:pStyle w:val="Nagwek11"/>
        <w:spacing w:before="100"/>
        <w:rPr>
          <w:u w:val="none"/>
        </w:rPr>
      </w:pPr>
      <w:hyperlink r:id="rId24" w:history="1">
        <w:proofErr w:type="spellStart"/>
        <w:r w:rsidRPr="00927A66">
          <w:rPr>
            <w:rStyle w:val="Hipercze"/>
          </w:rPr>
          <w:t>Voynov</w:t>
        </w:r>
        <w:proofErr w:type="spellEnd"/>
        <w:r w:rsidRPr="00927A66">
          <w:rPr>
            <w:rStyle w:val="Hipercze"/>
          </w:rPr>
          <w:t xml:space="preserve"> przeci</w:t>
        </w:r>
        <w:r w:rsidRPr="00927A66">
          <w:rPr>
            <w:rStyle w:val="Hipercze"/>
          </w:rPr>
          <w:t>w</w:t>
        </w:r>
        <w:r w:rsidRPr="00927A66">
          <w:rPr>
            <w:rStyle w:val="Hipercze"/>
          </w:rPr>
          <w:t>ko Rosji</w:t>
        </w:r>
      </w:hyperlink>
      <w:r w:rsidR="00DD4355" w:rsidRPr="00DD4355">
        <w:rPr>
          <w:rStyle w:val="Odwoanieprzypisudolnego"/>
          <w:b w:val="0"/>
          <w:bCs w:val="0"/>
          <w:u w:val="none" w:color="0071BC"/>
        </w:rPr>
        <w:footnoteReference w:id="4"/>
      </w:r>
    </w:p>
    <w:p w14:paraId="4B36626E" w14:textId="77777777" w:rsidR="00383F38" w:rsidRDefault="003E5B5E">
      <w:pPr>
        <w:spacing w:before="61"/>
        <w:ind w:left="880"/>
        <w:jc w:val="both"/>
        <w:rPr>
          <w:sz w:val="18"/>
        </w:rPr>
      </w:pPr>
      <w:r>
        <w:rPr>
          <w:color w:val="7F7F7F"/>
          <w:sz w:val="18"/>
        </w:rPr>
        <w:t>3 lipca 2018 r. (wyrok)</w:t>
      </w:r>
    </w:p>
    <w:p w14:paraId="006AF43A" w14:textId="6712C509" w:rsidR="00383F38" w:rsidRDefault="003E5B5E">
      <w:pPr>
        <w:pStyle w:val="Tekstpodstawowy"/>
        <w:ind w:left="879" w:right="968"/>
        <w:jc w:val="both"/>
      </w:pPr>
      <w:r>
        <w:t xml:space="preserve">Sprawa ta dotyczyła </w:t>
      </w:r>
      <w:r w:rsidR="00654A70">
        <w:t>zarzutu</w:t>
      </w:r>
      <w:r>
        <w:t xml:space="preserve"> skarżącego</w:t>
      </w:r>
      <w:r w:rsidR="00654A70">
        <w:t>, że</w:t>
      </w:r>
      <w:r>
        <w:t xml:space="preserve"> został </w:t>
      </w:r>
      <w:r w:rsidR="00654A70">
        <w:t xml:space="preserve">wysłany do odbywania </w:t>
      </w:r>
      <w:r>
        <w:t>kary w zakładzie karnym oddalonym o 4200 kilometrów od jego rodzinnego miasta. Partnerka skarżącego odwiedz</w:t>
      </w:r>
      <w:r w:rsidR="00654A70">
        <w:t>i</w:t>
      </w:r>
      <w:r>
        <w:t xml:space="preserve">ła go sześciokrotnie w latach 2011–2013, ale nie </w:t>
      </w:r>
      <w:r w:rsidR="00654A70">
        <w:t xml:space="preserve">była już w stanie </w:t>
      </w:r>
      <w:r>
        <w:t xml:space="preserve">odwiedzać </w:t>
      </w:r>
      <w:r w:rsidR="00654A70">
        <w:t xml:space="preserve">go </w:t>
      </w:r>
      <w:r>
        <w:t xml:space="preserve">od narodzin ich córki w 2014 r. </w:t>
      </w:r>
      <w:r w:rsidR="00654A70">
        <w:t>Skarżący n</w:t>
      </w:r>
      <w:r>
        <w:t xml:space="preserve">igdy nie </w:t>
      </w:r>
      <w:r w:rsidR="00654A70">
        <w:t>widział</w:t>
      </w:r>
      <w:r>
        <w:t xml:space="preserve"> córk</w:t>
      </w:r>
      <w:r w:rsidR="00601104">
        <w:t>i</w:t>
      </w:r>
      <w:r>
        <w:t xml:space="preserve">. </w:t>
      </w:r>
      <w:r w:rsidR="00601104">
        <w:t>Z</w:t>
      </w:r>
      <w:r>
        <w:t>arzuc</w:t>
      </w:r>
      <w:r w:rsidR="00601104">
        <w:t>i</w:t>
      </w:r>
      <w:r>
        <w:t xml:space="preserve">ł w szczególności, że decyzja o wysłaniu go do oddalonego zakładu karnego oraz </w:t>
      </w:r>
      <w:r w:rsidR="00601104">
        <w:t>oddalenie</w:t>
      </w:r>
      <w:r>
        <w:t xml:space="preserve"> jego wniosków o przeniesienie utrudniło odwiedziny jego rodziny.</w:t>
      </w:r>
    </w:p>
    <w:p w14:paraId="2227F584" w14:textId="08C08C5B" w:rsidR="00383F38" w:rsidRDefault="003E5B5E">
      <w:pPr>
        <w:pStyle w:val="Tekstpodstawowy"/>
        <w:ind w:left="879" w:right="968"/>
        <w:jc w:val="both"/>
        <w:rPr>
          <w:color w:val="0071BC"/>
        </w:rPr>
      </w:pPr>
      <w:r>
        <w:rPr>
          <w:color w:val="0071BC"/>
        </w:rPr>
        <w:t xml:space="preserve">Trybunał orzekł, że doszło do </w:t>
      </w:r>
      <w:r>
        <w:rPr>
          <w:b/>
          <w:bCs/>
          <w:color w:val="0071BC"/>
        </w:rPr>
        <w:t xml:space="preserve">naruszenia art. 8 </w:t>
      </w:r>
      <w:r>
        <w:rPr>
          <w:color w:val="0071BC"/>
        </w:rPr>
        <w:t xml:space="preserve">Konwencji. </w:t>
      </w:r>
      <w:r w:rsidR="00601104">
        <w:rPr>
          <w:color w:val="0071BC"/>
        </w:rPr>
        <w:t>W stanowisku rządu rosyjskiego w</w:t>
      </w:r>
      <w:r>
        <w:rPr>
          <w:color w:val="0071BC"/>
        </w:rPr>
        <w:t xml:space="preserve"> szczególności nie było niczego, co przekonałoby </w:t>
      </w:r>
      <w:r w:rsidR="00601104">
        <w:rPr>
          <w:color w:val="0071BC"/>
        </w:rPr>
        <w:t>Trybunał</w:t>
      </w:r>
      <w:r>
        <w:rPr>
          <w:color w:val="0071BC"/>
        </w:rPr>
        <w:t xml:space="preserve"> do odstąpienia od </w:t>
      </w:r>
      <w:r w:rsidR="00601104">
        <w:rPr>
          <w:color w:val="0071BC"/>
        </w:rPr>
        <w:t>ustaleń</w:t>
      </w:r>
      <w:r>
        <w:rPr>
          <w:color w:val="0071BC"/>
        </w:rPr>
        <w:t xml:space="preserve"> w wyroku w sprawie </w:t>
      </w:r>
      <w:proofErr w:type="spellStart"/>
      <w:r w:rsidRPr="00601104">
        <w:rPr>
          <w:i/>
          <w:iCs/>
          <w:color w:val="0071BC"/>
        </w:rPr>
        <w:t>Polyakova</w:t>
      </w:r>
      <w:proofErr w:type="spellEnd"/>
      <w:r w:rsidRPr="00601104">
        <w:rPr>
          <w:i/>
          <w:iCs/>
          <w:color w:val="0071BC"/>
        </w:rPr>
        <w:t xml:space="preserve"> i Inni</w:t>
      </w:r>
      <w:r>
        <w:rPr>
          <w:color w:val="0071BC"/>
        </w:rPr>
        <w:t xml:space="preserve"> (</w:t>
      </w:r>
      <w:r w:rsidR="002326D7">
        <w:rPr>
          <w:color w:val="0071BC"/>
        </w:rPr>
        <w:t xml:space="preserve">zob. </w:t>
      </w:r>
      <w:r>
        <w:rPr>
          <w:color w:val="0071BC"/>
        </w:rPr>
        <w:t>powyżej)</w:t>
      </w:r>
      <w:r w:rsidR="00601104">
        <w:rPr>
          <w:color w:val="0071BC"/>
        </w:rPr>
        <w:t>,</w:t>
      </w:r>
      <w:r>
        <w:rPr>
          <w:color w:val="0071BC"/>
        </w:rPr>
        <w:t xml:space="preserve"> </w:t>
      </w:r>
      <w:r w:rsidR="00601104">
        <w:rPr>
          <w:color w:val="0071BC"/>
        </w:rPr>
        <w:t>dotyczącym</w:t>
      </w:r>
      <w:r>
        <w:rPr>
          <w:color w:val="0071BC"/>
        </w:rPr>
        <w:t xml:space="preserve"> tej samej kwestii. Co więcej, niedawne orzeczenie Trybunału Konstytucyjnego Federacji Rosyjskiej pokazało, że podejście władz krajowych do wykładni prawa krajowego w </w:t>
      </w:r>
      <w:r w:rsidR="00601104">
        <w:rPr>
          <w:color w:val="0071BC"/>
        </w:rPr>
        <w:t>przedmiotowej materii</w:t>
      </w:r>
      <w:r>
        <w:rPr>
          <w:color w:val="0071BC"/>
        </w:rPr>
        <w:t xml:space="preserve"> nie uległo zmianie. Trybunał orzekł również, że </w:t>
      </w:r>
      <w:r>
        <w:rPr>
          <w:b/>
          <w:bCs/>
          <w:color w:val="0071BC"/>
        </w:rPr>
        <w:t xml:space="preserve">doszło do naruszenia art. 13 </w:t>
      </w:r>
      <w:r>
        <w:rPr>
          <w:color w:val="0071BC"/>
        </w:rPr>
        <w:t xml:space="preserve">Konwencji (prawo do skutecznego środka odwoławczego). Trybunał nie był </w:t>
      </w:r>
      <w:r w:rsidR="002326D7">
        <w:rPr>
          <w:color w:val="0071BC"/>
        </w:rPr>
        <w:t>przekonany co do tego</w:t>
      </w:r>
      <w:r>
        <w:rPr>
          <w:color w:val="0071BC"/>
        </w:rPr>
        <w:t xml:space="preserve">, że procedura </w:t>
      </w:r>
      <w:r w:rsidR="00601104">
        <w:rPr>
          <w:color w:val="0071BC"/>
        </w:rPr>
        <w:t>sugerowana</w:t>
      </w:r>
      <w:r>
        <w:rPr>
          <w:color w:val="0071BC"/>
        </w:rPr>
        <w:t xml:space="preserve"> przez rząd zapewniłaby skarżącemu możliwość stosownego złożenia skargi na naruszenie jego prawa do poszanowania życia rodzinnego. Na szczeblu krajowym skarżący nie dysponował też żadnymi innymi środkami odwoławczymi, które pozwoliłyby mu na złożenie skargi </w:t>
      </w:r>
      <w:r w:rsidR="002326D7">
        <w:rPr>
          <w:color w:val="0071BC"/>
        </w:rPr>
        <w:t>w związku z wysłaniem go celem odbycia kary</w:t>
      </w:r>
      <w:r>
        <w:rPr>
          <w:color w:val="0071BC"/>
        </w:rPr>
        <w:t xml:space="preserve"> tak daleko od </w:t>
      </w:r>
      <w:r w:rsidR="002326D7">
        <w:rPr>
          <w:color w:val="0071BC"/>
        </w:rPr>
        <w:t xml:space="preserve">jego </w:t>
      </w:r>
      <w:r>
        <w:rPr>
          <w:color w:val="0071BC"/>
        </w:rPr>
        <w:t>rodziny.</w:t>
      </w:r>
    </w:p>
    <w:p w14:paraId="06A6E8A8" w14:textId="1B21FE52" w:rsidR="00F62786" w:rsidRDefault="00F62786" w:rsidP="00F62786">
      <w:pPr>
        <w:pStyle w:val="Tekstpodstawowy"/>
        <w:spacing w:before="80"/>
        <w:ind w:left="880" w:right="970"/>
        <w:jc w:val="both"/>
      </w:pPr>
      <w:r w:rsidRPr="00E31018">
        <w:rPr>
          <w:i/>
          <w:iCs/>
          <w:color w:val="3F3F3F"/>
        </w:rPr>
        <w:t>Zob. też:</w:t>
      </w:r>
      <w:r>
        <w:rPr>
          <w:color w:val="3F3F3F"/>
        </w:rPr>
        <w:t xml:space="preserve"> </w:t>
      </w:r>
      <w:hyperlink r:id="rId25" w:history="1">
        <w:proofErr w:type="spellStart"/>
        <w:r w:rsidRPr="00210517">
          <w:rPr>
            <w:rStyle w:val="Hipercze"/>
            <w:b/>
            <w:bCs/>
          </w:rPr>
          <w:t>Shmelev</w:t>
        </w:r>
        <w:proofErr w:type="spellEnd"/>
        <w:r w:rsidRPr="00210517">
          <w:rPr>
            <w:rStyle w:val="Hipercze"/>
            <w:b/>
            <w:bCs/>
          </w:rPr>
          <w:t xml:space="preserve"> i Inni przec</w:t>
        </w:r>
        <w:r w:rsidRPr="00210517">
          <w:rPr>
            <w:rStyle w:val="Hipercze"/>
            <w:b/>
            <w:bCs/>
          </w:rPr>
          <w:t>i</w:t>
        </w:r>
        <w:r w:rsidRPr="00210517">
          <w:rPr>
            <w:rStyle w:val="Hipercze"/>
            <w:b/>
            <w:bCs/>
          </w:rPr>
          <w:t>wko Rosji</w:t>
        </w:r>
      </w:hyperlink>
      <w:r w:rsidR="00DD4355" w:rsidRPr="00DD4355">
        <w:rPr>
          <w:rStyle w:val="Odwoanieprzypisudolnego"/>
          <w:u w:color="0071BC"/>
        </w:rPr>
        <w:footnoteReference w:id="5"/>
      </w:r>
      <w:r>
        <w:rPr>
          <w:color w:val="3F3F3F"/>
        </w:rPr>
        <w:t>, decyzja o dopuszczalności z dnia 17 marca 2020 r.;</w:t>
      </w:r>
      <w:r w:rsidRPr="00F62786">
        <w:rPr>
          <w:i/>
          <w:iCs/>
          <w:color w:val="3F3F3F"/>
        </w:rPr>
        <w:t xml:space="preserve"> </w:t>
      </w:r>
      <w:hyperlink r:id="rId26" w:history="1">
        <w:proofErr w:type="spellStart"/>
        <w:r w:rsidRPr="00210517">
          <w:rPr>
            <w:rStyle w:val="Hipercze"/>
            <w:b/>
            <w:bCs/>
          </w:rPr>
          <w:t>Dadusenko</w:t>
        </w:r>
        <w:proofErr w:type="spellEnd"/>
        <w:r w:rsidRPr="00210517">
          <w:rPr>
            <w:rStyle w:val="Hipercze"/>
            <w:b/>
            <w:bCs/>
          </w:rPr>
          <w:t xml:space="preserve"> i I</w:t>
        </w:r>
        <w:r w:rsidRPr="00210517">
          <w:rPr>
            <w:rStyle w:val="Hipercze"/>
            <w:b/>
            <w:bCs/>
          </w:rPr>
          <w:t>n</w:t>
        </w:r>
        <w:r w:rsidRPr="00210517">
          <w:rPr>
            <w:rStyle w:val="Hipercze"/>
            <w:b/>
            <w:bCs/>
          </w:rPr>
          <w:t>ni przeciwko Rosj</w:t>
        </w:r>
        <w:r w:rsidR="00DD4355" w:rsidRPr="00210517">
          <w:rPr>
            <w:rStyle w:val="Hipercze"/>
            <w:b/>
            <w:bCs/>
          </w:rPr>
          <w:t>i</w:t>
        </w:r>
      </w:hyperlink>
      <w:r w:rsidR="00DD4355" w:rsidRPr="00DD4355">
        <w:rPr>
          <w:rStyle w:val="Odwoanieprzypisudolnego"/>
          <w:u w:color="0071BC"/>
        </w:rPr>
        <w:footnoteReference w:id="6"/>
      </w:r>
      <w:r w:rsidRPr="00DD4355">
        <w:t>,</w:t>
      </w:r>
      <w:r>
        <w:rPr>
          <w:color w:val="3F3F3F"/>
        </w:rPr>
        <w:t xml:space="preserve"> decyzja o dopuszczalności z dnia 7 września 2021 r.</w:t>
      </w:r>
    </w:p>
    <w:p w14:paraId="62D453FC" w14:textId="77777777" w:rsidR="00F62786" w:rsidRDefault="00F62786">
      <w:pPr>
        <w:pStyle w:val="Tekstpodstawowy"/>
        <w:ind w:left="879" w:right="968"/>
        <w:jc w:val="both"/>
      </w:pPr>
    </w:p>
    <w:p w14:paraId="72029561" w14:textId="33231286" w:rsidR="00383F38" w:rsidRDefault="003E5B5E">
      <w:pPr>
        <w:pStyle w:val="Nagwek11"/>
        <w:spacing w:before="119"/>
        <w:ind w:left="879"/>
        <w:rPr>
          <w:u w:val="none"/>
        </w:rPr>
      </w:pPr>
      <w:hyperlink r:id="rId27" w:history="1">
        <w:proofErr w:type="spellStart"/>
        <w:r w:rsidRPr="00210517">
          <w:rPr>
            <w:rStyle w:val="Hipercze"/>
          </w:rPr>
          <w:t>Fraile</w:t>
        </w:r>
        <w:proofErr w:type="spellEnd"/>
        <w:r w:rsidRPr="00210517">
          <w:rPr>
            <w:rStyle w:val="Hipercze"/>
          </w:rPr>
          <w:t xml:space="preserve"> </w:t>
        </w:r>
        <w:proofErr w:type="spellStart"/>
        <w:r w:rsidRPr="00210517">
          <w:rPr>
            <w:rStyle w:val="Hipercze"/>
          </w:rPr>
          <w:t>Iturralde</w:t>
        </w:r>
        <w:proofErr w:type="spellEnd"/>
        <w:r w:rsidRPr="00210517">
          <w:rPr>
            <w:rStyle w:val="Hipercze"/>
          </w:rPr>
          <w:t xml:space="preserve"> przeciwko Hiszpanii</w:t>
        </w:r>
      </w:hyperlink>
    </w:p>
    <w:p w14:paraId="68299A11" w14:textId="67603B7A" w:rsidR="00383F38" w:rsidRDefault="003E5B5E">
      <w:pPr>
        <w:spacing w:before="60"/>
        <w:ind w:left="880"/>
        <w:jc w:val="both"/>
        <w:rPr>
          <w:sz w:val="18"/>
        </w:rPr>
      </w:pPr>
      <w:r>
        <w:rPr>
          <w:color w:val="7F7F7F"/>
          <w:sz w:val="18"/>
        </w:rPr>
        <w:t xml:space="preserve">7 maja 2019 r. (decyzja </w:t>
      </w:r>
      <w:r w:rsidR="00E82949">
        <w:rPr>
          <w:color w:val="7F7F7F"/>
          <w:sz w:val="18"/>
        </w:rPr>
        <w:t>w przedmiocie</w:t>
      </w:r>
      <w:r>
        <w:rPr>
          <w:color w:val="7F7F7F"/>
          <w:sz w:val="18"/>
        </w:rPr>
        <w:t xml:space="preserve"> dopuszczalności)</w:t>
      </w:r>
    </w:p>
    <w:p w14:paraId="1F086F18" w14:textId="293EA6D4" w:rsidR="00383F38" w:rsidRDefault="003E5B5E">
      <w:pPr>
        <w:pStyle w:val="Tekstpodstawowy"/>
        <w:ind w:left="880" w:right="969"/>
        <w:jc w:val="both"/>
      </w:pPr>
      <w:r>
        <w:t xml:space="preserve">Skarżący, odbywający karę 25 lat pozbawienia wolności za współpracę z organizacją terrorystyczną, baskijskim ruchem separatystycznym ETA, skarżył się na </w:t>
      </w:r>
      <w:r w:rsidR="00E82949">
        <w:t>oddalenie</w:t>
      </w:r>
      <w:r>
        <w:t xml:space="preserve"> jego wniosku o przeniesienie do zakładu karnego położonego bliżej jego rodziny. Twierdził, że 700-kilometrowa podróż z miejsca zamieszkania jego rodziny do zakładu karnego była trudna dla jego żony i pięcioletniej córki, a jego rodzice, którzy byli w podeszłym wieku, </w:t>
      </w:r>
      <w:r w:rsidR="00E82949">
        <w:t xml:space="preserve">w ogóle </w:t>
      </w:r>
      <w:r>
        <w:t xml:space="preserve">nie </w:t>
      </w:r>
      <w:r w:rsidR="002326D7">
        <w:t xml:space="preserve">byli </w:t>
      </w:r>
      <w:r w:rsidR="00E82949">
        <w:t xml:space="preserve">go </w:t>
      </w:r>
      <w:r w:rsidR="002326D7">
        <w:t>w stanie odwiedzać</w:t>
      </w:r>
      <w:r>
        <w:t>.</w:t>
      </w:r>
    </w:p>
    <w:p w14:paraId="03376110" w14:textId="7522AA38" w:rsidR="00F62786" w:rsidRDefault="003E5B5E" w:rsidP="00182295">
      <w:pPr>
        <w:pStyle w:val="Tekstpodstawowy"/>
        <w:spacing w:before="1"/>
        <w:ind w:left="879" w:right="969"/>
        <w:jc w:val="both"/>
        <w:rPr>
          <w:color w:val="0071BC"/>
        </w:rPr>
      </w:pPr>
      <w:r>
        <w:rPr>
          <w:color w:val="0071BC"/>
        </w:rPr>
        <w:t xml:space="preserve">Trybunał uznał skargę wniesioną przez skarżącego na podstawie art. 8 Konwencji za </w:t>
      </w:r>
      <w:r>
        <w:rPr>
          <w:b/>
          <w:bCs/>
          <w:color w:val="0071BC"/>
        </w:rPr>
        <w:t>niedopuszczalną</w:t>
      </w:r>
      <w:r>
        <w:rPr>
          <w:color w:val="0071BC"/>
        </w:rPr>
        <w:t xml:space="preserve"> jako w sposób oczywisty nieuzasadnioną. Stwierdził, że przedstawione przez władze hiszpańskie uzasadnienie odmowy przeniesienia skarżącego było uprawnione, ponieważ miało na celu zapewnienie dyscypliny w zakładach karnych i wdrożenie ich polityki w odniesieniu do więźniów ETA; ponadto Trybunał stwierdził, że ingerencja w prawa skarżącego była ograniczona, zgodna z prawem i proporcjonalna. Trybunał zauważył w szczególności, że władze oparły swoje decyzje zarówno na </w:t>
      </w:r>
      <w:r>
        <w:rPr>
          <w:color w:val="0071BC"/>
        </w:rPr>
        <w:lastRenderedPageBreak/>
        <w:t xml:space="preserve">indywidualnej ocenie sytuacji skarżącego, </w:t>
      </w:r>
      <w:r w:rsidR="002326D7">
        <w:rPr>
          <w:color w:val="0071BC"/>
        </w:rPr>
        <w:t>z której wynikało</w:t>
      </w:r>
      <w:r>
        <w:rPr>
          <w:color w:val="0071BC"/>
        </w:rPr>
        <w:t xml:space="preserve">, że utrzymywał on regularne kontakty z rodziną, jak i na </w:t>
      </w:r>
      <w:r w:rsidR="00E41F10">
        <w:rPr>
          <w:color w:val="0071BC"/>
        </w:rPr>
        <w:t>generalnej</w:t>
      </w:r>
      <w:r>
        <w:rPr>
          <w:color w:val="0071BC"/>
        </w:rPr>
        <w:t xml:space="preserve"> polityce więziennictwa, w ramach której rozproszono więźniów skazanych za przestępstwa terrorystyczne po różnych </w:t>
      </w:r>
      <w:r w:rsidR="00E41F10">
        <w:rPr>
          <w:color w:val="0071BC"/>
        </w:rPr>
        <w:t>jednostkach</w:t>
      </w:r>
      <w:r>
        <w:rPr>
          <w:color w:val="0071BC"/>
        </w:rPr>
        <w:t xml:space="preserve"> w celu zerwania ich więzi z organizacją przestępczą i uniknięcia obaw związanych z bezpieczeństwem.</w:t>
      </w:r>
    </w:p>
    <w:p w14:paraId="3A1C605A" w14:textId="77777777" w:rsidR="004A3CD9" w:rsidRPr="00182295" w:rsidRDefault="004A3CD9" w:rsidP="00182295">
      <w:pPr>
        <w:pStyle w:val="Tekstpodstawowy"/>
        <w:spacing w:before="1"/>
        <w:ind w:left="879" w:right="969"/>
        <w:jc w:val="both"/>
        <w:rPr>
          <w:color w:val="0071BC"/>
        </w:rPr>
      </w:pPr>
    </w:p>
    <w:p w14:paraId="795FF27C" w14:textId="7063B289" w:rsidR="00F62786" w:rsidRDefault="00F62786" w:rsidP="00F62786">
      <w:pPr>
        <w:pStyle w:val="Tekstpodstawowy"/>
        <w:spacing w:before="80"/>
        <w:ind w:left="880" w:right="970"/>
        <w:jc w:val="both"/>
        <w:rPr>
          <w:color w:val="3F3F3F"/>
        </w:rPr>
      </w:pPr>
      <w:r w:rsidRPr="00E31018">
        <w:rPr>
          <w:i/>
          <w:iCs/>
          <w:color w:val="3F3F3F"/>
        </w:rPr>
        <w:t>Zob. też</w:t>
      </w:r>
      <w:r>
        <w:rPr>
          <w:i/>
          <w:iCs/>
          <w:color w:val="3F3F3F"/>
        </w:rPr>
        <w:t xml:space="preserve">, </w:t>
      </w:r>
      <w:r w:rsidR="00182295">
        <w:rPr>
          <w:i/>
          <w:iCs/>
          <w:color w:val="3F3F3F"/>
        </w:rPr>
        <w:t>ostatnio</w:t>
      </w:r>
      <w:r w:rsidRPr="00E31018">
        <w:rPr>
          <w:i/>
          <w:iCs/>
          <w:color w:val="3F3F3F"/>
        </w:rPr>
        <w:t>:</w:t>
      </w:r>
      <w:r>
        <w:rPr>
          <w:color w:val="3F3F3F"/>
        </w:rPr>
        <w:t xml:space="preserve"> </w:t>
      </w:r>
    </w:p>
    <w:p w14:paraId="065B74E0" w14:textId="1FCB57B6" w:rsidR="00F62786" w:rsidRDefault="00F62786" w:rsidP="00F62786">
      <w:pPr>
        <w:pStyle w:val="Tekstpodstawowy"/>
        <w:spacing w:before="80"/>
        <w:ind w:left="880" w:right="970"/>
        <w:jc w:val="both"/>
        <w:rPr>
          <w:b/>
          <w:bCs/>
          <w:color w:val="0071BC"/>
          <w:u w:val="thick" w:color="0071BC"/>
        </w:rPr>
      </w:pPr>
      <w:hyperlink r:id="rId28" w:history="1">
        <w:proofErr w:type="spellStart"/>
        <w:r w:rsidRPr="00210517">
          <w:rPr>
            <w:rStyle w:val="Hipercze"/>
            <w:b/>
            <w:bCs/>
          </w:rPr>
          <w:t>İlerde</w:t>
        </w:r>
        <w:proofErr w:type="spellEnd"/>
        <w:r w:rsidRPr="00210517">
          <w:rPr>
            <w:rStyle w:val="Hipercze"/>
            <w:b/>
            <w:bCs/>
          </w:rPr>
          <w:t xml:space="preserve"> i Inni przeciwko Turcji</w:t>
        </w:r>
      </w:hyperlink>
    </w:p>
    <w:p w14:paraId="05D90B68" w14:textId="0CCBED4E" w:rsidR="00F62786" w:rsidRDefault="00F62786" w:rsidP="00F62786">
      <w:pPr>
        <w:pStyle w:val="Tekstpodstawowy"/>
        <w:spacing w:before="80"/>
        <w:ind w:left="880" w:right="970"/>
        <w:jc w:val="both"/>
        <w:rPr>
          <w:color w:val="7F7F7F"/>
          <w:sz w:val="18"/>
        </w:rPr>
      </w:pPr>
      <w:r>
        <w:rPr>
          <w:color w:val="7F7F7F"/>
          <w:sz w:val="18"/>
        </w:rPr>
        <w:t>5 grudnia 2023 r. (wyrok)</w:t>
      </w:r>
    </w:p>
    <w:p w14:paraId="0E5374B4" w14:textId="77777777" w:rsidR="004A3CD9" w:rsidRDefault="004A3CD9" w:rsidP="00F62786">
      <w:pPr>
        <w:pStyle w:val="Tekstpodstawowy"/>
        <w:spacing w:before="80"/>
        <w:ind w:left="880" w:right="970"/>
        <w:jc w:val="both"/>
        <w:rPr>
          <w:color w:val="7F7F7F"/>
          <w:sz w:val="18"/>
        </w:rPr>
      </w:pPr>
    </w:p>
    <w:p w14:paraId="378209FA" w14:textId="77777777" w:rsidR="005E6DC2" w:rsidRPr="005E6DC2" w:rsidRDefault="005E6DC2" w:rsidP="005E6DC2">
      <w:pPr>
        <w:ind w:left="880"/>
        <w:jc w:val="both"/>
        <w:outlineLvl w:val="0"/>
        <w:rPr>
          <w:sz w:val="28"/>
          <w:szCs w:val="28"/>
        </w:rPr>
      </w:pPr>
      <w:r w:rsidRPr="005E6DC2">
        <w:rPr>
          <w:noProof/>
          <w:sz w:val="28"/>
          <w:szCs w:val="28"/>
        </w:rPr>
        <mc:AlternateContent>
          <mc:Choice Requires="wps">
            <w:drawing>
              <wp:anchor distT="0" distB="0" distL="0" distR="0" simplePos="0" relativeHeight="251671552" behindDoc="1" locked="0" layoutInCell="1" allowOverlap="1" wp14:anchorId="14FFB8C2" wp14:editId="315F994F">
                <wp:simplePos x="0" y="0"/>
                <wp:positionH relativeFrom="page">
                  <wp:posOffset>895350</wp:posOffset>
                </wp:positionH>
                <wp:positionV relativeFrom="paragraph">
                  <wp:posOffset>276225</wp:posOffset>
                </wp:positionV>
                <wp:extent cx="5770245" cy="1270"/>
                <wp:effectExtent l="0" t="0" r="0" b="0"/>
                <wp:wrapTopAndBottom/>
                <wp:docPr id="7649445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C07D" id="Freeform 3" o:spid="_x0000_s1026" style="position:absolute;margin-left:70.5pt;margin-top:21.7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" path="m,l9086,e" filled="f" strokecolor="#999" strokeweight="1.5pt">
                <v:path arrowok="t" o:connecttype="custom" o:connectlocs="0,0;5769610,0" o:connectangles="0,0"/>
                <w10:wrap type="topAndBottom" anchorx="page"/>
              </v:shape>
            </w:pict>
          </mc:Fallback>
        </mc:AlternateContent>
      </w:r>
      <w:r w:rsidRPr="005E6DC2">
        <w:rPr>
          <w:color w:val="0071BC"/>
          <w:sz w:val="28"/>
          <w:szCs w:val="28"/>
        </w:rPr>
        <w:t>Dodatkowe lektury</w:t>
      </w:r>
    </w:p>
    <w:p w14:paraId="12C58507" w14:textId="77777777" w:rsidR="005E6DC2" w:rsidRPr="005E6DC2" w:rsidRDefault="005E6DC2" w:rsidP="005E6DC2">
      <w:pPr>
        <w:spacing w:before="1"/>
        <w:rPr>
          <w:sz w:val="9"/>
          <w:szCs w:val="20"/>
        </w:rPr>
      </w:pPr>
    </w:p>
    <w:p w14:paraId="3E8D22C7" w14:textId="77777777" w:rsidR="005E6DC2" w:rsidRPr="005E6DC2" w:rsidRDefault="005E6DC2" w:rsidP="005E6DC2">
      <w:pPr>
        <w:spacing w:before="101"/>
        <w:ind w:left="880"/>
        <w:rPr>
          <w:sz w:val="20"/>
          <w:szCs w:val="20"/>
        </w:rPr>
      </w:pPr>
      <w:r w:rsidRPr="005E6DC2">
        <w:rPr>
          <w:sz w:val="20"/>
          <w:szCs w:val="20"/>
        </w:rPr>
        <w:t>Zobacz w szczególności:</w:t>
      </w:r>
    </w:p>
    <w:p w14:paraId="477BFFD6" w14:textId="508D2B83" w:rsidR="005E6DC2" w:rsidRPr="005E6DC2" w:rsidRDefault="005E6DC2" w:rsidP="005E6DC2">
      <w:pPr>
        <w:numPr>
          <w:ilvl w:val="0"/>
          <w:numId w:val="1"/>
        </w:numPr>
        <w:tabs>
          <w:tab w:val="left" w:pos="1448"/>
        </w:tabs>
        <w:spacing w:before="146"/>
        <w:ind w:right="968"/>
        <w:jc w:val="both"/>
        <w:rPr>
          <w:bCs/>
          <w:color w:val="365F91" w:themeColor="accent1" w:themeShade="BF"/>
          <w:sz w:val="20"/>
          <w:u w:val="single" w:color="000000"/>
        </w:rPr>
      </w:pPr>
      <w:r w:rsidRPr="004C1C28">
        <w:rPr>
          <w:bCs/>
          <w:sz w:val="20"/>
          <w:u w:color="0071BC"/>
        </w:rPr>
        <w:t xml:space="preserve">ECHR Platforma Dzielenia się Wiedzą (ECHR-KS), Tematy Transwersalne, </w:t>
      </w:r>
      <w:hyperlink r:id="rId29" w:history="1">
        <w:r w:rsidRPr="00210517">
          <w:rPr>
            <w:rStyle w:val="Hipercze"/>
            <w:bCs/>
            <w:sz w:val="20"/>
          </w:rPr>
          <w:t>Prawa więźniów</w:t>
        </w:r>
      </w:hyperlink>
    </w:p>
    <w:p w14:paraId="48100257" w14:textId="5E9EDACE" w:rsidR="00383F38" w:rsidRDefault="00D521F2" w:rsidP="005E6DC2">
      <w:pPr>
        <w:pStyle w:val="Tekstpodstawowy"/>
        <w:spacing w:before="4"/>
        <w:rPr>
          <w:sz w:val="18"/>
        </w:rPr>
      </w:pPr>
      <w:r>
        <w:rPr>
          <w:noProof/>
        </w:rPr>
        <mc:AlternateContent>
          <mc:Choice Requires="wps">
            <w:drawing>
              <wp:anchor distT="0" distB="0" distL="0" distR="0" simplePos="0" relativeHeight="251667456" behindDoc="1" locked="0" layoutInCell="1" allowOverlap="1" wp14:anchorId="054A3FB0" wp14:editId="28707385">
                <wp:simplePos x="0" y="0"/>
                <wp:positionH relativeFrom="page">
                  <wp:posOffset>895350</wp:posOffset>
                </wp:positionH>
                <wp:positionV relativeFrom="paragraph">
                  <wp:posOffset>172720</wp:posOffset>
                </wp:positionV>
                <wp:extent cx="5770245"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2172A" id="Freeform 2" o:spid="_x0000_s1026" style="position:absolute;margin-left:70.5pt;margin-top:13.6pt;width:454.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" path="m,l9086,e" filled="f" strokecolor="#999" strokeweight=".96pt">
                <v:path arrowok="t" o:connecttype="custom" o:connectlocs="0,0;5769610,0" o:connectangles="0,0"/>
                <w10:wrap type="topAndBottom" anchorx="page"/>
              </v:shape>
            </w:pict>
          </mc:Fallback>
        </mc:AlternateContent>
      </w:r>
    </w:p>
    <w:p w14:paraId="29369222" w14:textId="77777777" w:rsidR="00383F38" w:rsidRDefault="00383F38">
      <w:pPr>
        <w:pStyle w:val="Tekstpodstawowy"/>
        <w:spacing w:before="1"/>
        <w:rPr>
          <w:sz w:val="19"/>
        </w:rPr>
      </w:pPr>
    </w:p>
    <w:p w14:paraId="2D90E39E" w14:textId="77777777" w:rsidR="00383F38" w:rsidRDefault="003E5B5E">
      <w:pPr>
        <w:spacing w:before="100" w:line="243" w:lineRule="exact"/>
        <w:ind w:left="3998" w:right="4087"/>
        <w:jc w:val="center"/>
        <w:rPr>
          <w:b/>
          <w:sz w:val="20"/>
        </w:rPr>
      </w:pPr>
      <w:r>
        <w:rPr>
          <w:b/>
          <w:bCs/>
          <w:color w:val="7F7F7F"/>
          <w:sz w:val="20"/>
        </w:rPr>
        <w:t>Kontakt dla mediów:</w:t>
      </w:r>
    </w:p>
    <w:p w14:paraId="2A78DFE5" w14:textId="77777777" w:rsidR="00383F38" w:rsidRDefault="003E5B5E">
      <w:pPr>
        <w:pStyle w:val="Tekstpodstawowy"/>
        <w:spacing w:line="243" w:lineRule="exact"/>
        <w:ind w:left="3999" w:right="4087"/>
        <w:jc w:val="center"/>
      </w:pPr>
      <w:r>
        <w:rPr>
          <w:color w:val="7F7F7F"/>
        </w:rPr>
        <w:t>Tel.: +33 (0)3 90 21 42 08</w:t>
      </w:r>
    </w:p>
    <w:sectPr w:rsidR="00383F38" w:rsidSect="00280C0F">
      <w:headerReference w:type="default" r:id="rId30"/>
      <w:footerReference w:type="default" r:id="rId31"/>
      <w:pgSz w:w="11900" w:h="16840"/>
      <w:pgMar w:top="1400" w:right="460" w:bottom="680" w:left="560" w:header="715" w:footer="50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A97D0" w14:textId="77777777" w:rsidR="00BF70A6" w:rsidRDefault="00BF70A6" w:rsidP="00383F38">
      <w:r>
        <w:separator/>
      </w:r>
    </w:p>
  </w:endnote>
  <w:endnote w:type="continuationSeparator" w:id="0">
    <w:p w14:paraId="7214AEBA" w14:textId="77777777" w:rsidR="00BF70A6" w:rsidRDefault="00BF70A6" w:rsidP="0038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AA9A" w14:textId="10F6D80A" w:rsidR="00383F38" w:rsidRDefault="00D521F2">
    <w:pPr>
      <w:pStyle w:val="Tekstpodstawowy"/>
      <w:spacing w:line="14" w:lineRule="auto"/>
    </w:pPr>
    <w:r>
      <w:rPr>
        <w:noProof/>
      </w:rPr>
      <mc:AlternateContent>
        <mc:Choice Requires="wps">
          <w:drawing>
            <wp:anchor distT="0" distB="0" distL="114300" distR="114300" simplePos="0" relativeHeight="251465728" behindDoc="1" locked="0" layoutInCell="1" allowOverlap="1" wp14:anchorId="60A23ECE" wp14:editId="6118D6D7">
              <wp:simplePos x="0" y="0"/>
              <wp:positionH relativeFrom="page">
                <wp:posOffset>3702050</wp:posOffset>
              </wp:positionH>
              <wp:positionV relativeFrom="page">
                <wp:posOffset>10236200</wp:posOffset>
              </wp:positionV>
              <wp:extent cx="15748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7409" w14:textId="77777777" w:rsidR="00383F38" w:rsidRDefault="00383F38">
                          <w:pPr>
                            <w:pStyle w:val="Tekstpodstawowy"/>
                            <w:spacing w:before="20"/>
                            <w:ind w:left="60"/>
                          </w:pPr>
                          <w:r>
                            <w:fldChar w:fldCharType="begin"/>
                          </w:r>
                          <w:r w:rsidR="003E5B5E">
                            <w:instrText xml:space="preserve"> PAGE </w:instrText>
                          </w:r>
                          <w:r>
                            <w:fldChar w:fldCharType="separate"/>
                          </w:r>
                          <w:r w:rsidR="003E5B5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23ECE" id="_x0000_t202" coordsize="21600,21600" o:spt="202" path="m,l,21600r21600,l21600,xe">
              <v:stroke joinstyle="miter"/>
              <v:path gradientshapeok="t" o:connecttype="rect"/>
            </v:shapetype>
            <v:shape id="Text Box 1" o:spid="_x0000_s1027" type="#_x0000_t202" style="position:absolute;margin-left:291.5pt;margin-top:806pt;width:12.4pt;height:14.2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" filled="f" stroked="f">
              <v:textbox inset="0,0,0,0">
                <w:txbxContent>
                  <w:p w14:paraId="1FB77409" w14:textId="77777777" w:rsidR="00383F38" w:rsidRDefault="00383F38">
                    <w:pPr>
                      <w:pStyle w:val="Tekstpodstawowy"/>
                      <w:spacing w:before="20"/>
                      <w:ind w:left="60"/>
                    </w:pPr>
                    <w:r>
                      <w:fldChar w:fldCharType="begin"/>
                    </w:r>
                    <w:r w:rsidR="003E5B5E">
                      <w:instrText xml:space="preserve"> PAGE </w:instrText>
                    </w:r>
                    <w:r>
                      <w:fldChar w:fldCharType="separate"/>
                    </w:r>
                    <w:r w:rsidR="003E5B5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4A4E" w14:textId="77777777" w:rsidR="00BF70A6" w:rsidRDefault="00BF70A6" w:rsidP="00383F38">
      <w:r>
        <w:separator/>
      </w:r>
    </w:p>
  </w:footnote>
  <w:footnote w:type="continuationSeparator" w:id="0">
    <w:p w14:paraId="59009426" w14:textId="77777777" w:rsidR="00BF70A6" w:rsidRDefault="00BF70A6" w:rsidP="00383F38">
      <w:r>
        <w:continuationSeparator/>
      </w:r>
    </w:p>
  </w:footnote>
  <w:footnote w:id="1">
    <w:p w14:paraId="796B6059" w14:textId="2A857B57" w:rsidR="00E8322D" w:rsidRDefault="00E8322D" w:rsidP="00DD4355">
      <w:pPr>
        <w:pStyle w:val="Tekstprzypisudolnego"/>
      </w:pPr>
      <w:r>
        <w:rPr>
          <w:rStyle w:val="Odwoanieprzypisudolnego"/>
        </w:rPr>
        <w:footnoteRef/>
      </w:r>
      <w:r>
        <w:t xml:space="preserve"> </w:t>
      </w:r>
      <w:r w:rsidRPr="00E8322D">
        <w:rPr>
          <w:sz w:val="16"/>
          <w:szCs w:val="16"/>
        </w:rPr>
        <w:t xml:space="preserve">16 września 2022 r. </w:t>
      </w:r>
      <w:r w:rsidR="00DD4355">
        <w:rPr>
          <w:sz w:val="16"/>
          <w:szCs w:val="16"/>
        </w:rPr>
        <w:t xml:space="preserve">Federacja Rosyjska </w:t>
      </w:r>
      <w:r>
        <w:rPr>
          <w:sz w:val="16"/>
          <w:szCs w:val="16"/>
        </w:rPr>
        <w:t xml:space="preserve">przestała być </w:t>
      </w:r>
      <w:r w:rsidR="00DD4355">
        <w:rPr>
          <w:sz w:val="16"/>
          <w:szCs w:val="16"/>
        </w:rPr>
        <w:t>s</w:t>
      </w:r>
      <w:r>
        <w:rPr>
          <w:sz w:val="16"/>
          <w:szCs w:val="16"/>
        </w:rPr>
        <w:t xml:space="preserve">troną Europejskiej Konwencji </w:t>
      </w:r>
      <w:r w:rsidR="00DD4355">
        <w:rPr>
          <w:sz w:val="16"/>
          <w:szCs w:val="16"/>
        </w:rPr>
        <w:t>Praw Człowieka</w:t>
      </w:r>
      <w:r>
        <w:rPr>
          <w:sz w:val="16"/>
          <w:szCs w:val="16"/>
        </w:rPr>
        <w:t xml:space="preserve"> („Konwencji”).</w:t>
      </w:r>
    </w:p>
  </w:footnote>
  <w:footnote w:id="2">
    <w:p w14:paraId="6FD5E3D8" w14:textId="7427C0ED" w:rsidR="00DD4355" w:rsidRDefault="00DD4355">
      <w:pPr>
        <w:pStyle w:val="Tekstprzypisudolnego"/>
      </w:pPr>
      <w:r>
        <w:rPr>
          <w:rStyle w:val="Odwoanieprzypisudolnego"/>
        </w:rPr>
        <w:footnoteRef/>
      </w:r>
      <w:r>
        <w:t xml:space="preserve"> </w:t>
      </w:r>
      <w:r w:rsidRPr="00E8322D">
        <w:rPr>
          <w:sz w:val="16"/>
          <w:szCs w:val="16"/>
        </w:rPr>
        <w:t xml:space="preserve">16 września 2022 r. </w:t>
      </w:r>
      <w:r>
        <w:rPr>
          <w:sz w:val="16"/>
          <w:szCs w:val="16"/>
        </w:rPr>
        <w:t>Federacja Rosyjska przestała być stroną Konwencji.</w:t>
      </w:r>
    </w:p>
  </w:footnote>
  <w:footnote w:id="3">
    <w:p w14:paraId="01F4C299" w14:textId="0D3B3162" w:rsidR="00DD4355" w:rsidRDefault="00DD4355">
      <w:pPr>
        <w:pStyle w:val="Tekstprzypisudolnego"/>
      </w:pPr>
      <w:r>
        <w:rPr>
          <w:rStyle w:val="Odwoanieprzypisudolnego"/>
        </w:rPr>
        <w:footnoteRef/>
      </w:r>
      <w:r>
        <w:t xml:space="preserve"> </w:t>
      </w:r>
      <w:r w:rsidRPr="00E8322D">
        <w:rPr>
          <w:sz w:val="16"/>
          <w:szCs w:val="16"/>
        </w:rPr>
        <w:t xml:space="preserve">16 września 2022 r. </w:t>
      </w:r>
      <w:r>
        <w:rPr>
          <w:sz w:val="16"/>
          <w:szCs w:val="16"/>
        </w:rPr>
        <w:t>Federacja Rosyjska przestała być stroną Konwencji.</w:t>
      </w:r>
    </w:p>
  </w:footnote>
  <w:footnote w:id="4">
    <w:p w14:paraId="7C4DBC09" w14:textId="1F308C03" w:rsidR="00DD4355" w:rsidRDefault="00DD4355">
      <w:pPr>
        <w:pStyle w:val="Tekstprzypisudolnego"/>
      </w:pPr>
      <w:r>
        <w:rPr>
          <w:rStyle w:val="Odwoanieprzypisudolnego"/>
        </w:rPr>
        <w:footnoteRef/>
      </w:r>
      <w:r>
        <w:t xml:space="preserve"> </w:t>
      </w:r>
      <w:r w:rsidRPr="00E8322D">
        <w:rPr>
          <w:sz w:val="16"/>
          <w:szCs w:val="16"/>
        </w:rPr>
        <w:t xml:space="preserve">16 września 2022 r. </w:t>
      </w:r>
      <w:r>
        <w:rPr>
          <w:sz w:val="16"/>
          <w:szCs w:val="16"/>
        </w:rPr>
        <w:t>Federacja Rosyjska przestała być stroną Konwencji.</w:t>
      </w:r>
    </w:p>
  </w:footnote>
  <w:footnote w:id="5">
    <w:p w14:paraId="1C1539A2" w14:textId="4F6DEF14" w:rsidR="00DD4355" w:rsidRDefault="00DD4355">
      <w:pPr>
        <w:pStyle w:val="Tekstprzypisudolnego"/>
      </w:pPr>
      <w:r>
        <w:rPr>
          <w:rStyle w:val="Odwoanieprzypisudolnego"/>
        </w:rPr>
        <w:footnoteRef/>
      </w:r>
      <w:r>
        <w:t xml:space="preserve"> </w:t>
      </w:r>
      <w:r w:rsidRPr="00E8322D">
        <w:rPr>
          <w:sz w:val="16"/>
          <w:szCs w:val="16"/>
        </w:rPr>
        <w:t xml:space="preserve">16 września 2022 r. </w:t>
      </w:r>
      <w:r>
        <w:rPr>
          <w:sz w:val="16"/>
          <w:szCs w:val="16"/>
        </w:rPr>
        <w:t>Federacja Rosyjska przestała być stroną Konwencji.</w:t>
      </w:r>
    </w:p>
  </w:footnote>
  <w:footnote w:id="6">
    <w:p w14:paraId="586CC801" w14:textId="0A92AD45" w:rsidR="00DD4355" w:rsidRDefault="00DD4355">
      <w:pPr>
        <w:pStyle w:val="Tekstprzypisudolnego"/>
      </w:pPr>
      <w:r>
        <w:rPr>
          <w:rStyle w:val="Odwoanieprzypisudolnego"/>
        </w:rPr>
        <w:footnoteRef/>
      </w:r>
      <w:r>
        <w:t xml:space="preserve"> </w:t>
      </w:r>
      <w:r w:rsidRPr="00E8322D">
        <w:rPr>
          <w:sz w:val="16"/>
          <w:szCs w:val="16"/>
        </w:rPr>
        <w:t xml:space="preserve">16 września 2022 r. </w:t>
      </w:r>
      <w:r>
        <w:rPr>
          <w:sz w:val="16"/>
          <w:szCs w:val="16"/>
        </w:rPr>
        <w:t>Federacja Rosyjska przestała być stroną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A9EE" w14:textId="189AD7C3" w:rsidR="00383F38" w:rsidRDefault="00D521F2">
    <w:pPr>
      <w:pStyle w:val="Tekstpodstawowy"/>
      <w:spacing w:line="14" w:lineRule="auto"/>
    </w:pPr>
    <w:r>
      <w:rPr>
        <w:noProof/>
      </w:rPr>
      <mc:AlternateContent>
        <mc:Choice Requires="wps">
          <w:drawing>
            <wp:anchor distT="0" distB="0" distL="114300" distR="114300" simplePos="0" relativeHeight="251464704" behindDoc="1" locked="0" layoutInCell="1" allowOverlap="1" wp14:anchorId="3506CAE3" wp14:editId="69B9D12F">
              <wp:simplePos x="0" y="0"/>
              <wp:positionH relativeFrom="page">
                <wp:posOffset>436880</wp:posOffset>
              </wp:positionH>
              <wp:positionV relativeFrom="page">
                <wp:posOffset>500380</wp:posOffset>
              </wp:positionV>
              <wp:extent cx="4324350" cy="406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A896" w14:textId="77777777" w:rsidR="00383F38" w:rsidRDefault="003E5B5E">
                          <w:pPr>
                            <w:pStyle w:val="Tekstpodstawowy"/>
                            <w:spacing w:before="20"/>
                            <w:ind w:left="20"/>
                          </w:pPr>
                          <w:r>
                            <w:t>Zestawienie tematyczne – Prawo do poszanowania życia rodzinnego więźniów osadzonych w odległych zakładach karnych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6CAE3" id="_x0000_t202" coordsize="21600,21600" o:spt="202" path="m,l,21600r21600,l21600,xe">
              <v:stroke joinstyle="miter"/>
              <v:path gradientshapeok="t" o:connecttype="rect"/>
            </v:shapetype>
            <v:shape id="Text Box 2" o:spid="_x0000_s1026" type="#_x0000_t202" style="position:absolute;margin-left:34.4pt;margin-top:39.4pt;width:340.5pt;height:32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" filled="f" stroked="f">
              <v:textbox inset="0,0,0,0">
                <w:txbxContent>
                  <w:p w14:paraId="7FA1A896" w14:textId="77777777" w:rsidR="00383F38" w:rsidRDefault="003E5B5E">
                    <w:pPr>
                      <w:pStyle w:val="Tekstpodstawowy"/>
                      <w:spacing w:before="20"/>
                      <w:ind w:left="20"/>
                    </w:pPr>
                    <w:r>
                      <w:t>Zestawienie tematyczne – Prawo do poszanowania życia rodzinnego więźniów osadzonych w odległych zakładach karnych</w:t>
                    </w:r>
                  </w:p>
                </w:txbxContent>
              </v:textbox>
              <w10:wrap anchorx="page" anchory="page"/>
            </v:shape>
          </w:pict>
        </mc:Fallback>
      </mc:AlternateContent>
    </w:r>
    <w:r w:rsidR="003E5B5E">
      <w:rPr>
        <w:noProof/>
        <w:lang w:eastAsia="pl-PL" w:bidi="ar-SA"/>
      </w:rPr>
      <w:drawing>
        <wp:anchor distT="0" distB="0" distL="0" distR="0" simplePos="0" relativeHeight="251462656" behindDoc="1" locked="0" layoutInCell="1" allowOverlap="1" wp14:anchorId="1904FA3A" wp14:editId="6F003D70">
          <wp:simplePos x="0" y="0"/>
          <wp:positionH relativeFrom="page">
            <wp:posOffset>5903976</wp:posOffset>
          </wp:positionH>
          <wp:positionV relativeFrom="page">
            <wp:posOffset>454151</wp:posOffset>
          </wp:positionV>
          <wp:extent cx="1316735" cy="377951"/>
          <wp:effectExtent l="0" t="0" r="0" b="0"/>
          <wp:wrapNone/>
          <wp:docPr id="4"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jpeg"/>
                  <pic:cNvPicPr/>
                </pic:nvPicPr>
                <pic:blipFill>
                  <a:blip r:embed="rId1" cstate="print"/>
                  <a:stretch>
                    <a:fillRect/>
                  </a:stretch>
                </pic:blipFill>
                <pic:spPr>
                  <a:xfrm>
                    <a:off x="0" y="0"/>
                    <a:ext cx="1316735" cy="377951"/>
                  </a:xfrm>
                  <a:prstGeom prst="rect">
                    <a:avLst/>
                  </a:prstGeom>
                </pic:spPr>
              </pic:pic>
            </a:graphicData>
          </a:graphic>
        </wp:anchor>
      </w:drawing>
    </w:r>
    <w:r>
      <w:rPr>
        <w:noProof/>
      </w:rPr>
      <mc:AlternateContent>
        <mc:Choice Requires="wpg">
          <w:drawing>
            <wp:anchor distT="0" distB="0" distL="114300" distR="114300" simplePos="0" relativeHeight="251463680" behindDoc="1" locked="0" layoutInCell="1" allowOverlap="1" wp14:anchorId="7741DEA1" wp14:editId="3A994D1F">
              <wp:simplePos x="0" y="0"/>
              <wp:positionH relativeFrom="page">
                <wp:posOffset>437515</wp:posOffset>
              </wp:positionH>
              <wp:positionV relativeFrom="page">
                <wp:posOffset>887730</wp:posOffset>
              </wp:positionV>
              <wp:extent cx="6794500" cy="127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689" y="1398"/>
                        <a:chExt cx="10700" cy="20"/>
                      </a:xfrm>
                    </wpg:grpSpPr>
                    <wps:wsp>
                      <wps:cNvPr id="7" name="Line 7"/>
                      <wps:cNvCnPr>
                        <a:cxnSpLocks noChangeShapeType="1"/>
                      </wps:cNvCnPr>
                      <wps:spPr bwMode="auto">
                        <a:xfrm>
                          <a:off x="689" y="1408"/>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674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6768" y="1408"/>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4"/>
                      <wps:cNvSpPr>
                        <a:spLocks noChangeArrowheads="1"/>
                      </wps:cNvSpPr>
                      <wps:spPr bwMode="auto">
                        <a:xfrm>
                          <a:off x="1136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7B6DC" id="Group 3" o:spid="_x0000_s1026" style="position:absolute;margin-left:34.45pt;margin-top:69.9pt;width:535pt;height:1pt;z-index:-251852800;mso-position-horizontal-relative:page;mso-position-vertical-relative:page" coordorigin="689,1398"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">
              <v:line id="Line 7" o:spid="_x0000_s1027" style="position:absolute;visibility:visible;mso-wrap-style:square" from="689,1408" to="674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" strokecolor="#7f7f7f" strokeweight=".96pt"/>
              <v:rect id="Rectangle 6" o:spid="_x0000_s1028" style="position:absolute;left:674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" fillcolor="#7f7f7f" stroked="f"/>
              <v:line id="Line 5" o:spid="_x0000_s1029" style="position:absolute;visibility:visible;mso-wrap-style:square" from="6768,1408" to="1136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" strokecolor="#7f7f7f" strokeweight=".96pt"/>
              <v:rect id="Rectangle 4" o:spid="_x0000_s1030" style="position:absolute;left:1136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" fillcolor="#7f7f7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F398D"/>
    <w:multiLevelType w:val="hybridMultilevel"/>
    <w:tmpl w:val="3B601CE0"/>
    <w:lvl w:ilvl="0" w:tplc="0C7C44E6">
      <w:numFmt w:val="bullet"/>
      <w:lvlText w:val="-"/>
      <w:lvlJc w:val="left"/>
      <w:pPr>
        <w:ind w:left="1447" w:hanging="284"/>
      </w:pPr>
      <w:rPr>
        <w:rFonts w:ascii="Verdana" w:eastAsia="Verdana" w:hAnsi="Verdana" w:cs="Verdana" w:hint="default"/>
        <w:w w:val="100"/>
        <w:sz w:val="20"/>
        <w:szCs w:val="20"/>
        <w:lang w:val="en-US" w:eastAsia="en-US" w:bidi="en-US"/>
      </w:rPr>
    </w:lvl>
    <w:lvl w:ilvl="1" w:tplc="8A823196">
      <w:numFmt w:val="bullet"/>
      <w:lvlText w:val="•"/>
      <w:lvlJc w:val="left"/>
      <w:pPr>
        <w:ind w:left="2384" w:hanging="284"/>
      </w:pPr>
      <w:rPr>
        <w:lang w:val="en-US" w:eastAsia="en-US" w:bidi="en-US"/>
      </w:rPr>
    </w:lvl>
    <w:lvl w:ilvl="2" w:tplc="A4F03200">
      <w:numFmt w:val="bullet"/>
      <w:lvlText w:val="•"/>
      <w:lvlJc w:val="left"/>
      <w:pPr>
        <w:ind w:left="3328" w:hanging="284"/>
      </w:pPr>
      <w:rPr>
        <w:lang w:val="en-US" w:eastAsia="en-US" w:bidi="en-US"/>
      </w:rPr>
    </w:lvl>
    <w:lvl w:ilvl="3" w:tplc="AA1EF4AE">
      <w:numFmt w:val="bullet"/>
      <w:lvlText w:val="•"/>
      <w:lvlJc w:val="left"/>
      <w:pPr>
        <w:ind w:left="4272" w:hanging="284"/>
      </w:pPr>
      <w:rPr>
        <w:lang w:val="en-US" w:eastAsia="en-US" w:bidi="en-US"/>
      </w:rPr>
    </w:lvl>
    <w:lvl w:ilvl="4" w:tplc="5D0269A2">
      <w:numFmt w:val="bullet"/>
      <w:lvlText w:val="•"/>
      <w:lvlJc w:val="left"/>
      <w:pPr>
        <w:ind w:left="5216" w:hanging="284"/>
      </w:pPr>
      <w:rPr>
        <w:lang w:val="en-US" w:eastAsia="en-US" w:bidi="en-US"/>
      </w:rPr>
    </w:lvl>
    <w:lvl w:ilvl="5" w:tplc="E60AAFD4">
      <w:numFmt w:val="bullet"/>
      <w:lvlText w:val="•"/>
      <w:lvlJc w:val="left"/>
      <w:pPr>
        <w:ind w:left="6160" w:hanging="284"/>
      </w:pPr>
      <w:rPr>
        <w:lang w:val="en-US" w:eastAsia="en-US" w:bidi="en-US"/>
      </w:rPr>
    </w:lvl>
    <w:lvl w:ilvl="6" w:tplc="C8306A7E">
      <w:numFmt w:val="bullet"/>
      <w:lvlText w:val="•"/>
      <w:lvlJc w:val="left"/>
      <w:pPr>
        <w:ind w:left="7104" w:hanging="284"/>
      </w:pPr>
      <w:rPr>
        <w:lang w:val="en-US" w:eastAsia="en-US" w:bidi="en-US"/>
      </w:rPr>
    </w:lvl>
    <w:lvl w:ilvl="7" w:tplc="BFBC400A">
      <w:numFmt w:val="bullet"/>
      <w:lvlText w:val="•"/>
      <w:lvlJc w:val="left"/>
      <w:pPr>
        <w:ind w:left="8048" w:hanging="284"/>
      </w:pPr>
      <w:rPr>
        <w:lang w:val="en-US" w:eastAsia="en-US" w:bidi="en-US"/>
      </w:rPr>
    </w:lvl>
    <w:lvl w:ilvl="8" w:tplc="29F4C98E">
      <w:numFmt w:val="bullet"/>
      <w:lvlText w:val="•"/>
      <w:lvlJc w:val="left"/>
      <w:pPr>
        <w:ind w:left="8992" w:hanging="284"/>
      </w:pPr>
      <w:rPr>
        <w:lang w:val="en-US" w:eastAsia="en-US" w:bidi="en-US"/>
      </w:rPr>
    </w:lvl>
  </w:abstractNum>
  <w:num w:numId="1" w16cid:durableId="90367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38"/>
    <w:rsid w:val="0000023F"/>
    <w:rsid w:val="00045A4A"/>
    <w:rsid w:val="00047172"/>
    <w:rsid w:val="0006550E"/>
    <w:rsid w:val="000A32D3"/>
    <w:rsid w:val="000F2959"/>
    <w:rsid w:val="001241E4"/>
    <w:rsid w:val="00156F34"/>
    <w:rsid w:val="001622BC"/>
    <w:rsid w:val="00182295"/>
    <w:rsid w:val="00193B3A"/>
    <w:rsid w:val="001C2049"/>
    <w:rsid w:val="00210517"/>
    <w:rsid w:val="00223BCA"/>
    <w:rsid w:val="002326D7"/>
    <w:rsid w:val="00280C0F"/>
    <w:rsid w:val="00294782"/>
    <w:rsid w:val="002D1AA2"/>
    <w:rsid w:val="00383F38"/>
    <w:rsid w:val="00392BC9"/>
    <w:rsid w:val="003E5B5E"/>
    <w:rsid w:val="004557BC"/>
    <w:rsid w:val="00461923"/>
    <w:rsid w:val="004A06E2"/>
    <w:rsid w:val="004A3CD9"/>
    <w:rsid w:val="004C1C28"/>
    <w:rsid w:val="004E6C4C"/>
    <w:rsid w:val="004F3B0D"/>
    <w:rsid w:val="00572F28"/>
    <w:rsid w:val="00575C3B"/>
    <w:rsid w:val="005849A4"/>
    <w:rsid w:val="005E6DC2"/>
    <w:rsid w:val="005E74B4"/>
    <w:rsid w:val="005F57B4"/>
    <w:rsid w:val="00601104"/>
    <w:rsid w:val="00654A70"/>
    <w:rsid w:val="006569B2"/>
    <w:rsid w:val="006702BF"/>
    <w:rsid w:val="00674A1A"/>
    <w:rsid w:val="006A3A56"/>
    <w:rsid w:val="006D1C6D"/>
    <w:rsid w:val="007524A4"/>
    <w:rsid w:val="008121F9"/>
    <w:rsid w:val="00856EF7"/>
    <w:rsid w:val="008E469B"/>
    <w:rsid w:val="009173F4"/>
    <w:rsid w:val="00927A66"/>
    <w:rsid w:val="00956771"/>
    <w:rsid w:val="00964251"/>
    <w:rsid w:val="00980487"/>
    <w:rsid w:val="00983680"/>
    <w:rsid w:val="009F19AE"/>
    <w:rsid w:val="009F2CA1"/>
    <w:rsid w:val="009F33E5"/>
    <w:rsid w:val="00A15E89"/>
    <w:rsid w:val="00A8217E"/>
    <w:rsid w:val="00AA183E"/>
    <w:rsid w:val="00BB0BB1"/>
    <w:rsid w:val="00BF70A6"/>
    <w:rsid w:val="00C6321E"/>
    <w:rsid w:val="00CB109D"/>
    <w:rsid w:val="00CC2738"/>
    <w:rsid w:val="00CD4D67"/>
    <w:rsid w:val="00D11477"/>
    <w:rsid w:val="00D504E7"/>
    <w:rsid w:val="00D521F2"/>
    <w:rsid w:val="00D54991"/>
    <w:rsid w:val="00DA0431"/>
    <w:rsid w:val="00DB2194"/>
    <w:rsid w:val="00DB3180"/>
    <w:rsid w:val="00DD4355"/>
    <w:rsid w:val="00DF6960"/>
    <w:rsid w:val="00E1633D"/>
    <w:rsid w:val="00E31018"/>
    <w:rsid w:val="00E41F10"/>
    <w:rsid w:val="00E82949"/>
    <w:rsid w:val="00E8322D"/>
    <w:rsid w:val="00EE6D0B"/>
    <w:rsid w:val="00F62786"/>
    <w:rsid w:val="00F718AE"/>
    <w:rsid w:val="00F73806"/>
    <w:rsid w:val="00FA13A0"/>
    <w:rsid w:val="00FB3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CFFAA"/>
  <w15:docId w15:val="{6D31833B-FAC8-4FD1-A286-FE139A5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83F38"/>
    <w:rPr>
      <w:rFonts w:ascii="Verdana" w:eastAsia="Verdana" w:hAnsi="Verdana" w:cs="Verdana"/>
      <w:lang w:bidi="en-US"/>
    </w:rPr>
  </w:style>
  <w:style w:type="paragraph" w:styleId="Nagwek1">
    <w:name w:val="heading 1"/>
    <w:basedOn w:val="Normalny"/>
    <w:next w:val="Normalny"/>
    <w:link w:val="Nagwek1Znak"/>
    <w:uiPriority w:val="9"/>
    <w:qFormat/>
    <w:rsid w:val="005E6D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A821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83F38"/>
    <w:tblPr>
      <w:tblInd w:w="0" w:type="dxa"/>
      <w:tblCellMar>
        <w:top w:w="0" w:type="dxa"/>
        <w:left w:w="0" w:type="dxa"/>
        <w:bottom w:w="0" w:type="dxa"/>
        <w:right w:w="0" w:type="dxa"/>
      </w:tblCellMar>
    </w:tblPr>
  </w:style>
  <w:style w:type="paragraph" w:styleId="Tekstpodstawowy">
    <w:name w:val="Body Text"/>
    <w:basedOn w:val="Normalny"/>
    <w:uiPriority w:val="1"/>
    <w:qFormat/>
    <w:rsid w:val="00383F38"/>
    <w:rPr>
      <w:sz w:val="20"/>
      <w:szCs w:val="20"/>
    </w:rPr>
  </w:style>
  <w:style w:type="paragraph" w:customStyle="1" w:styleId="Nagwek11">
    <w:name w:val="Nagłówek 11"/>
    <w:basedOn w:val="Normalny"/>
    <w:uiPriority w:val="1"/>
    <w:qFormat/>
    <w:rsid w:val="00383F38"/>
    <w:pPr>
      <w:spacing w:before="120"/>
      <w:ind w:left="880"/>
      <w:jc w:val="both"/>
      <w:outlineLvl w:val="1"/>
    </w:pPr>
    <w:rPr>
      <w:b/>
      <w:bCs/>
      <w:sz w:val="20"/>
      <w:szCs w:val="20"/>
      <w:u w:val="single" w:color="000000"/>
    </w:rPr>
  </w:style>
  <w:style w:type="paragraph" w:styleId="Akapitzlist">
    <w:name w:val="List Paragraph"/>
    <w:basedOn w:val="Normalny"/>
    <w:uiPriority w:val="1"/>
    <w:qFormat/>
    <w:rsid w:val="00383F38"/>
  </w:style>
  <w:style w:type="paragraph" w:customStyle="1" w:styleId="TableParagraph">
    <w:name w:val="Table Paragraph"/>
    <w:basedOn w:val="Normalny"/>
    <w:uiPriority w:val="1"/>
    <w:qFormat/>
    <w:rsid w:val="00383F38"/>
  </w:style>
  <w:style w:type="paragraph" w:styleId="Tekstdymka">
    <w:name w:val="Balloon Text"/>
    <w:basedOn w:val="Normalny"/>
    <w:link w:val="TekstdymkaZnak"/>
    <w:uiPriority w:val="99"/>
    <w:semiHidden/>
    <w:unhideWhenUsed/>
    <w:rsid w:val="003E5B5E"/>
    <w:rPr>
      <w:rFonts w:ascii="Tahoma" w:hAnsi="Tahoma" w:cs="Tahoma"/>
      <w:sz w:val="16"/>
      <w:szCs w:val="16"/>
    </w:rPr>
  </w:style>
  <w:style w:type="character" w:customStyle="1" w:styleId="TekstdymkaZnak">
    <w:name w:val="Tekst dymka Znak"/>
    <w:basedOn w:val="Domylnaczcionkaakapitu"/>
    <w:link w:val="Tekstdymka"/>
    <w:uiPriority w:val="99"/>
    <w:semiHidden/>
    <w:rsid w:val="003E5B5E"/>
    <w:rPr>
      <w:rFonts w:ascii="Tahoma" w:eastAsia="Verdana" w:hAnsi="Tahoma" w:cs="Tahoma"/>
      <w:sz w:val="16"/>
      <w:szCs w:val="16"/>
      <w:lang w:bidi="en-US"/>
    </w:rPr>
  </w:style>
  <w:style w:type="paragraph" w:styleId="Nagwek">
    <w:name w:val="header"/>
    <w:basedOn w:val="Normalny"/>
    <w:link w:val="NagwekZnak"/>
    <w:uiPriority w:val="99"/>
    <w:unhideWhenUsed/>
    <w:rsid w:val="003E5B5E"/>
    <w:pPr>
      <w:tabs>
        <w:tab w:val="center" w:pos="4536"/>
        <w:tab w:val="right" w:pos="9072"/>
      </w:tabs>
    </w:pPr>
  </w:style>
  <w:style w:type="character" w:customStyle="1" w:styleId="NagwekZnak">
    <w:name w:val="Nagłówek Znak"/>
    <w:basedOn w:val="Domylnaczcionkaakapitu"/>
    <w:link w:val="Nagwek"/>
    <w:uiPriority w:val="99"/>
    <w:rsid w:val="003E5B5E"/>
    <w:rPr>
      <w:rFonts w:ascii="Verdana" w:eastAsia="Verdana" w:hAnsi="Verdana" w:cs="Verdana"/>
      <w:lang w:bidi="en-US"/>
    </w:rPr>
  </w:style>
  <w:style w:type="paragraph" w:styleId="Stopka">
    <w:name w:val="footer"/>
    <w:basedOn w:val="Normalny"/>
    <w:link w:val="StopkaZnak"/>
    <w:uiPriority w:val="99"/>
    <w:unhideWhenUsed/>
    <w:rsid w:val="003E5B5E"/>
    <w:pPr>
      <w:tabs>
        <w:tab w:val="center" w:pos="4536"/>
        <w:tab w:val="right" w:pos="9072"/>
      </w:tabs>
    </w:pPr>
  </w:style>
  <w:style w:type="character" w:customStyle="1" w:styleId="StopkaZnak">
    <w:name w:val="Stopka Znak"/>
    <w:basedOn w:val="Domylnaczcionkaakapitu"/>
    <w:link w:val="Stopka"/>
    <w:uiPriority w:val="99"/>
    <w:rsid w:val="003E5B5E"/>
    <w:rPr>
      <w:rFonts w:ascii="Verdana" w:eastAsia="Verdana" w:hAnsi="Verdana" w:cs="Verdana"/>
      <w:lang w:bidi="en-US"/>
    </w:rPr>
  </w:style>
  <w:style w:type="character" w:customStyle="1" w:styleId="Nagwek3Znak">
    <w:name w:val="Nagłówek 3 Znak"/>
    <w:basedOn w:val="Domylnaczcionkaakapitu"/>
    <w:link w:val="Nagwek3"/>
    <w:uiPriority w:val="9"/>
    <w:rsid w:val="00A8217E"/>
    <w:rPr>
      <w:rFonts w:asciiTheme="majorHAnsi" w:eastAsiaTheme="majorEastAsia" w:hAnsiTheme="majorHAnsi" w:cstheme="majorBidi"/>
      <w:color w:val="243F60" w:themeColor="accent1" w:themeShade="7F"/>
      <w:sz w:val="24"/>
      <w:szCs w:val="24"/>
      <w:lang w:bidi="en-US"/>
    </w:rPr>
  </w:style>
  <w:style w:type="paragraph" w:customStyle="1" w:styleId="Default">
    <w:name w:val="Default"/>
    <w:rsid w:val="00182295"/>
    <w:pPr>
      <w:widowControl/>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semiHidden/>
    <w:unhideWhenUsed/>
    <w:rsid w:val="00E8322D"/>
    <w:rPr>
      <w:sz w:val="20"/>
      <w:szCs w:val="20"/>
    </w:rPr>
  </w:style>
  <w:style w:type="character" w:customStyle="1" w:styleId="TekstprzypisudolnegoZnak">
    <w:name w:val="Tekst przypisu dolnego Znak"/>
    <w:basedOn w:val="Domylnaczcionkaakapitu"/>
    <w:link w:val="Tekstprzypisudolnego"/>
    <w:uiPriority w:val="99"/>
    <w:semiHidden/>
    <w:rsid w:val="00E8322D"/>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E8322D"/>
    <w:rPr>
      <w:vertAlign w:val="superscript"/>
    </w:rPr>
  </w:style>
  <w:style w:type="character" w:customStyle="1" w:styleId="Nagwek1Znak">
    <w:name w:val="Nagłówek 1 Znak"/>
    <w:basedOn w:val="Domylnaczcionkaakapitu"/>
    <w:link w:val="Nagwek1"/>
    <w:uiPriority w:val="9"/>
    <w:rsid w:val="005E6DC2"/>
    <w:rPr>
      <w:rFonts w:asciiTheme="majorHAnsi" w:eastAsiaTheme="majorEastAsia" w:hAnsiTheme="majorHAnsi" w:cstheme="majorBidi"/>
      <w:color w:val="365F91" w:themeColor="accent1" w:themeShade="BF"/>
      <w:sz w:val="32"/>
      <w:szCs w:val="32"/>
      <w:lang w:bidi="en-US"/>
    </w:rPr>
  </w:style>
  <w:style w:type="character" w:styleId="Hipercze">
    <w:name w:val="Hyperlink"/>
    <w:basedOn w:val="Domylnaczcionkaakapitu"/>
    <w:uiPriority w:val="99"/>
    <w:unhideWhenUsed/>
    <w:rsid w:val="008121F9"/>
    <w:rPr>
      <w:color w:val="0000FF" w:themeColor="hyperlink"/>
      <w:u w:val="single"/>
    </w:rPr>
  </w:style>
  <w:style w:type="character" w:styleId="Nierozpoznanawzmianka">
    <w:name w:val="Unresolved Mention"/>
    <w:basedOn w:val="Domylnaczcionkaakapitu"/>
    <w:uiPriority w:val="99"/>
    <w:semiHidden/>
    <w:unhideWhenUsed/>
    <w:rsid w:val="008121F9"/>
    <w:rPr>
      <w:color w:val="605E5C"/>
      <w:shd w:val="clear" w:color="auto" w:fill="E1DFDD"/>
    </w:rPr>
  </w:style>
  <w:style w:type="character" w:styleId="UyteHipercze">
    <w:name w:val="FollowedHyperlink"/>
    <w:basedOn w:val="Domylnaczcionkaakapitu"/>
    <w:uiPriority w:val="99"/>
    <w:semiHidden/>
    <w:unhideWhenUsed/>
    <w:rsid w:val="00812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8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85122" TargetMode="External"/><Relationship Id="rId18" Type="http://schemas.openxmlformats.org/officeDocument/2006/relationships/hyperlink" Target="https://hudoc.echr.coe.int/eng?i=001-159791" TargetMode="External"/><Relationship Id="rId26" Type="http://schemas.openxmlformats.org/officeDocument/2006/relationships/hyperlink" Target="https://hudoc.echr.coe.int/eng/?i=002-13412" TargetMode="External"/><Relationship Id="rId3" Type="http://schemas.openxmlformats.org/officeDocument/2006/relationships/styles" Target="styles.xml"/><Relationship Id="rId21" Type="http://schemas.openxmlformats.org/officeDocument/2006/relationships/hyperlink" Target="https://hudoc.echr.coe.int/eng-press?i=003-5644211-714597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udoc.echr.coe.int/eng?i=002-10135" TargetMode="External"/><Relationship Id="rId25" Type="http://schemas.openxmlformats.org/officeDocument/2006/relationships/hyperlink" Target="https://hudoc.echr.coe.int/eng?i=002-1279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eng-press?i=003-4832292-5894912" TargetMode="External"/><Relationship Id="rId20" Type="http://schemas.openxmlformats.org/officeDocument/2006/relationships/hyperlink" Target="https://hudoc.echr.coe.int/eng?i=001-174540" TargetMode="External"/><Relationship Id="rId29" Type="http://schemas.openxmlformats.org/officeDocument/2006/relationships/hyperlink" Target="https://ks.echr.coe.int/web/echr-ks/prisoners-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30819" TargetMode="External"/><Relationship Id="rId24" Type="http://schemas.openxmlformats.org/officeDocument/2006/relationships/hyperlink" Target="https://hudoc.echr.coe.int/eng-press?i=003-6134261-79275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fre?i=001-142815" TargetMode="External"/><Relationship Id="rId23" Type="http://schemas.openxmlformats.org/officeDocument/2006/relationships/hyperlink" Target="https://hudoc.echr.coe.int/?i=002-12657" TargetMode="External"/><Relationship Id="rId28" Type="http://schemas.openxmlformats.org/officeDocument/2006/relationships/hyperlink" Target="https://hudoc.echr.coe.int/eng?i=001-229320" TargetMode="External"/><Relationship Id="rId10" Type="http://schemas.openxmlformats.org/officeDocument/2006/relationships/hyperlink" Target="https://www.echr.coe.int/documents/d/echr/Convention_ENG" TargetMode="External"/><Relationship Id="rId19" Type="http://schemas.openxmlformats.org/officeDocument/2006/relationships/hyperlink" Target="https://hudoc.echr.coe.int/eng?i=001-15571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udoc.echr.coe.int/?i=001-104983" TargetMode="External"/><Relationship Id="rId22" Type="http://schemas.openxmlformats.org/officeDocument/2006/relationships/hyperlink" Target="https://hudoc.echr.coe.int/?i=002-11415" TargetMode="External"/><Relationship Id="rId27" Type="http://schemas.openxmlformats.org/officeDocument/2006/relationships/hyperlink" Target="https://hudoc.echr.coe.int/eng-press?i=003-6418365-8433487"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4D50-356D-48BF-AD7E-358DCBFB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2982</Words>
  <Characters>17894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FS_Remote_penal_facilities_ENG</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FS_Remote_penal_facilities_ENG</dc:title>
  <dc:subject>FS_Remote_penal_facilities_ENG</dc:subject>
  <dc:creator>ECHR/CEDH</dc:creator>
  <cp:lastModifiedBy>Davaasuren Mandakh-Erdene  (DWMPC)</cp:lastModifiedBy>
  <cp:revision>6</cp:revision>
  <dcterms:created xsi:type="dcterms:W3CDTF">2024-11-26T12:54:00Z</dcterms:created>
  <dcterms:modified xsi:type="dcterms:W3CDTF">2024-11-27T12:29:00Z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