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27398" w14:textId="77777777" w:rsidR="00027D39" w:rsidRPr="007F284C" w:rsidRDefault="00027D39" w:rsidP="00027D39">
      <w:pPr>
        <w:autoSpaceDE w:val="0"/>
        <w:autoSpaceDN w:val="0"/>
        <w:adjustRightInd w:val="0"/>
        <w:spacing w:line="360" w:lineRule="auto"/>
        <w:jc w:val="center"/>
        <w:rPr>
          <w:b/>
          <w:bCs/>
          <w:spacing w:val="38"/>
          <w:sz w:val="22"/>
          <w:szCs w:val="22"/>
        </w:rPr>
      </w:pPr>
      <w:r w:rsidRPr="007F284C">
        <w:rPr>
          <w:b/>
          <w:bCs/>
          <w:spacing w:val="38"/>
          <w:sz w:val="22"/>
          <w:szCs w:val="22"/>
        </w:rPr>
        <w:t>UZASADNIENIE</w:t>
      </w:r>
      <w:r w:rsidR="00DD17B7">
        <w:rPr>
          <w:b/>
          <w:bCs/>
          <w:spacing w:val="38"/>
          <w:sz w:val="22"/>
          <w:szCs w:val="22"/>
        </w:rPr>
        <w:t xml:space="preserve"> </w:t>
      </w:r>
    </w:p>
    <w:p w14:paraId="6F998AD2" w14:textId="1A4A192A" w:rsidR="00F539B3" w:rsidRPr="00F539B3" w:rsidRDefault="00F539B3" w:rsidP="00F539B3">
      <w:pPr>
        <w:jc w:val="both"/>
        <w:rPr>
          <w:color w:val="000000" w:themeColor="text1"/>
          <w:sz w:val="22"/>
          <w:szCs w:val="22"/>
        </w:rPr>
      </w:pPr>
      <w:r w:rsidRPr="00F539B3">
        <w:rPr>
          <w:color w:val="000000" w:themeColor="text1"/>
          <w:sz w:val="22"/>
          <w:szCs w:val="22"/>
        </w:rPr>
        <w:t>Projekt ustawy o zmianie ustawy – Prawo o ruchu drogowym przewiduje zmianę art. 66 ustawy z dnia 20 czerwca 1997 r. – Prawo o ruchu drogowym (Dz. U. z 2021 r. poz. 450</w:t>
      </w:r>
      <w:r w:rsidR="00E300B4">
        <w:rPr>
          <w:color w:val="000000" w:themeColor="text1"/>
          <w:sz w:val="22"/>
          <w:szCs w:val="22"/>
        </w:rPr>
        <w:t xml:space="preserve">, z </w:t>
      </w:r>
      <w:proofErr w:type="spellStart"/>
      <w:r w:rsidR="00E300B4">
        <w:rPr>
          <w:color w:val="000000" w:themeColor="text1"/>
          <w:sz w:val="22"/>
          <w:szCs w:val="22"/>
        </w:rPr>
        <w:t>późn</w:t>
      </w:r>
      <w:proofErr w:type="spellEnd"/>
      <w:r w:rsidR="00E300B4">
        <w:rPr>
          <w:color w:val="000000" w:themeColor="text1"/>
          <w:sz w:val="22"/>
          <w:szCs w:val="22"/>
        </w:rPr>
        <w:t xml:space="preserve">. </w:t>
      </w:r>
      <w:proofErr w:type="spellStart"/>
      <w:r w:rsidR="00E300B4">
        <w:rPr>
          <w:color w:val="000000" w:themeColor="text1"/>
          <w:sz w:val="22"/>
          <w:szCs w:val="22"/>
        </w:rPr>
        <w:t>zm</w:t>
      </w:r>
      <w:proofErr w:type="spellEnd"/>
      <w:r w:rsidR="004807BA">
        <w:rPr>
          <w:color w:val="000000" w:themeColor="text1"/>
          <w:sz w:val="22"/>
          <w:szCs w:val="22"/>
        </w:rPr>
        <w:t xml:space="preserve">). </w:t>
      </w:r>
    </w:p>
    <w:p w14:paraId="706F9D1C" w14:textId="494764F1" w:rsidR="00947BF3" w:rsidRPr="00F539B3" w:rsidRDefault="00F539B3" w:rsidP="00897026">
      <w:pPr>
        <w:jc w:val="both"/>
        <w:rPr>
          <w:color w:val="FF0000"/>
          <w:sz w:val="22"/>
          <w:szCs w:val="22"/>
        </w:rPr>
      </w:pPr>
      <w:r w:rsidRPr="00F539B3">
        <w:rPr>
          <w:color w:val="000000" w:themeColor="text1"/>
          <w:sz w:val="22"/>
          <w:szCs w:val="22"/>
        </w:rPr>
        <w:t xml:space="preserve">Obowiązujące przepisy ustawy </w:t>
      </w:r>
      <w:r w:rsidR="008A22C8" w:rsidRPr="008A22C8">
        <w:rPr>
          <w:sz w:val="22"/>
          <w:szCs w:val="22"/>
        </w:rPr>
        <w:t xml:space="preserve">określają obowiązek wyposażenia – autobusu, samochodu ciężarowego o dopuszczalnej masie całkowitej przekraczającej 3,5 tony i ciągnika samochodowego, dla którego określono dopuszczalną masę całkowitą zespołu pojazdów powyżej 3,5 tony </w:t>
      </w:r>
      <w:r w:rsidR="008A22C8" w:rsidRPr="008A22C8">
        <w:rPr>
          <w:sz w:val="22"/>
          <w:szCs w:val="22"/>
        </w:rPr>
        <w:br/>
        <w:t xml:space="preserve">w homologowany ogranicznik prędkości, ograniczający ich prędkość odpowiednio do 100 km/h </w:t>
      </w:r>
      <w:r w:rsidR="00A0415D">
        <w:rPr>
          <w:sz w:val="22"/>
          <w:szCs w:val="22"/>
        </w:rPr>
        <w:br/>
      </w:r>
      <w:r w:rsidR="00947BF3">
        <w:rPr>
          <w:sz w:val="22"/>
          <w:szCs w:val="22"/>
        </w:rPr>
        <w:t>i 90 km/h.</w:t>
      </w:r>
    </w:p>
    <w:p w14:paraId="04EB4113" w14:textId="77777777" w:rsidR="008A22C8" w:rsidRPr="008A22C8" w:rsidRDefault="008A22C8" w:rsidP="008A22C8">
      <w:pPr>
        <w:jc w:val="both"/>
        <w:rPr>
          <w:sz w:val="22"/>
          <w:szCs w:val="22"/>
        </w:rPr>
      </w:pPr>
      <w:r w:rsidRPr="008A22C8">
        <w:rPr>
          <w:sz w:val="22"/>
          <w:szCs w:val="22"/>
        </w:rPr>
        <w:t xml:space="preserve">Obowiązek wyposażenia określonych kategorii pojazdów w ogranicznik prędkości wynika </w:t>
      </w:r>
      <w:r w:rsidR="00A0415D">
        <w:rPr>
          <w:sz w:val="22"/>
          <w:szCs w:val="22"/>
        </w:rPr>
        <w:br/>
      </w:r>
      <w:r w:rsidRPr="008A22C8">
        <w:rPr>
          <w:sz w:val="22"/>
          <w:szCs w:val="22"/>
        </w:rPr>
        <w:t xml:space="preserve">z przepisów homologacyjnych, tj. dyrektywy 92/6/EWG </w:t>
      </w:r>
      <w:r w:rsidR="00A0415D" w:rsidRPr="00A0415D">
        <w:rPr>
          <w:i/>
          <w:sz w:val="22"/>
          <w:szCs w:val="22"/>
        </w:rPr>
        <w:t>w sprawie montowania i zastosowania urządzeń ograniczenia prędkości w niektórych kategoriach pojazdów silnikowych we Wspólnocie</w:t>
      </w:r>
      <w:r w:rsidR="00A0415D" w:rsidRPr="00A0415D">
        <w:rPr>
          <w:sz w:val="22"/>
          <w:szCs w:val="22"/>
        </w:rPr>
        <w:t xml:space="preserve"> </w:t>
      </w:r>
      <w:r w:rsidRPr="008A22C8">
        <w:rPr>
          <w:sz w:val="22"/>
          <w:szCs w:val="22"/>
        </w:rPr>
        <w:t>oraz zmiany do niej, tj. dyrektywy 2002/85/WE Regulacje te zostały implementowane do polskich przepisów w drodze zmian do ustawy – Prawo o ruchu drogowym na mocy:</w:t>
      </w:r>
    </w:p>
    <w:p w14:paraId="502C19CB" w14:textId="77777777" w:rsidR="008A22C8" w:rsidRPr="008A22C8" w:rsidRDefault="008A22C8" w:rsidP="008A22C8">
      <w:pPr>
        <w:numPr>
          <w:ilvl w:val="0"/>
          <w:numId w:val="3"/>
        </w:numPr>
        <w:spacing w:after="120"/>
        <w:jc w:val="both"/>
        <w:rPr>
          <w:sz w:val="22"/>
          <w:szCs w:val="22"/>
        </w:rPr>
      </w:pPr>
      <w:r w:rsidRPr="008A22C8">
        <w:rPr>
          <w:sz w:val="22"/>
          <w:szCs w:val="22"/>
        </w:rPr>
        <w:t xml:space="preserve">ustawy z dnia 23 listopada 2002 r. (Dz. U. poz. 1825) – art. 1 pkt 3 oraz art. 3 tej ustawy, </w:t>
      </w:r>
    </w:p>
    <w:p w14:paraId="46E65ACF" w14:textId="77777777" w:rsidR="008A22C8" w:rsidRPr="008A22C8" w:rsidRDefault="008A22C8" w:rsidP="008A22C8">
      <w:pPr>
        <w:numPr>
          <w:ilvl w:val="0"/>
          <w:numId w:val="3"/>
        </w:numPr>
        <w:spacing w:after="120"/>
        <w:jc w:val="both"/>
        <w:rPr>
          <w:sz w:val="22"/>
          <w:szCs w:val="22"/>
        </w:rPr>
      </w:pPr>
      <w:r w:rsidRPr="008A22C8">
        <w:rPr>
          <w:sz w:val="22"/>
          <w:szCs w:val="22"/>
        </w:rPr>
        <w:t>ustawy z dnia 20 kwietnia 2004 r. (Dz. U. poz. 884) – art. 1 pkt 5 oraz art. 3 tej ustawy.</w:t>
      </w:r>
    </w:p>
    <w:p w14:paraId="0E369DC8" w14:textId="77777777" w:rsidR="00A0415D" w:rsidRDefault="008A22C8" w:rsidP="000136A9">
      <w:pPr>
        <w:spacing w:after="120"/>
        <w:jc w:val="both"/>
        <w:rPr>
          <w:sz w:val="22"/>
          <w:szCs w:val="22"/>
        </w:rPr>
      </w:pPr>
      <w:r w:rsidRPr="008A22C8">
        <w:rPr>
          <w:sz w:val="22"/>
          <w:szCs w:val="22"/>
        </w:rPr>
        <w:t xml:space="preserve">Przepisy te wskazują w odniesieniu do jakich rodzajów pojazdów stosuje się wymóg wyposażenia </w:t>
      </w:r>
      <w:r w:rsidRPr="008A22C8">
        <w:rPr>
          <w:sz w:val="22"/>
          <w:szCs w:val="22"/>
        </w:rPr>
        <w:br/>
        <w:t xml:space="preserve">w ogranicznik prędkości, jak również określają terminy dotyczące dostosowania się do tego wymogu oraz wyłączenia z obowiązku wyposażania pojazdów w ogranicznik prędkości odnosząc się do daty ich zarejestrowania. Należy zatem zauważyć, iż przepis wyłączający z obowiązku stosowania wymagań dotyczących ograniczników prędkości w odniesieniu do pojazdów zarejestrowanych przed dniem 1 stycznia 1988 r. oraz przed dniem 1 października 2001 r. nie jest nowym przepisem, ale wynika z ww. nowelizacji ustawy </w:t>
      </w:r>
      <w:r w:rsidRPr="008A22C8">
        <w:rPr>
          <w:sz w:val="22"/>
          <w:szCs w:val="22"/>
        </w:rPr>
        <w:softHyphen/>
        <w:t>– Prawo o ruchu drogowym w latac</w:t>
      </w:r>
      <w:r w:rsidR="000136A9">
        <w:rPr>
          <w:sz w:val="22"/>
          <w:szCs w:val="22"/>
        </w:rPr>
        <w:t xml:space="preserve">h 2002 i 2004. </w:t>
      </w:r>
    </w:p>
    <w:p w14:paraId="604FA851" w14:textId="77777777" w:rsidR="000136A9" w:rsidRPr="00A0415D" w:rsidRDefault="008A22C8" w:rsidP="000136A9">
      <w:pPr>
        <w:spacing w:after="120"/>
        <w:jc w:val="both"/>
        <w:rPr>
          <w:strike/>
          <w:sz w:val="22"/>
          <w:szCs w:val="22"/>
        </w:rPr>
      </w:pPr>
      <w:r w:rsidRPr="008A22C8">
        <w:rPr>
          <w:sz w:val="22"/>
          <w:szCs w:val="22"/>
        </w:rPr>
        <w:t xml:space="preserve">W 2005 r. przy ogłaszaniu tekstu jednolitego ustawy </w:t>
      </w:r>
      <w:r w:rsidRPr="008A22C8">
        <w:rPr>
          <w:sz w:val="22"/>
          <w:szCs w:val="22"/>
        </w:rPr>
        <w:softHyphen/>
        <w:t xml:space="preserve">– Prawo o ruchu drogowym (Dz. U. z 2005 r. </w:t>
      </w:r>
      <w:r w:rsidR="00A0415D">
        <w:rPr>
          <w:sz w:val="22"/>
          <w:szCs w:val="22"/>
        </w:rPr>
        <w:br/>
      </w:r>
      <w:r w:rsidRPr="008A22C8">
        <w:rPr>
          <w:sz w:val="22"/>
          <w:szCs w:val="22"/>
        </w:rPr>
        <w:t xml:space="preserve">Nr 108, poz. 908) przepisy zawierające te daty trafiły do preambuły, ale nie pojawiły się już przy ogłaszaniu kolejnych tekstów jednolitych tej ustawy. W konsekwencji tego przepisy wprowadzające stałe wyłączenia dla pojazdów, które nie muszą być wyposażone w homologowany ogranicznik prędkości znajdują się jedynie w preambule z 2005 r., co powoduje niejasności interpretacyjne, </w:t>
      </w:r>
      <w:r w:rsidR="00A0415D">
        <w:rPr>
          <w:sz w:val="22"/>
          <w:szCs w:val="22"/>
        </w:rPr>
        <w:br/>
      </w:r>
      <w:r w:rsidRPr="008A22C8">
        <w:rPr>
          <w:sz w:val="22"/>
          <w:szCs w:val="22"/>
        </w:rPr>
        <w:t xml:space="preserve">a regulacje te są niezrozumiałe dla właścicieli/posiadaczy pojazdów, diagnostów przeprowadzających badania techniczne czy też organów kontroli ruchu drogowego. Przeniesienie </w:t>
      </w:r>
      <w:proofErr w:type="spellStart"/>
      <w:r w:rsidRPr="008A22C8">
        <w:rPr>
          <w:sz w:val="22"/>
          <w:szCs w:val="22"/>
        </w:rPr>
        <w:t>wyłączeń</w:t>
      </w:r>
      <w:proofErr w:type="spellEnd"/>
      <w:r w:rsidRPr="008A22C8">
        <w:rPr>
          <w:sz w:val="22"/>
          <w:szCs w:val="22"/>
        </w:rPr>
        <w:t xml:space="preserve"> do ustawy – Prawo o ruchu drogowym w jedno miejsce ułatwi stosowanie tych przepisów. </w:t>
      </w:r>
    </w:p>
    <w:p w14:paraId="6AF92123" w14:textId="77777777" w:rsidR="008A22C8" w:rsidRPr="008A22C8" w:rsidRDefault="008A22C8" w:rsidP="008A22C8">
      <w:pPr>
        <w:spacing w:before="120" w:after="120"/>
        <w:jc w:val="both"/>
        <w:rPr>
          <w:sz w:val="22"/>
          <w:szCs w:val="22"/>
        </w:rPr>
      </w:pPr>
      <w:r w:rsidRPr="008A22C8">
        <w:rPr>
          <w:sz w:val="22"/>
          <w:szCs w:val="22"/>
        </w:rPr>
        <w:t>Ograniczniki prędkości w starszych modelach pojazdów były oddzielnymi podzespołami, czy też zespołami (przedmioty wyposażenia lub części) montowanymi na silniku. Podniesienie kabiny kierowcy umożliwiało ich zobaczenie. W miarę postępującej elektronizacji osprzętu silnikowego i samego pojazdu ograniczniki prędkości przeobraziły się z oddzielnych komponentów w oprogramowanie centralnego modułu czasowego pojazdu (tzw. komputera pokładowego), które jest aktywowane przez komputer diagnostyczny producenta pojazdu stanowiący wyposażenie każdej autoryzowanej stacji obsługi (ASO). Producent wyposaża każdy wyprodukowany pojazd w naklejkę - „</w:t>
      </w:r>
      <w:proofErr w:type="spellStart"/>
      <w:r w:rsidRPr="008A22C8">
        <w:rPr>
          <w:sz w:val="22"/>
          <w:szCs w:val="22"/>
        </w:rPr>
        <w:t>stiker</w:t>
      </w:r>
      <w:proofErr w:type="spellEnd"/>
      <w:r w:rsidRPr="008A22C8">
        <w:rPr>
          <w:sz w:val="22"/>
          <w:szCs w:val="22"/>
        </w:rPr>
        <w:t xml:space="preserve">”, który potwierdza wyposażenie pojazdu w homologowany ogranicznik prędkości i prędkość jazdy, na którą jest on ustawiony. W „pamięci” centralnego modułu czasowego pozostaje kod urządzenia diagnostycznego, które dokonało ostatniego (aktualnego) ustawienia maksymalnej prędkości jazdy. Obowiązywały w tym zakresie: </w:t>
      </w:r>
      <w:r w:rsidR="00A0415D">
        <w:rPr>
          <w:sz w:val="22"/>
          <w:szCs w:val="22"/>
        </w:rPr>
        <w:t xml:space="preserve">ww. </w:t>
      </w:r>
      <w:r w:rsidRPr="008A22C8">
        <w:rPr>
          <w:sz w:val="22"/>
          <w:szCs w:val="22"/>
        </w:rPr>
        <w:t>dyrektywa Rady 92/6/EWG oraz zmiana do niej – dyrektywa Parlamentu Europejskiego i Rady 2002/85/WE. Równocześnie w procedurze homologacji typu pojazdu weryfikuje się wyposażenie pojazdu w homologowany ogranicznik prędkości. W tym zakresie na dzień wejścia Polski do U</w:t>
      </w:r>
      <w:r w:rsidR="00A0415D">
        <w:rPr>
          <w:sz w:val="22"/>
          <w:szCs w:val="22"/>
        </w:rPr>
        <w:t xml:space="preserve">nii </w:t>
      </w:r>
      <w:r w:rsidRPr="008A22C8">
        <w:rPr>
          <w:sz w:val="22"/>
          <w:szCs w:val="22"/>
        </w:rPr>
        <w:t>E</w:t>
      </w:r>
      <w:r w:rsidR="00A0415D">
        <w:rPr>
          <w:sz w:val="22"/>
          <w:szCs w:val="22"/>
        </w:rPr>
        <w:t>uropejskiej</w:t>
      </w:r>
      <w:r w:rsidRPr="008A22C8">
        <w:rPr>
          <w:sz w:val="22"/>
          <w:szCs w:val="22"/>
        </w:rPr>
        <w:t xml:space="preserve"> obowiązywały dyrektywa Rady 92/24/EWG </w:t>
      </w:r>
      <w:r w:rsidRPr="008A22C8">
        <w:rPr>
          <w:bCs/>
          <w:i/>
          <w:sz w:val="22"/>
          <w:szCs w:val="22"/>
        </w:rPr>
        <w:t>odnosząca się do urządzeń ograniczenia prędkości lub podobnych wewnętrznych systemów ograniczenia prędkości niektórych kategorii pojazdów silnikowych</w:t>
      </w:r>
      <w:r w:rsidRPr="008A22C8">
        <w:rPr>
          <w:b/>
          <w:bCs/>
          <w:sz w:val="22"/>
          <w:szCs w:val="22"/>
        </w:rPr>
        <w:t xml:space="preserve"> </w:t>
      </w:r>
      <w:r w:rsidRPr="008A22C8">
        <w:rPr>
          <w:sz w:val="22"/>
          <w:szCs w:val="22"/>
        </w:rPr>
        <w:t xml:space="preserve">oraz zmiana do niej </w:t>
      </w:r>
      <w:r w:rsidRPr="008A22C8">
        <w:rPr>
          <w:sz w:val="22"/>
          <w:szCs w:val="22"/>
        </w:rPr>
        <w:softHyphen/>
        <w:t xml:space="preserve">– dyrektywa Parlamentu Europejskiego i Rady 2004/11/WE. Aktualnie wymagania w tym zakresie weryfikuje się na zgodność z rozporządzeniem Parlamentu Europejskiego i Rady WE nr 661/2009 </w:t>
      </w:r>
      <w:r w:rsidR="00A4355A">
        <w:rPr>
          <w:sz w:val="22"/>
          <w:szCs w:val="22"/>
        </w:rPr>
        <w:br/>
      </w:r>
      <w:r w:rsidRPr="008A22C8">
        <w:rPr>
          <w:sz w:val="22"/>
          <w:szCs w:val="22"/>
        </w:rPr>
        <w:t xml:space="preserve">z dnia 13 lipca 2009 r. </w:t>
      </w:r>
      <w:r w:rsidRPr="008A22C8">
        <w:rPr>
          <w:i/>
          <w:sz w:val="22"/>
          <w:szCs w:val="22"/>
        </w:rPr>
        <w:t xml:space="preserve">w sprawie wymagań technicznych w zakresie homologacji typu pojazdów silnikowych dotyczących ich bezpieczeństwa ogólnego, ich przyczep oraz przeznaczonych dla nich układów, części i oddzielnych zespołów technicznych </w:t>
      </w:r>
      <w:r w:rsidRPr="008A22C8">
        <w:rPr>
          <w:sz w:val="22"/>
          <w:szCs w:val="22"/>
        </w:rPr>
        <w:t xml:space="preserve">oraz regulaminem EKG ONZ nr 89. </w:t>
      </w:r>
    </w:p>
    <w:p w14:paraId="72792343" w14:textId="77777777" w:rsidR="008A22C8" w:rsidRPr="008A22C8" w:rsidRDefault="008A22C8" w:rsidP="008A22C8">
      <w:pPr>
        <w:spacing w:after="120"/>
        <w:jc w:val="both"/>
        <w:rPr>
          <w:sz w:val="22"/>
          <w:szCs w:val="22"/>
        </w:rPr>
      </w:pPr>
      <w:r w:rsidRPr="008A22C8">
        <w:rPr>
          <w:sz w:val="22"/>
          <w:szCs w:val="22"/>
        </w:rPr>
        <w:lastRenderedPageBreak/>
        <w:t xml:space="preserve">Odnosząc się do wprowadzenia w art. 66 ust. 1a kategorii pojazdów, które powinny być wyposażone </w:t>
      </w:r>
      <w:r w:rsidRPr="008A22C8">
        <w:rPr>
          <w:sz w:val="22"/>
          <w:szCs w:val="22"/>
        </w:rPr>
        <w:br/>
        <w:t>w homologowany ogranicznik prędkości należy zauważyć, iż w związku z wejściem Polski do Unii Europejskiej w 2004 r. przy implementacji unijnych dyrektyw homologacyjnych przyjęto, iż pojazd kategorii homologacyjnej M</w:t>
      </w:r>
      <w:r w:rsidRPr="008A22C8">
        <w:rPr>
          <w:sz w:val="22"/>
          <w:szCs w:val="22"/>
          <w:vertAlign w:val="subscript"/>
        </w:rPr>
        <w:t>2</w:t>
      </w:r>
      <w:r w:rsidRPr="008A22C8">
        <w:rPr>
          <w:sz w:val="22"/>
          <w:szCs w:val="22"/>
        </w:rPr>
        <w:t xml:space="preserve"> i M</w:t>
      </w:r>
      <w:r w:rsidRPr="008A22C8">
        <w:rPr>
          <w:sz w:val="22"/>
          <w:szCs w:val="22"/>
          <w:vertAlign w:val="subscript"/>
        </w:rPr>
        <w:t>3</w:t>
      </w:r>
      <w:r w:rsidRPr="008A22C8">
        <w:rPr>
          <w:sz w:val="22"/>
          <w:szCs w:val="22"/>
        </w:rPr>
        <w:t xml:space="preserve"> to pojazd o rodzaju autobus, a pojazd kategorii homologacyjnej N</w:t>
      </w:r>
      <w:r w:rsidRPr="008A22C8">
        <w:rPr>
          <w:sz w:val="22"/>
          <w:szCs w:val="22"/>
          <w:vertAlign w:val="subscript"/>
        </w:rPr>
        <w:t>2</w:t>
      </w:r>
      <w:r w:rsidRPr="008A22C8">
        <w:rPr>
          <w:sz w:val="22"/>
          <w:szCs w:val="22"/>
        </w:rPr>
        <w:t xml:space="preserve"> </w:t>
      </w:r>
      <w:r w:rsidR="00A0415D">
        <w:rPr>
          <w:sz w:val="22"/>
          <w:szCs w:val="22"/>
        </w:rPr>
        <w:br/>
      </w:r>
      <w:r w:rsidRPr="008A22C8">
        <w:rPr>
          <w:sz w:val="22"/>
          <w:szCs w:val="22"/>
        </w:rPr>
        <w:t>i N</w:t>
      </w:r>
      <w:r w:rsidRPr="00A0415D">
        <w:rPr>
          <w:sz w:val="22"/>
          <w:szCs w:val="22"/>
          <w:vertAlign w:val="subscript"/>
        </w:rPr>
        <w:t>3</w:t>
      </w:r>
      <w:r w:rsidRPr="008A22C8">
        <w:rPr>
          <w:sz w:val="22"/>
          <w:szCs w:val="22"/>
        </w:rPr>
        <w:t xml:space="preserve"> to pojazd o rodzaju samochód ciężarowy. Podobnie przyjęto we wprowadzonych w latach 2002-2004 przepisach dotyczących ograniczników prędkości, odnosząc obowiązek wyposażania </w:t>
      </w:r>
      <w:r w:rsidR="00A0415D">
        <w:rPr>
          <w:sz w:val="22"/>
          <w:szCs w:val="22"/>
        </w:rPr>
        <w:br/>
      </w:r>
      <w:r w:rsidRPr="008A22C8">
        <w:rPr>
          <w:sz w:val="22"/>
          <w:szCs w:val="22"/>
        </w:rPr>
        <w:t>w ograniczniki prędkości do autobusów i samochodów ciężarowych. Natomiast kategorie homologacyjne N</w:t>
      </w:r>
      <w:r w:rsidRPr="008A22C8">
        <w:rPr>
          <w:sz w:val="22"/>
          <w:szCs w:val="22"/>
          <w:vertAlign w:val="subscript"/>
        </w:rPr>
        <w:t>2</w:t>
      </w:r>
      <w:r w:rsidRPr="008A22C8">
        <w:rPr>
          <w:sz w:val="22"/>
          <w:szCs w:val="22"/>
        </w:rPr>
        <w:t xml:space="preserve"> i N</w:t>
      </w:r>
      <w:r w:rsidRPr="008A22C8">
        <w:rPr>
          <w:sz w:val="22"/>
          <w:szCs w:val="22"/>
          <w:vertAlign w:val="subscript"/>
        </w:rPr>
        <w:t>3</w:t>
      </w:r>
      <w:r w:rsidRPr="008A22C8">
        <w:rPr>
          <w:sz w:val="22"/>
          <w:szCs w:val="22"/>
        </w:rPr>
        <w:t xml:space="preserve"> w rozumieniu regulacji UE obejmują pojazdy o rodzaju samochód ciężarowy </w:t>
      </w:r>
      <w:r w:rsidR="0016591C">
        <w:rPr>
          <w:sz w:val="22"/>
          <w:szCs w:val="22"/>
        </w:rPr>
        <w:br/>
      </w:r>
      <w:r w:rsidR="00841707">
        <w:rPr>
          <w:sz w:val="22"/>
          <w:szCs w:val="22"/>
        </w:rPr>
        <w:t>i samochód specjalny,</w:t>
      </w:r>
      <w:r w:rsidRPr="008A22C8">
        <w:rPr>
          <w:sz w:val="22"/>
          <w:szCs w:val="22"/>
        </w:rPr>
        <w:t xml:space="preserve"> </w:t>
      </w:r>
      <w:r w:rsidR="00841707" w:rsidRPr="00841707">
        <w:rPr>
          <w:sz w:val="22"/>
          <w:szCs w:val="22"/>
        </w:rPr>
        <w:t>z kolei kategorie homologacyjne M</w:t>
      </w:r>
      <w:r w:rsidR="00841707" w:rsidRPr="00841707">
        <w:rPr>
          <w:sz w:val="22"/>
          <w:szCs w:val="22"/>
          <w:vertAlign w:val="subscript"/>
        </w:rPr>
        <w:t>2</w:t>
      </w:r>
      <w:r w:rsidR="00841707" w:rsidRPr="00841707">
        <w:rPr>
          <w:sz w:val="22"/>
          <w:szCs w:val="22"/>
        </w:rPr>
        <w:t xml:space="preserve"> i M</w:t>
      </w:r>
      <w:r w:rsidR="00841707" w:rsidRPr="00841707">
        <w:rPr>
          <w:sz w:val="22"/>
          <w:szCs w:val="22"/>
          <w:vertAlign w:val="subscript"/>
        </w:rPr>
        <w:t>3</w:t>
      </w:r>
      <w:r w:rsidR="00841707" w:rsidRPr="00841707">
        <w:rPr>
          <w:sz w:val="22"/>
          <w:szCs w:val="22"/>
        </w:rPr>
        <w:t xml:space="preserve"> obejmują pojazdy o rodzaju autobus </w:t>
      </w:r>
      <w:r w:rsidR="00841707">
        <w:rPr>
          <w:sz w:val="22"/>
          <w:szCs w:val="22"/>
        </w:rPr>
        <w:br/>
      </w:r>
      <w:r w:rsidR="00841707" w:rsidRPr="00841707">
        <w:rPr>
          <w:sz w:val="22"/>
          <w:szCs w:val="22"/>
        </w:rPr>
        <w:t>i samochód specjalny.</w:t>
      </w:r>
    </w:p>
    <w:p w14:paraId="2C4AC2BE" w14:textId="77777777" w:rsidR="0016591C" w:rsidRPr="0016591C" w:rsidRDefault="0016591C" w:rsidP="0016591C">
      <w:pPr>
        <w:spacing w:before="120" w:after="120"/>
        <w:jc w:val="both"/>
        <w:rPr>
          <w:sz w:val="22"/>
          <w:szCs w:val="22"/>
        </w:rPr>
      </w:pPr>
      <w:r w:rsidRPr="0016591C">
        <w:rPr>
          <w:sz w:val="22"/>
          <w:szCs w:val="22"/>
        </w:rPr>
        <w:t xml:space="preserve">Zaproponowana w projekcie zmiana ma na celu dostosowanie do terminologii stosowanej </w:t>
      </w:r>
      <w:r>
        <w:rPr>
          <w:sz w:val="22"/>
          <w:szCs w:val="22"/>
        </w:rPr>
        <w:br/>
      </w:r>
      <w:r w:rsidRPr="0016591C">
        <w:rPr>
          <w:sz w:val="22"/>
          <w:szCs w:val="22"/>
        </w:rPr>
        <w:t>w przepisach UE i zapewnienie spójności z przepisami homologacyjnymi, które w procedurze homologacji typu pojazdu posługują się kategoriami homologacyjnymi.</w:t>
      </w:r>
    </w:p>
    <w:p w14:paraId="4B1DC12C" w14:textId="1F7E9010" w:rsidR="0026694F" w:rsidRDefault="00EF329F" w:rsidP="00030856">
      <w:pPr>
        <w:spacing w:before="120" w:after="120"/>
        <w:jc w:val="both"/>
        <w:rPr>
          <w:sz w:val="22"/>
          <w:szCs w:val="22"/>
        </w:rPr>
      </w:pPr>
      <w:r w:rsidRPr="00970574">
        <w:rPr>
          <w:sz w:val="22"/>
          <w:szCs w:val="22"/>
        </w:rPr>
        <w:t xml:space="preserve">Projekt ustawy </w:t>
      </w:r>
      <w:r w:rsidR="00F64AFD" w:rsidRPr="00970574">
        <w:rPr>
          <w:sz w:val="22"/>
          <w:szCs w:val="22"/>
        </w:rPr>
        <w:t>wprowadza zmiany</w:t>
      </w:r>
      <w:r w:rsidR="00525B15">
        <w:rPr>
          <w:sz w:val="22"/>
          <w:szCs w:val="22"/>
        </w:rPr>
        <w:t xml:space="preserve"> do </w:t>
      </w:r>
      <w:r w:rsidR="009E1865" w:rsidRPr="009E1865">
        <w:rPr>
          <w:sz w:val="22"/>
          <w:szCs w:val="22"/>
        </w:rPr>
        <w:t xml:space="preserve">ustawy </w:t>
      </w:r>
      <w:r w:rsidR="00525B15">
        <w:rPr>
          <w:sz w:val="22"/>
          <w:szCs w:val="22"/>
        </w:rPr>
        <w:softHyphen/>
      </w:r>
      <w:r w:rsidR="00525B15" w:rsidRPr="00525B15">
        <w:rPr>
          <w:sz w:val="22"/>
          <w:szCs w:val="22"/>
        </w:rPr>
        <w:t>–</w:t>
      </w:r>
      <w:r w:rsidR="00525B15">
        <w:rPr>
          <w:sz w:val="22"/>
          <w:szCs w:val="22"/>
        </w:rPr>
        <w:t xml:space="preserve"> </w:t>
      </w:r>
      <w:r w:rsidR="009E1865" w:rsidRPr="009E1865">
        <w:rPr>
          <w:sz w:val="22"/>
          <w:szCs w:val="22"/>
        </w:rPr>
        <w:t xml:space="preserve">Prawo o ruchu drogowym </w:t>
      </w:r>
      <w:r w:rsidR="009E1865">
        <w:rPr>
          <w:sz w:val="22"/>
          <w:szCs w:val="22"/>
        </w:rPr>
        <w:t xml:space="preserve">poprzez przekazanie </w:t>
      </w:r>
      <w:r w:rsidR="00CB5A34" w:rsidRPr="00970574">
        <w:rPr>
          <w:sz w:val="22"/>
          <w:szCs w:val="22"/>
        </w:rPr>
        <w:t>Dyrektor</w:t>
      </w:r>
      <w:r w:rsidR="00CB5A34">
        <w:rPr>
          <w:sz w:val="22"/>
          <w:szCs w:val="22"/>
        </w:rPr>
        <w:t>owi</w:t>
      </w:r>
      <w:r w:rsidR="00CB5A34" w:rsidRPr="00970574">
        <w:rPr>
          <w:sz w:val="22"/>
          <w:szCs w:val="22"/>
        </w:rPr>
        <w:t xml:space="preserve"> Transportowego Dozoru Technicznego</w:t>
      </w:r>
      <w:r w:rsidR="00E9457B">
        <w:rPr>
          <w:sz w:val="22"/>
          <w:szCs w:val="22"/>
        </w:rPr>
        <w:t xml:space="preserve"> (TDT) </w:t>
      </w:r>
      <w:r w:rsidR="00434C2B" w:rsidRPr="00970574">
        <w:rPr>
          <w:sz w:val="22"/>
          <w:szCs w:val="22"/>
        </w:rPr>
        <w:t xml:space="preserve">kompetencji </w:t>
      </w:r>
      <w:r w:rsidR="009E1865">
        <w:rPr>
          <w:sz w:val="22"/>
          <w:szCs w:val="22"/>
        </w:rPr>
        <w:t xml:space="preserve"> </w:t>
      </w:r>
      <w:r w:rsidR="009E1865" w:rsidRPr="00970574">
        <w:rPr>
          <w:sz w:val="22"/>
          <w:szCs w:val="22"/>
        </w:rPr>
        <w:t xml:space="preserve">ministra właściwego do spraw transportu </w:t>
      </w:r>
      <w:r w:rsidR="00CB5A34">
        <w:rPr>
          <w:sz w:val="22"/>
          <w:szCs w:val="22"/>
        </w:rPr>
        <w:t>w zakresie</w:t>
      </w:r>
      <w:r w:rsidR="00CB5A34" w:rsidRPr="00970574">
        <w:rPr>
          <w:sz w:val="22"/>
          <w:szCs w:val="22"/>
        </w:rPr>
        <w:t xml:space="preserve"> </w:t>
      </w:r>
      <w:r w:rsidR="00434C2B" w:rsidRPr="00970574">
        <w:rPr>
          <w:sz w:val="22"/>
          <w:szCs w:val="22"/>
        </w:rPr>
        <w:t>wydawania</w:t>
      </w:r>
      <w:r w:rsidR="00D07A5E" w:rsidRPr="00970574">
        <w:rPr>
          <w:sz w:val="22"/>
          <w:szCs w:val="22"/>
        </w:rPr>
        <w:t>,</w:t>
      </w:r>
      <w:r w:rsidR="00434C2B" w:rsidRPr="00970574">
        <w:rPr>
          <w:sz w:val="22"/>
          <w:szCs w:val="22"/>
        </w:rPr>
        <w:t xml:space="preserve"> w drodze decyzji administracyjnej, </w:t>
      </w:r>
      <w:r w:rsidR="00CB5A34">
        <w:rPr>
          <w:sz w:val="22"/>
          <w:szCs w:val="22"/>
        </w:rPr>
        <w:t xml:space="preserve">indywidualnych </w:t>
      </w:r>
      <w:r w:rsidR="00434C2B" w:rsidRPr="00970574">
        <w:rPr>
          <w:sz w:val="22"/>
          <w:szCs w:val="22"/>
        </w:rPr>
        <w:t xml:space="preserve">odstępstw od warunków technicznych, jakim powinien odpowiadać pojazd. </w:t>
      </w:r>
      <w:r w:rsidR="00CB5A34">
        <w:rPr>
          <w:sz w:val="22"/>
          <w:szCs w:val="22"/>
        </w:rPr>
        <w:t>W art</w:t>
      </w:r>
      <w:r w:rsidR="00565025">
        <w:rPr>
          <w:sz w:val="22"/>
          <w:szCs w:val="22"/>
        </w:rPr>
        <w:t xml:space="preserve">. </w:t>
      </w:r>
      <w:r w:rsidR="00CB5A34">
        <w:rPr>
          <w:sz w:val="22"/>
          <w:szCs w:val="22"/>
        </w:rPr>
        <w:t xml:space="preserve">67 dodano nowe ustępy, aby w sposób </w:t>
      </w:r>
      <w:r w:rsidR="00A4355A">
        <w:rPr>
          <w:sz w:val="22"/>
          <w:szCs w:val="22"/>
        </w:rPr>
        <w:t>jasny</w:t>
      </w:r>
      <w:r w:rsidR="005A57D1">
        <w:rPr>
          <w:sz w:val="22"/>
          <w:szCs w:val="22"/>
        </w:rPr>
        <w:t xml:space="preserve"> i</w:t>
      </w:r>
      <w:r w:rsidR="00A4355A">
        <w:rPr>
          <w:sz w:val="22"/>
          <w:szCs w:val="22"/>
        </w:rPr>
        <w:t xml:space="preserve"> </w:t>
      </w:r>
      <w:r w:rsidR="00CB5A34">
        <w:rPr>
          <w:sz w:val="22"/>
          <w:szCs w:val="22"/>
        </w:rPr>
        <w:t>przejrzysty określić zasady postępowania w sprawach o wydanie odstępstw poprzez</w:t>
      </w:r>
      <w:r w:rsidR="0026694F">
        <w:rPr>
          <w:sz w:val="22"/>
          <w:szCs w:val="22"/>
        </w:rPr>
        <w:t>:</w:t>
      </w:r>
    </w:p>
    <w:p w14:paraId="4F88A022" w14:textId="77777777" w:rsidR="0026694F" w:rsidRPr="00565025" w:rsidRDefault="00CB5A34" w:rsidP="00565025">
      <w:pPr>
        <w:pStyle w:val="Akapitzlist"/>
        <w:numPr>
          <w:ilvl w:val="0"/>
          <w:numId w:val="1"/>
        </w:numPr>
        <w:spacing w:before="120" w:after="120"/>
        <w:jc w:val="both"/>
        <w:rPr>
          <w:rFonts w:ascii="Times New Roman" w:eastAsia="Times New Roman" w:hAnsi="Times New Roman"/>
          <w:lang w:eastAsia="pl-PL"/>
        </w:rPr>
      </w:pPr>
      <w:r w:rsidRPr="00565025">
        <w:rPr>
          <w:rFonts w:ascii="Times New Roman" w:eastAsia="Times New Roman" w:hAnsi="Times New Roman"/>
          <w:lang w:eastAsia="pl-PL"/>
        </w:rPr>
        <w:t xml:space="preserve">określenie </w:t>
      </w:r>
      <w:r w:rsidR="0026694F" w:rsidRPr="00565025">
        <w:rPr>
          <w:rFonts w:ascii="Times New Roman" w:eastAsia="Times New Roman" w:hAnsi="Times New Roman"/>
          <w:lang w:eastAsia="pl-PL"/>
        </w:rPr>
        <w:t>dla wnioskodawcy (</w:t>
      </w:r>
      <w:r w:rsidR="00565025">
        <w:rPr>
          <w:rFonts w:ascii="Times New Roman" w:eastAsia="Times New Roman" w:hAnsi="Times New Roman"/>
          <w:lang w:eastAsia="pl-PL"/>
        </w:rPr>
        <w:t>właściciela/</w:t>
      </w:r>
      <w:r w:rsidR="0026694F" w:rsidRPr="00565025">
        <w:rPr>
          <w:rFonts w:ascii="Times New Roman" w:eastAsia="Times New Roman" w:hAnsi="Times New Roman"/>
          <w:lang w:eastAsia="pl-PL"/>
        </w:rPr>
        <w:t xml:space="preserve">posiadacza pojazdu) </w:t>
      </w:r>
      <w:r w:rsidRPr="00565025">
        <w:rPr>
          <w:rFonts w:ascii="Times New Roman" w:eastAsia="Times New Roman" w:hAnsi="Times New Roman"/>
          <w:lang w:eastAsia="pl-PL"/>
        </w:rPr>
        <w:t>wymaganych we wniosku informacji</w:t>
      </w:r>
      <w:r w:rsidR="0026694F" w:rsidRPr="00565025">
        <w:rPr>
          <w:rFonts w:ascii="Times New Roman" w:eastAsia="Times New Roman" w:hAnsi="Times New Roman"/>
          <w:lang w:eastAsia="pl-PL"/>
        </w:rPr>
        <w:t xml:space="preserve"> dotyczących m.in. danych pojazdu,</w:t>
      </w:r>
      <w:r w:rsidRPr="00565025">
        <w:rPr>
          <w:rFonts w:ascii="Times New Roman" w:eastAsia="Times New Roman" w:hAnsi="Times New Roman"/>
          <w:lang w:eastAsia="pl-PL"/>
        </w:rPr>
        <w:t xml:space="preserve"> </w:t>
      </w:r>
      <w:r w:rsidR="0026694F" w:rsidRPr="00565025">
        <w:rPr>
          <w:rFonts w:ascii="Times New Roman" w:eastAsia="Times New Roman" w:hAnsi="Times New Roman"/>
          <w:lang w:eastAsia="pl-PL"/>
        </w:rPr>
        <w:t xml:space="preserve">czy też </w:t>
      </w:r>
      <w:r w:rsidR="00727BAA" w:rsidRPr="00565025">
        <w:rPr>
          <w:rFonts w:ascii="Times New Roman" w:eastAsia="Times New Roman" w:hAnsi="Times New Roman"/>
          <w:lang w:eastAsia="pl-PL"/>
        </w:rPr>
        <w:t xml:space="preserve">przedstawienia </w:t>
      </w:r>
      <w:r w:rsidRPr="00565025">
        <w:rPr>
          <w:rFonts w:ascii="Times New Roman" w:eastAsia="Times New Roman" w:hAnsi="Times New Roman"/>
          <w:lang w:eastAsia="pl-PL"/>
        </w:rPr>
        <w:t>uzasadnienia</w:t>
      </w:r>
      <w:r w:rsidR="0026694F" w:rsidRPr="00565025">
        <w:rPr>
          <w:rFonts w:ascii="Times New Roman" w:eastAsia="Times New Roman" w:hAnsi="Times New Roman"/>
          <w:lang w:eastAsia="pl-PL"/>
        </w:rPr>
        <w:t xml:space="preserve">, </w:t>
      </w:r>
    </w:p>
    <w:p w14:paraId="47740873" w14:textId="77777777" w:rsidR="00CB5A34" w:rsidRDefault="005E5804" w:rsidP="00565025">
      <w:pPr>
        <w:pStyle w:val="Akapitzlist"/>
        <w:numPr>
          <w:ilvl w:val="0"/>
          <w:numId w:val="1"/>
        </w:numPr>
        <w:spacing w:before="120" w:after="120"/>
        <w:jc w:val="both"/>
        <w:rPr>
          <w:rFonts w:ascii="Times New Roman" w:eastAsia="Times New Roman" w:hAnsi="Times New Roman"/>
          <w:lang w:eastAsia="pl-PL"/>
        </w:rPr>
      </w:pPr>
      <w:r>
        <w:rPr>
          <w:rFonts w:ascii="Times New Roman" w:eastAsia="Times New Roman" w:hAnsi="Times New Roman"/>
          <w:lang w:eastAsia="pl-PL"/>
        </w:rPr>
        <w:t>wskazanie</w:t>
      </w:r>
      <w:r w:rsidR="0026694F" w:rsidRPr="00565025">
        <w:rPr>
          <w:rFonts w:ascii="Times New Roman" w:eastAsia="Times New Roman" w:hAnsi="Times New Roman"/>
          <w:lang w:eastAsia="pl-PL"/>
        </w:rPr>
        <w:t xml:space="preserve"> </w:t>
      </w:r>
      <w:r w:rsidR="00CB5A34" w:rsidRPr="00565025">
        <w:rPr>
          <w:rFonts w:ascii="Times New Roman" w:eastAsia="Times New Roman" w:hAnsi="Times New Roman"/>
          <w:lang w:eastAsia="pl-PL"/>
        </w:rPr>
        <w:t xml:space="preserve">wykazu dokumentów </w:t>
      </w:r>
      <w:r w:rsidR="00565025">
        <w:rPr>
          <w:rFonts w:ascii="Times New Roman" w:eastAsia="Times New Roman" w:hAnsi="Times New Roman"/>
          <w:lang w:eastAsia="pl-PL"/>
        </w:rPr>
        <w:t>wymaganych</w:t>
      </w:r>
      <w:r w:rsidR="00CB5A34" w:rsidRPr="00565025">
        <w:rPr>
          <w:rFonts w:ascii="Times New Roman" w:eastAsia="Times New Roman" w:hAnsi="Times New Roman"/>
          <w:lang w:eastAsia="pl-PL"/>
        </w:rPr>
        <w:t xml:space="preserve"> do rozpatrzenia sprawy</w:t>
      </w:r>
      <w:r w:rsidR="00565025">
        <w:rPr>
          <w:rFonts w:ascii="Times New Roman" w:eastAsia="Times New Roman" w:hAnsi="Times New Roman"/>
          <w:lang w:eastAsia="pl-PL"/>
        </w:rPr>
        <w:t xml:space="preserve">, </w:t>
      </w:r>
      <w:r w:rsidR="00FB1FFA">
        <w:rPr>
          <w:rFonts w:ascii="Times New Roman" w:eastAsia="Times New Roman" w:hAnsi="Times New Roman"/>
          <w:lang w:eastAsia="pl-PL"/>
        </w:rPr>
        <w:t xml:space="preserve">w tym </w:t>
      </w:r>
      <w:r w:rsidR="00E16D98">
        <w:rPr>
          <w:rFonts w:ascii="Times New Roman" w:eastAsia="Times New Roman" w:hAnsi="Times New Roman"/>
          <w:lang w:eastAsia="pl-PL"/>
        </w:rPr>
        <w:t xml:space="preserve">obowiązek </w:t>
      </w:r>
      <w:r>
        <w:rPr>
          <w:rFonts w:ascii="Times New Roman" w:eastAsia="Times New Roman" w:hAnsi="Times New Roman"/>
          <w:lang w:eastAsia="pl-PL"/>
        </w:rPr>
        <w:t>dołącza</w:t>
      </w:r>
      <w:r w:rsidR="00FB1FFA">
        <w:rPr>
          <w:rFonts w:ascii="Times New Roman" w:eastAsia="Times New Roman" w:hAnsi="Times New Roman"/>
          <w:lang w:eastAsia="pl-PL"/>
        </w:rPr>
        <w:t xml:space="preserve">nia </w:t>
      </w:r>
      <w:r>
        <w:rPr>
          <w:rFonts w:ascii="Times New Roman" w:eastAsia="Times New Roman" w:hAnsi="Times New Roman"/>
          <w:lang w:eastAsia="pl-PL"/>
        </w:rPr>
        <w:t>na etapie składania</w:t>
      </w:r>
      <w:r w:rsidR="00FB1FFA">
        <w:rPr>
          <w:rFonts w:ascii="Times New Roman" w:eastAsia="Times New Roman" w:hAnsi="Times New Roman"/>
          <w:lang w:eastAsia="pl-PL"/>
        </w:rPr>
        <w:t xml:space="preserve"> wniosku dowodu uiszczenia opłaty</w:t>
      </w:r>
      <w:r w:rsidR="00565025">
        <w:rPr>
          <w:rFonts w:ascii="Times New Roman" w:eastAsia="Times New Roman" w:hAnsi="Times New Roman"/>
          <w:lang w:eastAsia="pl-PL"/>
        </w:rPr>
        <w:t xml:space="preserve">. </w:t>
      </w:r>
    </w:p>
    <w:p w14:paraId="49750449" w14:textId="3EE0E751" w:rsidR="00E25721" w:rsidRDefault="00CB5A34" w:rsidP="00030856">
      <w:pPr>
        <w:spacing w:before="120" w:after="120"/>
        <w:jc w:val="both"/>
        <w:rPr>
          <w:sz w:val="22"/>
          <w:szCs w:val="22"/>
        </w:rPr>
      </w:pPr>
      <w:r>
        <w:rPr>
          <w:sz w:val="22"/>
          <w:szCs w:val="22"/>
        </w:rPr>
        <w:t xml:space="preserve">Projekt odnosi się również do pojazdów, o których mowa </w:t>
      </w:r>
      <w:r w:rsidRPr="00CB5A34">
        <w:rPr>
          <w:sz w:val="22"/>
          <w:szCs w:val="22"/>
        </w:rPr>
        <w:t>w art. 73 ust. 2a i 4</w:t>
      </w:r>
      <w:r>
        <w:rPr>
          <w:sz w:val="22"/>
          <w:szCs w:val="22"/>
        </w:rPr>
        <w:t xml:space="preserve"> ustawy </w:t>
      </w:r>
      <w:r w:rsidR="00565025">
        <w:rPr>
          <w:sz w:val="22"/>
          <w:szCs w:val="22"/>
        </w:rPr>
        <w:softHyphen/>
      </w:r>
      <w:r w:rsidR="00565025">
        <w:rPr>
          <w:sz w:val="22"/>
          <w:szCs w:val="22"/>
        </w:rPr>
        <w:softHyphen/>
      </w:r>
      <w:r w:rsidR="00565025">
        <w:rPr>
          <w:sz w:val="22"/>
          <w:szCs w:val="22"/>
        </w:rPr>
        <w:softHyphen/>
      </w:r>
      <w:r w:rsidR="005A57D1">
        <w:rPr>
          <w:sz w:val="22"/>
          <w:szCs w:val="22"/>
        </w:rPr>
        <w:t>–</w:t>
      </w:r>
      <w:r w:rsidR="00565025">
        <w:rPr>
          <w:sz w:val="22"/>
          <w:szCs w:val="22"/>
        </w:rPr>
        <w:t xml:space="preserve"> </w:t>
      </w:r>
      <w:r>
        <w:rPr>
          <w:sz w:val="22"/>
          <w:szCs w:val="22"/>
        </w:rPr>
        <w:t xml:space="preserve">Prawo </w:t>
      </w:r>
      <w:r w:rsidR="00727BAA">
        <w:rPr>
          <w:sz w:val="22"/>
          <w:szCs w:val="22"/>
        </w:rPr>
        <w:br/>
      </w:r>
      <w:r>
        <w:rPr>
          <w:sz w:val="22"/>
          <w:szCs w:val="22"/>
        </w:rPr>
        <w:t xml:space="preserve">o ruchu drogowym, a więc </w:t>
      </w:r>
      <w:r w:rsidR="00727BAA">
        <w:rPr>
          <w:sz w:val="22"/>
          <w:szCs w:val="22"/>
        </w:rPr>
        <w:t>należących do przedstawicielstw dyplomatycznych, konsularnych, sił zbrojnych</w:t>
      </w:r>
      <w:r w:rsidR="00FB1FFA">
        <w:rPr>
          <w:sz w:val="22"/>
          <w:szCs w:val="22"/>
        </w:rPr>
        <w:t xml:space="preserve"> państw obcych</w:t>
      </w:r>
      <w:r w:rsidR="00727BAA">
        <w:rPr>
          <w:sz w:val="22"/>
          <w:szCs w:val="22"/>
        </w:rPr>
        <w:t>. Mając na względzie zobowiązania międzynarodowe</w:t>
      </w:r>
      <w:r w:rsidR="00565025">
        <w:rPr>
          <w:sz w:val="22"/>
          <w:szCs w:val="22"/>
        </w:rPr>
        <w:t xml:space="preserve"> wynikające </w:t>
      </w:r>
      <w:r w:rsidR="005E5804">
        <w:rPr>
          <w:sz w:val="22"/>
          <w:szCs w:val="22"/>
        </w:rPr>
        <w:br/>
      </w:r>
      <w:r w:rsidR="00565025">
        <w:rPr>
          <w:sz w:val="22"/>
          <w:szCs w:val="22"/>
        </w:rPr>
        <w:t>z zawartych umów</w:t>
      </w:r>
      <w:r w:rsidR="00727BAA">
        <w:rPr>
          <w:sz w:val="22"/>
          <w:szCs w:val="22"/>
        </w:rPr>
        <w:t>, w tym zasad</w:t>
      </w:r>
      <w:r w:rsidR="00565025">
        <w:rPr>
          <w:sz w:val="22"/>
          <w:szCs w:val="22"/>
        </w:rPr>
        <w:t>ę</w:t>
      </w:r>
      <w:r w:rsidR="00727BAA">
        <w:rPr>
          <w:sz w:val="22"/>
          <w:szCs w:val="22"/>
        </w:rPr>
        <w:t xml:space="preserve"> wzajemności</w:t>
      </w:r>
      <w:r w:rsidR="00FB1FFA">
        <w:rPr>
          <w:sz w:val="22"/>
          <w:szCs w:val="22"/>
        </w:rPr>
        <w:t>, a także dotychczasową praktykę wyda</w:t>
      </w:r>
      <w:r w:rsidR="00E25721">
        <w:rPr>
          <w:sz w:val="22"/>
          <w:szCs w:val="22"/>
        </w:rPr>
        <w:t>wa</w:t>
      </w:r>
      <w:r w:rsidR="00FB1FFA">
        <w:rPr>
          <w:sz w:val="22"/>
          <w:szCs w:val="22"/>
        </w:rPr>
        <w:t>nia odstępstw w przypadku tego rodzaju pojazdów</w:t>
      </w:r>
      <w:r w:rsidR="00565025">
        <w:rPr>
          <w:sz w:val="22"/>
          <w:szCs w:val="22"/>
        </w:rPr>
        <w:t xml:space="preserve">, </w:t>
      </w:r>
      <w:r w:rsidR="00E25721">
        <w:rPr>
          <w:sz w:val="22"/>
          <w:szCs w:val="22"/>
        </w:rPr>
        <w:t>wprowadzono zwolnienie z ponoszenia opłat</w:t>
      </w:r>
      <w:r w:rsidR="005E5804">
        <w:rPr>
          <w:sz w:val="22"/>
          <w:szCs w:val="22"/>
        </w:rPr>
        <w:t xml:space="preserve"> za wydanie odstępstw wobec</w:t>
      </w:r>
      <w:r w:rsidR="00E25721">
        <w:rPr>
          <w:sz w:val="22"/>
          <w:szCs w:val="22"/>
        </w:rPr>
        <w:t xml:space="preserve"> członków przedstawicielstw dyplomatycznych, konsularnych czy też sił zbrojnych. Ponadto </w:t>
      </w:r>
      <w:r w:rsidR="00FB1FFA">
        <w:rPr>
          <w:sz w:val="22"/>
          <w:szCs w:val="22"/>
        </w:rPr>
        <w:t xml:space="preserve">odstępstwa od warunków technicznych będą udzielane na wniosek składany </w:t>
      </w:r>
      <w:r w:rsidR="00A4355A">
        <w:rPr>
          <w:sz w:val="22"/>
          <w:szCs w:val="22"/>
        </w:rPr>
        <w:br/>
      </w:r>
      <w:r w:rsidR="00FB1FFA">
        <w:rPr>
          <w:sz w:val="22"/>
          <w:szCs w:val="22"/>
        </w:rPr>
        <w:t>za pośrednictwem Ministra Obrony Narodowej albo ministra właściwego do spraw zagranicznych,</w:t>
      </w:r>
      <w:r w:rsidR="00E25721">
        <w:rPr>
          <w:sz w:val="22"/>
          <w:szCs w:val="22"/>
        </w:rPr>
        <w:t xml:space="preserve"> </w:t>
      </w:r>
      <w:r w:rsidR="00FB1FFA">
        <w:rPr>
          <w:sz w:val="22"/>
          <w:szCs w:val="22"/>
        </w:rPr>
        <w:t>bez konieczności składania dokumentów wymaganych w procedurze odstępstw</w:t>
      </w:r>
      <w:r w:rsidR="005E5804">
        <w:rPr>
          <w:sz w:val="22"/>
          <w:szCs w:val="22"/>
        </w:rPr>
        <w:t>.</w:t>
      </w:r>
      <w:r w:rsidR="00E25721">
        <w:rPr>
          <w:sz w:val="22"/>
          <w:szCs w:val="22"/>
        </w:rPr>
        <w:t xml:space="preserve"> </w:t>
      </w:r>
      <w:r w:rsidR="004B1D42">
        <w:rPr>
          <w:sz w:val="22"/>
          <w:szCs w:val="22"/>
        </w:rPr>
        <w:t xml:space="preserve"> </w:t>
      </w:r>
      <w:r w:rsidR="005E5804">
        <w:rPr>
          <w:sz w:val="22"/>
          <w:szCs w:val="22"/>
        </w:rPr>
        <w:t>Dodatkowo</w:t>
      </w:r>
      <w:r w:rsidR="00A4355A">
        <w:rPr>
          <w:sz w:val="22"/>
          <w:szCs w:val="22"/>
        </w:rPr>
        <w:t>,</w:t>
      </w:r>
      <w:r w:rsidR="00FB1FFA">
        <w:rPr>
          <w:sz w:val="22"/>
          <w:szCs w:val="22"/>
        </w:rPr>
        <w:t xml:space="preserve"> </w:t>
      </w:r>
      <w:r w:rsidR="00A4355A" w:rsidRPr="00E25721">
        <w:rPr>
          <w:bCs/>
          <w:sz w:val="22"/>
          <w:szCs w:val="22"/>
        </w:rPr>
        <w:t>w terminie 30 dni od dnia</w:t>
      </w:r>
      <w:r w:rsidR="00A4355A">
        <w:rPr>
          <w:bCs/>
          <w:sz w:val="22"/>
          <w:szCs w:val="22"/>
        </w:rPr>
        <w:t xml:space="preserve"> </w:t>
      </w:r>
      <w:r w:rsidR="00A4355A" w:rsidRPr="00E25721">
        <w:rPr>
          <w:bCs/>
          <w:sz w:val="22"/>
          <w:szCs w:val="22"/>
        </w:rPr>
        <w:t>wydania odstępstwa od warunków technicznych</w:t>
      </w:r>
      <w:r w:rsidR="00A4355A">
        <w:rPr>
          <w:bCs/>
          <w:sz w:val="22"/>
          <w:szCs w:val="22"/>
        </w:rPr>
        <w:t xml:space="preserve">, </w:t>
      </w:r>
      <w:r w:rsidR="005E5804" w:rsidRPr="00E25721">
        <w:rPr>
          <w:bCs/>
          <w:sz w:val="22"/>
          <w:szCs w:val="22"/>
        </w:rPr>
        <w:t xml:space="preserve">do Dyrektora </w:t>
      </w:r>
      <w:r w:rsidR="005E5804">
        <w:rPr>
          <w:bCs/>
          <w:sz w:val="22"/>
          <w:szCs w:val="22"/>
        </w:rPr>
        <w:t>TDT</w:t>
      </w:r>
      <w:r w:rsidR="005E5804" w:rsidDel="005E5804">
        <w:rPr>
          <w:sz w:val="22"/>
          <w:szCs w:val="22"/>
        </w:rPr>
        <w:t xml:space="preserve"> </w:t>
      </w:r>
      <w:r w:rsidR="005E5804">
        <w:rPr>
          <w:sz w:val="22"/>
          <w:szCs w:val="22"/>
        </w:rPr>
        <w:t xml:space="preserve">powinno zostać przekazane </w:t>
      </w:r>
      <w:r w:rsidR="00FB1FFA">
        <w:rPr>
          <w:sz w:val="22"/>
          <w:szCs w:val="22"/>
        </w:rPr>
        <w:t>zaświadczeni</w:t>
      </w:r>
      <w:r w:rsidR="005E5804">
        <w:rPr>
          <w:sz w:val="22"/>
          <w:szCs w:val="22"/>
        </w:rPr>
        <w:t>e</w:t>
      </w:r>
      <w:r w:rsidR="00FB1FFA">
        <w:rPr>
          <w:sz w:val="22"/>
          <w:szCs w:val="22"/>
        </w:rPr>
        <w:t xml:space="preserve"> o przeprowadzonym badaniu technicznym</w:t>
      </w:r>
      <w:r w:rsidR="00A4355A">
        <w:rPr>
          <w:sz w:val="22"/>
          <w:szCs w:val="22"/>
        </w:rPr>
        <w:t xml:space="preserve"> pojazdu. </w:t>
      </w:r>
      <w:r w:rsidR="00FB1FFA">
        <w:rPr>
          <w:sz w:val="22"/>
          <w:szCs w:val="22"/>
        </w:rPr>
        <w:t xml:space="preserve">W projekcie określono </w:t>
      </w:r>
      <w:r w:rsidR="00E25721">
        <w:rPr>
          <w:sz w:val="22"/>
          <w:szCs w:val="22"/>
        </w:rPr>
        <w:t xml:space="preserve">również </w:t>
      </w:r>
      <w:r w:rsidR="00FB1FFA">
        <w:rPr>
          <w:sz w:val="22"/>
          <w:szCs w:val="22"/>
        </w:rPr>
        <w:t>zakres danych niezbędnych do wskaza</w:t>
      </w:r>
      <w:r w:rsidR="00E25721">
        <w:rPr>
          <w:sz w:val="22"/>
          <w:szCs w:val="22"/>
        </w:rPr>
        <w:t xml:space="preserve">nia we wniosku o udzielenie odstępstwa. </w:t>
      </w:r>
    </w:p>
    <w:p w14:paraId="29323C90" w14:textId="77777777" w:rsidR="00027D39" w:rsidRPr="005E5804" w:rsidRDefault="00E9457B" w:rsidP="00030856">
      <w:pPr>
        <w:spacing w:before="120" w:after="120"/>
        <w:jc w:val="both"/>
        <w:rPr>
          <w:bCs/>
          <w:sz w:val="22"/>
          <w:szCs w:val="22"/>
        </w:rPr>
      </w:pPr>
      <w:r>
        <w:rPr>
          <w:sz w:val="22"/>
          <w:szCs w:val="22"/>
        </w:rPr>
        <w:t xml:space="preserve">W projekcie </w:t>
      </w:r>
      <w:r w:rsidR="00F64AFD" w:rsidRPr="00970574">
        <w:rPr>
          <w:sz w:val="22"/>
          <w:szCs w:val="22"/>
        </w:rPr>
        <w:t>ustawy</w:t>
      </w:r>
      <w:r w:rsidR="008761E0" w:rsidRPr="00970574">
        <w:rPr>
          <w:sz w:val="22"/>
          <w:szCs w:val="22"/>
        </w:rPr>
        <w:t xml:space="preserve"> </w:t>
      </w:r>
      <w:r w:rsidR="00434C2B" w:rsidRPr="00970574">
        <w:rPr>
          <w:sz w:val="22"/>
          <w:szCs w:val="22"/>
        </w:rPr>
        <w:t xml:space="preserve">wprowadzona </w:t>
      </w:r>
      <w:r w:rsidR="005E5804" w:rsidRPr="00970574">
        <w:rPr>
          <w:sz w:val="22"/>
          <w:szCs w:val="22"/>
        </w:rPr>
        <w:t xml:space="preserve">została </w:t>
      </w:r>
      <w:r w:rsidR="00434C2B" w:rsidRPr="00970574">
        <w:rPr>
          <w:sz w:val="22"/>
          <w:szCs w:val="22"/>
        </w:rPr>
        <w:t xml:space="preserve">nowa delegacja dla ministra właściwego do spraw transportu </w:t>
      </w:r>
      <w:r w:rsidR="008761E0" w:rsidRPr="00970574">
        <w:rPr>
          <w:sz w:val="22"/>
          <w:szCs w:val="22"/>
        </w:rPr>
        <w:t>do określenia</w:t>
      </w:r>
      <w:r w:rsidR="00434C2B" w:rsidRPr="00970574">
        <w:rPr>
          <w:sz w:val="22"/>
          <w:szCs w:val="22"/>
        </w:rPr>
        <w:t xml:space="preserve"> wysokoś</w:t>
      </w:r>
      <w:r w:rsidR="008761E0" w:rsidRPr="00970574">
        <w:rPr>
          <w:sz w:val="22"/>
          <w:szCs w:val="22"/>
        </w:rPr>
        <w:t>ci</w:t>
      </w:r>
      <w:r w:rsidR="005E5804">
        <w:rPr>
          <w:sz w:val="22"/>
          <w:szCs w:val="22"/>
        </w:rPr>
        <w:t xml:space="preserve"> opłat </w:t>
      </w:r>
      <w:r w:rsidR="00434C2B" w:rsidRPr="00970574">
        <w:rPr>
          <w:sz w:val="22"/>
          <w:szCs w:val="22"/>
        </w:rPr>
        <w:t xml:space="preserve">za wydanie </w:t>
      </w:r>
      <w:r w:rsidR="00F92DFB" w:rsidRPr="00970574">
        <w:rPr>
          <w:sz w:val="22"/>
          <w:szCs w:val="22"/>
        </w:rPr>
        <w:t>odstępstwa</w:t>
      </w:r>
      <w:r w:rsidR="00434C2B" w:rsidRPr="00970574">
        <w:rPr>
          <w:sz w:val="22"/>
          <w:szCs w:val="22"/>
        </w:rPr>
        <w:t xml:space="preserve"> od warunków technicznych</w:t>
      </w:r>
      <w:r w:rsidR="0093222F">
        <w:rPr>
          <w:sz w:val="22"/>
          <w:szCs w:val="22"/>
        </w:rPr>
        <w:t>,</w:t>
      </w:r>
      <w:r w:rsidR="00F92DFB" w:rsidRPr="00970574">
        <w:rPr>
          <w:sz w:val="22"/>
          <w:szCs w:val="22"/>
        </w:rPr>
        <w:t xml:space="preserve"> jakim powinien odpowiadać pojazd</w:t>
      </w:r>
      <w:r>
        <w:rPr>
          <w:sz w:val="22"/>
          <w:szCs w:val="22"/>
        </w:rPr>
        <w:t xml:space="preserve">, które będą stanowiły </w:t>
      </w:r>
      <w:r w:rsidRPr="00E9457B">
        <w:rPr>
          <w:bCs/>
          <w:sz w:val="22"/>
          <w:szCs w:val="22"/>
        </w:rPr>
        <w:t xml:space="preserve">przychód </w:t>
      </w:r>
      <w:r>
        <w:rPr>
          <w:bCs/>
          <w:sz w:val="22"/>
          <w:szCs w:val="22"/>
        </w:rPr>
        <w:t>TDT.</w:t>
      </w:r>
    </w:p>
    <w:p w14:paraId="074A2434" w14:textId="6804EAF7" w:rsidR="003F7026" w:rsidRPr="00970574" w:rsidRDefault="003D60A0" w:rsidP="003D60A0">
      <w:pPr>
        <w:jc w:val="both"/>
        <w:rPr>
          <w:sz w:val="22"/>
          <w:szCs w:val="22"/>
        </w:rPr>
      </w:pPr>
      <w:r w:rsidRPr="00970574">
        <w:rPr>
          <w:sz w:val="22"/>
          <w:szCs w:val="22"/>
        </w:rPr>
        <w:t>Ro</w:t>
      </w:r>
      <w:r w:rsidR="005E5804">
        <w:rPr>
          <w:sz w:val="22"/>
          <w:szCs w:val="22"/>
        </w:rPr>
        <w:t>związania przyjęte w projekcie (</w:t>
      </w:r>
      <w:r w:rsidR="005A57D1">
        <w:rPr>
          <w:sz w:val="22"/>
          <w:szCs w:val="22"/>
        </w:rPr>
        <w:t xml:space="preserve">w </w:t>
      </w:r>
      <w:r w:rsidRPr="00970574">
        <w:rPr>
          <w:sz w:val="22"/>
          <w:szCs w:val="22"/>
        </w:rPr>
        <w:t>zakresie art. 80a ust. 2 pkt 3 lit d,</w:t>
      </w:r>
      <w:r w:rsidR="00B23445" w:rsidRPr="00970574">
        <w:rPr>
          <w:sz w:val="22"/>
          <w:szCs w:val="22"/>
        </w:rPr>
        <w:t xml:space="preserve"> art.</w:t>
      </w:r>
      <w:r w:rsidRPr="00970574">
        <w:rPr>
          <w:sz w:val="22"/>
          <w:szCs w:val="22"/>
        </w:rPr>
        <w:t xml:space="preserve"> 80b ust. 1 pkt 24 i</w:t>
      </w:r>
      <w:r w:rsidR="00B23445" w:rsidRPr="00970574">
        <w:rPr>
          <w:sz w:val="22"/>
          <w:szCs w:val="22"/>
        </w:rPr>
        <w:t xml:space="preserve"> ust. 2 oraz art.</w:t>
      </w:r>
      <w:r w:rsidRPr="00970574">
        <w:rPr>
          <w:sz w:val="22"/>
          <w:szCs w:val="22"/>
        </w:rPr>
        <w:t xml:space="preserve"> 80ba ust. 1 pkt 10</w:t>
      </w:r>
      <w:r w:rsidR="00B23445" w:rsidRPr="00970574">
        <w:rPr>
          <w:sz w:val="22"/>
          <w:szCs w:val="22"/>
        </w:rPr>
        <w:t xml:space="preserve"> i ust. 1a</w:t>
      </w:r>
      <w:r w:rsidR="005E5804">
        <w:rPr>
          <w:sz w:val="22"/>
          <w:szCs w:val="22"/>
        </w:rPr>
        <w:t xml:space="preserve">) </w:t>
      </w:r>
      <w:r w:rsidRPr="00970574">
        <w:rPr>
          <w:sz w:val="22"/>
          <w:szCs w:val="22"/>
        </w:rPr>
        <w:t xml:space="preserve"> </w:t>
      </w:r>
      <w:r w:rsidR="003F7026" w:rsidRPr="00970574">
        <w:rPr>
          <w:sz w:val="22"/>
          <w:szCs w:val="22"/>
        </w:rPr>
        <w:t>umożliwiają przekazywanie, gromadzenie i udostępnianie</w:t>
      </w:r>
      <w:r w:rsidRPr="00970574">
        <w:rPr>
          <w:sz w:val="22"/>
          <w:szCs w:val="22"/>
        </w:rPr>
        <w:t xml:space="preserve"> </w:t>
      </w:r>
      <w:r w:rsidR="00A4355A">
        <w:rPr>
          <w:sz w:val="22"/>
          <w:szCs w:val="22"/>
        </w:rPr>
        <w:br/>
      </w:r>
      <w:r w:rsidRPr="00970574">
        <w:rPr>
          <w:sz w:val="22"/>
          <w:szCs w:val="22"/>
        </w:rPr>
        <w:t xml:space="preserve">z </w:t>
      </w:r>
      <w:r w:rsidR="00E9457B">
        <w:rPr>
          <w:sz w:val="22"/>
          <w:szCs w:val="22"/>
        </w:rPr>
        <w:t>centralnej ewidencji pojazdów</w:t>
      </w:r>
      <w:r w:rsidR="00E9457B" w:rsidRPr="00970574">
        <w:rPr>
          <w:sz w:val="22"/>
          <w:szCs w:val="22"/>
        </w:rPr>
        <w:t xml:space="preserve"> </w:t>
      </w:r>
      <w:r w:rsidRPr="00970574">
        <w:rPr>
          <w:sz w:val="22"/>
          <w:szCs w:val="22"/>
        </w:rPr>
        <w:t>danych o odstępstwach od w</w:t>
      </w:r>
      <w:r w:rsidR="003F7026" w:rsidRPr="00970574">
        <w:rPr>
          <w:sz w:val="22"/>
          <w:szCs w:val="22"/>
        </w:rPr>
        <w:t>arunków technicznych</w:t>
      </w:r>
      <w:r w:rsidR="00B23445" w:rsidRPr="00970574">
        <w:rPr>
          <w:sz w:val="22"/>
          <w:szCs w:val="22"/>
        </w:rPr>
        <w:t>.</w:t>
      </w:r>
      <w:r w:rsidRPr="00970574">
        <w:rPr>
          <w:sz w:val="22"/>
          <w:szCs w:val="22"/>
        </w:rPr>
        <w:t xml:space="preserve"> </w:t>
      </w:r>
      <w:r w:rsidR="00B23445" w:rsidRPr="00970574">
        <w:rPr>
          <w:sz w:val="22"/>
          <w:szCs w:val="22"/>
        </w:rPr>
        <w:t xml:space="preserve">Zmiana ta obejmuje </w:t>
      </w:r>
      <w:r w:rsidRPr="00970574">
        <w:rPr>
          <w:sz w:val="22"/>
          <w:szCs w:val="22"/>
        </w:rPr>
        <w:t xml:space="preserve">m.in. budowę aplikacji dostępowej dla TDT oraz API dla tej aplikacji, rozszerzenie zakresu danych po stronie centralnej oraz rozszerzenie zakresu </w:t>
      </w:r>
      <w:r w:rsidR="003F7026" w:rsidRPr="00970574">
        <w:rPr>
          <w:sz w:val="22"/>
          <w:szCs w:val="22"/>
        </w:rPr>
        <w:t>danych w kanałach udostępniania. Przedmiotowa zmiana nie spowoduje skutków finansowych dla organów samorządu terytorialnego oraz nie będzie generowała skutków finansowych dla budżetu państwa. Zmiana zostanie sfinansowana ze środków Funduszu – Centralna Ewidencja Pojazdów i Kierowców.</w:t>
      </w:r>
    </w:p>
    <w:p w14:paraId="425B81BC" w14:textId="77777777" w:rsidR="008D5E23" w:rsidRDefault="00434C2B" w:rsidP="00970574">
      <w:pPr>
        <w:spacing w:before="120" w:after="120"/>
        <w:jc w:val="both"/>
        <w:rPr>
          <w:sz w:val="22"/>
          <w:szCs w:val="22"/>
        </w:rPr>
      </w:pPr>
      <w:r w:rsidRPr="00970574">
        <w:rPr>
          <w:sz w:val="22"/>
          <w:szCs w:val="22"/>
        </w:rPr>
        <w:t xml:space="preserve">Przyczyną wprowadzenia zmiany </w:t>
      </w:r>
      <w:r w:rsidR="00AA5A50" w:rsidRPr="00970574">
        <w:rPr>
          <w:sz w:val="22"/>
          <w:szCs w:val="22"/>
        </w:rPr>
        <w:t>brzmieni</w:t>
      </w:r>
      <w:r w:rsidR="00AA5A50">
        <w:rPr>
          <w:sz w:val="22"/>
          <w:szCs w:val="22"/>
        </w:rPr>
        <w:t>a</w:t>
      </w:r>
      <w:r w:rsidR="00AA5A50" w:rsidRPr="00970574">
        <w:rPr>
          <w:sz w:val="22"/>
          <w:szCs w:val="22"/>
        </w:rPr>
        <w:t xml:space="preserve"> </w:t>
      </w:r>
      <w:r w:rsidRPr="00970574">
        <w:rPr>
          <w:sz w:val="22"/>
          <w:szCs w:val="22"/>
        </w:rPr>
        <w:t xml:space="preserve">art. 67 </w:t>
      </w:r>
      <w:r w:rsidR="00F64AFD" w:rsidRPr="00970574">
        <w:rPr>
          <w:sz w:val="22"/>
          <w:szCs w:val="22"/>
        </w:rPr>
        <w:t>ustawy</w:t>
      </w:r>
      <w:r w:rsidR="00AA5A50">
        <w:rPr>
          <w:sz w:val="22"/>
          <w:szCs w:val="22"/>
        </w:rPr>
        <w:t xml:space="preserve"> –</w:t>
      </w:r>
      <w:r w:rsidR="001D6EA1">
        <w:rPr>
          <w:sz w:val="22"/>
          <w:szCs w:val="22"/>
        </w:rPr>
        <w:t xml:space="preserve"> </w:t>
      </w:r>
      <w:r w:rsidR="00AA5A50">
        <w:rPr>
          <w:sz w:val="22"/>
          <w:szCs w:val="22"/>
        </w:rPr>
        <w:t>Prawo o ruchu drogowym</w:t>
      </w:r>
      <w:r w:rsidR="008D5E23">
        <w:rPr>
          <w:sz w:val="22"/>
          <w:szCs w:val="22"/>
        </w:rPr>
        <w:t xml:space="preserve"> i przekazania Dyrektorowi TDT zadań z zakresu odstępstw</w:t>
      </w:r>
      <w:r w:rsidR="00F64AFD" w:rsidRPr="00970574">
        <w:rPr>
          <w:sz w:val="22"/>
          <w:szCs w:val="22"/>
        </w:rPr>
        <w:t xml:space="preserve"> </w:t>
      </w:r>
      <w:r w:rsidRPr="00970574">
        <w:rPr>
          <w:sz w:val="22"/>
          <w:szCs w:val="22"/>
        </w:rPr>
        <w:t xml:space="preserve">jest bardzo duża liczba wniosków </w:t>
      </w:r>
      <w:r w:rsidR="00AA5A50">
        <w:rPr>
          <w:sz w:val="22"/>
          <w:szCs w:val="22"/>
        </w:rPr>
        <w:t>dotyczących</w:t>
      </w:r>
      <w:r w:rsidR="00AA5A50" w:rsidRPr="00970574">
        <w:rPr>
          <w:sz w:val="22"/>
          <w:szCs w:val="22"/>
        </w:rPr>
        <w:t xml:space="preserve"> </w:t>
      </w:r>
      <w:r w:rsidRPr="00970574">
        <w:rPr>
          <w:sz w:val="22"/>
          <w:szCs w:val="22"/>
        </w:rPr>
        <w:t>odstępstw od warunków technicznych pojazdów wpływających do resor</w:t>
      </w:r>
      <w:r w:rsidR="00AA5A50">
        <w:rPr>
          <w:sz w:val="22"/>
          <w:szCs w:val="22"/>
        </w:rPr>
        <w:t>t</w:t>
      </w:r>
      <w:r w:rsidRPr="00970574">
        <w:rPr>
          <w:sz w:val="22"/>
          <w:szCs w:val="22"/>
        </w:rPr>
        <w:t>u (średnio 1</w:t>
      </w:r>
      <w:r w:rsidR="00186DDC" w:rsidRPr="00970574">
        <w:rPr>
          <w:sz w:val="22"/>
          <w:szCs w:val="22"/>
        </w:rPr>
        <w:t>4</w:t>
      </w:r>
      <w:r w:rsidRPr="00970574">
        <w:rPr>
          <w:sz w:val="22"/>
          <w:szCs w:val="22"/>
        </w:rPr>
        <w:t xml:space="preserve">00 rocznie), która w przypadku pozostawienia zadania we właściwości </w:t>
      </w:r>
      <w:r w:rsidR="00065C0D">
        <w:rPr>
          <w:sz w:val="22"/>
          <w:szCs w:val="22"/>
        </w:rPr>
        <w:t xml:space="preserve">ministra właściwego do spraw transportu </w:t>
      </w:r>
      <w:r w:rsidRPr="00970574">
        <w:rPr>
          <w:sz w:val="22"/>
          <w:szCs w:val="22"/>
        </w:rPr>
        <w:t xml:space="preserve">wymuszałaby stworzenie nowych stanowisk </w:t>
      </w:r>
      <w:r w:rsidR="008761E0" w:rsidRPr="00970574">
        <w:rPr>
          <w:sz w:val="22"/>
          <w:szCs w:val="22"/>
        </w:rPr>
        <w:t xml:space="preserve">pracy </w:t>
      </w:r>
      <w:r w:rsidRPr="00970574">
        <w:rPr>
          <w:sz w:val="22"/>
          <w:szCs w:val="22"/>
        </w:rPr>
        <w:t xml:space="preserve">w resorcie do obsługi obywateli w tym zakresie. </w:t>
      </w:r>
      <w:r w:rsidRPr="00970574">
        <w:rPr>
          <w:sz w:val="22"/>
          <w:szCs w:val="22"/>
        </w:rPr>
        <w:lastRenderedPageBreak/>
        <w:t xml:space="preserve">Wiązałoby się to z koniecznością poniesienia dodatkowych kosztów pozyskania nowych etatów, stworzenia stanowisk pracy i zapewnienia wynagrodzenia dla pracowników. </w:t>
      </w:r>
    </w:p>
    <w:p w14:paraId="4B8CCE88" w14:textId="77777777" w:rsidR="008D5E23" w:rsidRPr="00970574" w:rsidRDefault="00434C2B" w:rsidP="00970574">
      <w:pPr>
        <w:spacing w:before="120" w:after="120"/>
        <w:jc w:val="both"/>
        <w:rPr>
          <w:sz w:val="22"/>
          <w:szCs w:val="22"/>
        </w:rPr>
      </w:pPr>
      <w:r w:rsidRPr="00970574">
        <w:rPr>
          <w:sz w:val="22"/>
          <w:szCs w:val="22"/>
        </w:rPr>
        <w:t>Dodatkowo 1 stycznia 2020 r. weszł</w:t>
      </w:r>
      <w:r w:rsidR="005D6BDD" w:rsidRPr="00970574">
        <w:rPr>
          <w:sz w:val="22"/>
          <w:szCs w:val="22"/>
        </w:rPr>
        <w:t>a</w:t>
      </w:r>
      <w:r w:rsidRPr="00970574">
        <w:rPr>
          <w:sz w:val="22"/>
          <w:szCs w:val="22"/>
        </w:rPr>
        <w:t xml:space="preserve"> w życie ustawa z dnia 19 lipca 2019 r. </w:t>
      </w:r>
      <w:r w:rsidRPr="00AA5A50">
        <w:rPr>
          <w:i/>
          <w:sz w:val="22"/>
          <w:szCs w:val="22"/>
        </w:rPr>
        <w:t xml:space="preserve">o zmianie ustawy </w:t>
      </w:r>
      <w:r w:rsidR="008D5E23">
        <w:rPr>
          <w:i/>
          <w:sz w:val="22"/>
          <w:szCs w:val="22"/>
        </w:rPr>
        <w:br/>
      </w:r>
      <w:r w:rsidRPr="00AA5A50">
        <w:rPr>
          <w:i/>
          <w:sz w:val="22"/>
          <w:szCs w:val="22"/>
        </w:rPr>
        <w:t>o utrzymaniu czystości i porządku w gminach oraz niektórych innych ustaw</w:t>
      </w:r>
      <w:r w:rsidRPr="00970574">
        <w:rPr>
          <w:sz w:val="22"/>
          <w:szCs w:val="22"/>
        </w:rPr>
        <w:t xml:space="preserve"> (Dz. U. z 2019 r. </w:t>
      </w:r>
      <w:r w:rsidR="008D5E23">
        <w:rPr>
          <w:sz w:val="22"/>
          <w:szCs w:val="22"/>
        </w:rPr>
        <w:br/>
      </w:r>
      <w:r w:rsidR="004B6204">
        <w:rPr>
          <w:sz w:val="22"/>
          <w:szCs w:val="22"/>
        </w:rPr>
        <w:t xml:space="preserve">poz. </w:t>
      </w:r>
      <w:r w:rsidRPr="00970574">
        <w:rPr>
          <w:sz w:val="22"/>
          <w:szCs w:val="22"/>
        </w:rPr>
        <w:t>1579), która w art. 4 dokon</w:t>
      </w:r>
      <w:r w:rsidR="001373F4" w:rsidRPr="00970574">
        <w:rPr>
          <w:sz w:val="22"/>
          <w:szCs w:val="22"/>
        </w:rPr>
        <w:t>ała</w:t>
      </w:r>
      <w:r w:rsidRPr="00970574">
        <w:rPr>
          <w:sz w:val="22"/>
          <w:szCs w:val="22"/>
        </w:rPr>
        <w:t xml:space="preserve"> zmiany </w:t>
      </w:r>
      <w:r w:rsidR="00F64AFD" w:rsidRPr="00970574">
        <w:rPr>
          <w:sz w:val="22"/>
          <w:szCs w:val="22"/>
        </w:rPr>
        <w:t>ustawy</w:t>
      </w:r>
      <w:r w:rsidR="004B1D42">
        <w:rPr>
          <w:sz w:val="22"/>
          <w:szCs w:val="22"/>
        </w:rPr>
        <w:t xml:space="preserve"> </w:t>
      </w:r>
      <w:r w:rsidR="00AA5A50" w:rsidRPr="00AA5A50">
        <w:rPr>
          <w:sz w:val="22"/>
          <w:szCs w:val="22"/>
        </w:rPr>
        <w:t>–</w:t>
      </w:r>
      <w:r w:rsidR="004B1D42">
        <w:rPr>
          <w:sz w:val="22"/>
          <w:szCs w:val="22"/>
        </w:rPr>
        <w:t xml:space="preserve"> </w:t>
      </w:r>
      <w:r w:rsidR="00AA5A50" w:rsidRPr="00AA5A50">
        <w:rPr>
          <w:sz w:val="22"/>
          <w:szCs w:val="22"/>
        </w:rPr>
        <w:t>Prawo o ruchu drogowym</w:t>
      </w:r>
      <w:r w:rsidR="004B1D42">
        <w:rPr>
          <w:sz w:val="22"/>
          <w:szCs w:val="22"/>
        </w:rPr>
        <w:t xml:space="preserve"> </w:t>
      </w:r>
      <w:r w:rsidR="00AA5A50" w:rsidRPr="00970574">
        <w:rPr>
          <w:sz w:val="22"/>
          <w:szCs w:val="22"/>
        </w:rPr>
        <w:t>–</w:t>
      </w:r>
      <w:r w:rsidR="004B1D42">
        <w:rPr>
          <w:sz w:val="22"/>
          <w:szCs w:val="22"/>
        </w:rPr>
        <w:t xml:space="preserve"> </w:t>
      </w:r>
      <w:r w:rsidRPr="00970574">
        <w:rPr>
          <w:sz w:val="22"/>
          <w:szCs w:val="22"/>
        </w:rPr>
        <w:t>nowe przepisy wprowadz</w:t>
      </w:r>
      <w:r w:rsidR="005D6BDD" w:rsidRPr="00970574">
        <w:rPr>
          <w:sz w:val="22"/>
          <w:szCs w:val="22"/>
        </w:rPr>
        <w:t>iły</w:t>
      </w:r>
      <w:r w:rsidRPr="00970574">
        <w:rPr>
          <w:sz w:val="22"/>
          <w:szCs w:val="22"/>
        </w:rPr>
        <w:t xml:space="preserve"> kary pieniężne dla </w:t>
      </w:r>
      <w:r w:rsidR="001D6EA1" w:rsidRPr="00970574">
        <w:rPr>
          <w:sz w:val="22"/>
          <w:szCs w:val="22"/>
        </w:rPr>
        <w:t>właściciel</w:t>
      </w:r>
      <w:r w:rsidR="001D6EA1">
        <w:rPr>
          <w:sz w:val="22"/>
          <w:szCs w:val="22"/>
        </w:rPr>
        <w:t>a</w:t>
      </w:r>
      <w:r w:rsidR="001D6EA1" w:rsidRPr="00970574">
        <w:rPr>
          <w:sz w:val="22"/>
          <w:szCs w:val="22"/>
        </w:rPr>
        <w:t xml:space="preserve"> pojazd</w:t>
      </w:r>
      <w:r w:rsidR="001D6EA1">
        <w:rPr>
          <w:sz w:val="22"/>
          <w:szCs w:val="22"/>
        </w:rPr>
        <w:t>u</w:t>
      </w:r>
      <w:r w:rsidR="001D6EA1" w:rsidRPr="00970574">
        <w:rPr>
          <w:sz w:val="22"/>
          <w:szCs w:val="22"/>
        </w:rPr>
        <w:t xml:space="preserve"> </w:t>
      </w:r>
      <w:r w:rsidR="004B1D42" w:rsidRPr="004B1D42">
        <w:rPr>
          <w:sz w:val="22"/>
          <w:szCs w:val="22"/>
        </w:rPr>
        <w:t>niebędąc</w:t>
      </w:r>
      <w:r w:rsidR="001D6EA1">
        <w:rPr>
          <w:sz w:val="22"/>
          <w:szCs w:val="22"/>
        </w:rPr>
        <w:t>ego</w:t>
      </w:r>
      <w:r w:rsidR="004B1D42" w:rsidRPr="004B1D42">
        <w:rPr>
          <w:sz w:val="22"/>
          <w:szCs w:val="22"/>
        </w:rPr>
        <w:t xml:space="preserve"> nowym pojazdem</w:t>
      </w:r>
      <w:r w:rsidR="004B1D42" w:rsidRPr="00970574">
        <w:rPr>
          <w:sz w:val="22"/>
          <w:szCs w:val="22"/>
        </w:rPr>
        <w:t xml:space="preserve"> </w:t>
      </w:r>
      <w:r w:rsidR="008D5E23">
        <w:rPr>
          <w:sz w:val="22"/>
          <w:szCs w:val="22"/>
        </w:rPr>
        <w:t>z powodu niezarejestrowania</w:t>
      </w:r>
      <w:r w:rsidRPr="00970574">
        <w:rPr>
          <w:sz w:val="22"/>
          <w:szCs w:val="22"/>
        </w:rPr>
        <w:t xml:space="preserve"> na terytorium Rzeczypospolitej Polskiej w terminie 30 dni od dnia sprowadzenia</w:t>
      </w:r>
      <w:r w:rsidR="00870B00" w:rsidRPr="00970574">
        <w:rPr>
          <w:sz w:val="22"/>
          <w:szCs w:val="22"/>
        </w:rPr>
        <w:t xml:space="preserve"> </w:t>
      </w:r>
      <w:r w:rsidRPr="00970574">
        <w:rPr>
          <w:sz w:val="22"/>
          <w:szCs w:val="22"/>
        </w:rPr>
        <w:t>pojazdu</w:t>
      </w:r>
      <w:r w:rsidR="008D5E23">
        <w:rPr>
          <w:sz w:val="22"/>
          <w:szCs w:val="22"/>
        </w:rPr>
        <w:t xml:space="preserve"> </w:t>
      </w:r>
      <w:r w:rsidRPr="00970574">
        <w:rPr>
          <w:sz w:val="22"/>
          <w:szCs w:val="22"/>
        </w:rPr>
        <w:t xml:space="preserve">z terytorium państwa członkowskiego </w:t>
      </w:r>
      <w:r w:rsidR="00AA5A50">
        <w:rPr>
          <w:sz w:val="22"/>
          <w:szCs w:val="22"/>
        </w:rPr>
        <w:t>UE</w:t>
      </w:r>
      <w:r w:rsidRPr="00970574">
        <w:rPr>
          <w:sz w:val="22"/>
          <w:szCs w:val="22"/>
        </w:rPr>
        <w:t>. Około 800 takich spraw rocznie jest powiązanych z obowiązkiem uzyskania odstępstwa od warunków technicznych (pojazdy nienormatywne). Aktualnie średni czas uzyskania odstępstwa od warunków technicznych wynosi około 3</w:t>
      </w:r>
      <w:r w:rsidR="008D5E23">
        <w:rPr>
          <w:sz w:val="22"/>
          <w:szCs w:val="22"/>
        </w:rPr>
        <w:t xml:space="preserve"> miesiące</w:t>
      </w:r>
      <w:r w:rsidRPr="00970574">
        <w:rPr>
          <w:sz w:val="22"/>
          <w:szCs w:val="22"/>
        </w:rPr>
        <w:t xml:space="preserve">. Kary pieniężne (od 200 zł do 1000 zł) </w:t>
      </w:r>
      <w:r w:rsidR="00D07A5E" w:rsidRPr="00970574">
        <w:rPr>
          <w:sz w:val="22"/>
          <w:szCs w:val="22"/>
        </w:rPr>
        <w:t>są</w:t>
      </w:r>
      <w:r w:rsidRPr="00970574">
        <w:rPr>
          <w:sz w:val="22"/>
          <w:szCs w:val="22"/>
        </w:rPr>
        <w:t xml:space="preserve"> nakładane przez starostę w sytuacji dokonania naruszenia </w:t>
      </w:r>
      <w:r w:rsidR="008D5E23">
        <w:rPr>
          <w:sz w:val="22"/>
          <w:szCs w:val="22"/>
        </w:rPr>
        <w:br/>
      </w:r>
      <w:r w:rsidRPr="00970574">
        <w:rPr>
          <w:sz w:val="22"/>
          <w:szCs w:val="22"/>
        </w:rPr>
        <w:t>30</w:t>
      </w:r>
      <w:r w:rsidR="008D5E23">
        <w:rPr>
          <w:sz w:val="22"/>
          <w:szCs w:val="22"/>
        </w:rPr>
        <w:t>-</w:t>
      </w:r>
      <w:r w:rsidRPr="00970574">
        <w:rPr>
          <w:sz w:val="22"/>
          <w:szCs w:val="22"/>
        </w:rPr>
        <w:t>dniowego terminu</w:t>
      </w:r>
      <w:r w:rsidR="008D5E23">
        <w:rPr>
          <w:sz w:val="22"/>
          <w:szCs w:val="22"/>
        </w:rPr>
        <w:t>,</w:t>
      </w:r>
      <w:r w:rsidRPr="00970574">
        <w:rPr>
          <w:sz w:val="22"/>
          <w:szCs w:val="22"/>
        </w:rPr>
        <w:t xml:space="preserve"> tak więc może to doprowadzić do sytuacji</w:t>
      </w:r>
      <w:r w:rsidR="00722CD4">
        <w:rPr>
          <w:sz w:val="22"/>
          <w:szCs w:val="22"/>
        </w:rPr>
        <w:t>,</w:t>
      </w:r>
      <w:r w:rsidRPr="00970574">
        <w:rPr>
          <w:sz w:val="22"/>
          <w:szCs w:val="22"/>
        </w:rPr>
        <w:t xml:space="preserve"> w której właściciel pojazdu za niezawinione przez siebie niedopełnienie obowiązku rejestracji pojazdu w terminie 30 dni </w:t>
      </w:r>
      <w:r w:rsidR="00D07A5E" w:rsidRPr="00970574">
        <w:rPr>
          <w:sz w:val="22"/>
          <w:szCs w:val="22"/>
        </w:rPr>
        <w:t>–</w:t>
      </w:r>
      <w:r w:rsidRPr="00970574">
        <w:rPr>
          <w:sz w:val="22"/>
          <w:szCs w:val="22"/>
        </w:rPr>
        <w:t xml:space="preserve"> </w:t>
      </w:r>
      <w:r w:rsidR="008D5E23">
        <w:rPr>
          <w:sz w:val="22"/>
          <w:szCs w:val="22"/>
        </w:rPr>
        <w:br/>
      </w:r>
      <w:r w:rsidRPr="00970574">
        <w:rPr>
          <w:sz w:val="22"/>
          <w:szCs w:val="22"/>
        </w:rPr>
        <w:t>ze względu na długi czas uzysk</w:t>
      </w:r>
      <w:r w:rsidR="00722CD4">
        <w:rPr>
          <w:sz w:val="22"/>
          <w:szCs w:val="22"/>
        </w:rPr>
        <w:t>iw</w:t>
      </w:r>
      <w:r w:rsidRPr="00970574">
        <w:rPr>
          <w:sz w:val="22"/>
          <w:szCs w:val="22"/>
        </w:rPr>
        <w:t xml:space="preserve">ania w Ministerstwie Infrastruktury odstępstwa od warunków technicznych, będzie domagał się zadośćuczynienia finansowego. Dlatego zasadne jest przekazanie kompetencji </w:t>
      </w:r>
      <w:r w:rsidR="0093222F">
        <w:rPr>
          <w:sz w:val="22"/>
          <w:szCs w:val="22"/>
        </w:rPr>
        <w:t xml:space="preserve">ministra właściwego do spraw transportu </w:t>
      </w:r>
      <w:r w:rsidRPr="00970574">
        <w:rPr>
          <w:sz w:val="22"/>
          <w:szCs w:val="22"/>
        </w:rPr>
        <w:t>w tym zakresie do jednostki podległe</w:t>
      </w:r>
      <w:r w:rsidR="008D5E23">
        <w:rPr>
          <w:sz w:val="22"/>
          <w:szCs w:val="22"/>
        </w:rPr>
        <w:t>j,</w:t>
      </w:r>
      <w:r w:rsidR="008D5E23" w:rsidRPr="008D5E23">
        <w:rPr>
          <w:sz w:val="22"/>
          <w:szCs w:val="22"/>
        </w:rPr>
        <w:t xml:space="preserve"> kierując się jej dużym doświadczeniem w kwestii warunków technicznych pojazdów, mając na względzie fakt, iż TDT pełni od 2014 r. funkcję polskiej władzy homologacyjnej</w:t>
      </w:r>
      <w:r w:rsidR="008D5E23">
        <w:rPr>
          <w:sz w:val="22"/>
          <w:szCs w:val="22"/>
        </w:rPr>
        <w:t xml:space="preserve">. </w:t>
      </w:r>
      <w:r w:rsidRPr="00970574">
        <w:rPr>
          <w:sz w:val="22"/>
          <w:szCs w:val="22"/>
        </w:rPr>
        <w:t xml:space="preserve">Wpłynie to </w:t>
      </w:r>
      <w:r w:rsidR="008761E0" w:rsidRPr="00970574">
        <w:rPr>
          <w:sz w:val="22"/>
          <w:szCs w:val="22"/>
        </w:rPr>
        <w:t xml:space="preserve">pozytywnie </w:t>
      </w:r>
      <w:r w:rsidRPr="00970574">
        <w:rPr>
          <w:sz w:val="22"/>
          <w:szCs w:val="22"/>
        </w:rPr>
        <w:t>na usprawnienie obsługi obywateli i zapewni realizację zadania w wymaganym terminie.</w:t>
      </w:r>
      <w:r w:rsidR="00027D39" w:rsidRPr="00970574">
        <w:rPr>
          <w:sz w:val="22"/>
          <w:szCs w:val="22"/>
        </w:rPr>
        <w:t xml:space="preserve"> </w:t>
      </w:r>
    </w:p>
    <w:p w14:paraId="73DC0AF3" w14:textId="77777777" w:rsidR="00183373" w:rsidRPr="00970574" w:rsidRDefault="00B95D91" w:rsidP="00027D39">
      <w:pPr>
        <w:spacing w:after="120"/>
        <w:jc w:val="both"/>
        <w:rPr>
          <w:sz w:val="22"/>
          <w:szCs w:val="22"/>
        </w:rPr>
      </w:pPr>
      <w:r w:rsidRPr="00970574">
        <w:rPr>
          <w:sz w:val="22"/>
          <w:szCs w:val="22"/>
        </w:rPr>
        <w:t xml:space="preserve">Jednocześnie </w:t>
      </w:r>
      <w:r w:rsidR="00183373">
        <w:rPr>
          <w:sz w:val="22"/>
          <w:szCs w:val="22"/>
        </w:rPr>
        <w:t>m</w:t>
      </w:r>
      <w:r w:rsidR="00183373" w:rsidRPr="00970574">
        <w:rPr>
          <w:sz w:val="22"/>
          <w:szCs w:val="22"/>
        </w:rPr>
        <w:t xml:space="preserve">inister </w:t>
      </w:r>
      <w:r w:rsidRPr="00970574">
        <w:rPr>
          <w:sz w:val="22"/>
          <w:szCs w:val="22"/>
        </w:rPr>
        <w:t xml:space="preserve">właściwy do spraw transportu, zgodnie z art. 7 ust. 3 ustawy z dnia 21 grudnia 2000 r. </w:t>
      </w:r>
      <w:r w:rsidRPr="00183373">
        <w:rPr>
          <w:i/>
          <w:sz w:val="22"/>
          <w:szCs w:val="22"/>
        </w:rPr>
        <w:t>o dozorze technicznym</w:t>
      </w:r>
      <w:r w:rsidR="00065C0D">
        <w:rPr>
          <w:sz w:val="22"/>
          <w:szCs w:val="22"/>
        </w:rPr>
        <w:t xml:space="preserve"> (Dz. U. z 2019 r. poz. 667</w:t>
      </w:r>
      <w:r w:rsidRPr="00970574">
        <w:rPr>
          <w:sz w:val="22"/>
          <w:szCs w:val="22"/>
        </w:rPr>
        <w:t>,</w:t>
      </w:r>
      <w:r w:rsidR="00065C0D">
        <w:rPr>
          <w:sz w:val="22"/>
          <w:szCs w:val="22"/>
        </w:rPr>
        <w:t xml:space="preserve"> z późn. zm.)</w:t>
      </w:r>
      <w:r w:rsidR="00183373">
        <w:rPr>
          <w:sz w:val="22"/>
          <w:szCs w:val="22"/>
        </w:rPr>
        <w:t>,</w:t>
      </w:r>
      <w:r w:rsidRPr="00970574">
        <w:rPr>
          <w:sz w:val="22"/>
          <w:szCs w:val="22"/>
        </w:rPr>
        <w:t xml:space="preserve"> </w:t>
      </w:r>
      <w:r w:rsidR="00183373">
        <w:rPr>
          <w:sz w:val="22"/>
          <w:szCs w:val="22"/>
        </w:rPr>
        <w:t xml:space="preserve">w rozumieniu przepisów </w:t>
      </w:r>
      <w:r w:rsidR="00183373" w:rsidRPr="00183373">
        <w:rPr>
          <w:sz w:val="22"/>
          <w:szCs w:val="22"/>
        </w:rPr>
        <w:t xml:space="preserve">Kodeksu postępowania administracyjnego, </w:t>
      </w:r>
      <w:r w:rsidRPr="00970574">
        <w:rPr>
          <w:sz w:val="22"/>
          <w:szCs w:val="22"/>
        </w:rPr>
        <w:t xml:space="preserve">będzie organem wyższego stopnia w sprawach należących do zakresu działania </w:t>
      </w:r>
      <w:r w:rsidR="00183373">
        <w:rPr>
          <w:sz w:val="22"/>
          <w:szCs w:val="22"/>
        </w:rPr>
        <w:t>Dyrektora TDT.</w:t>
      </w:r>
    </w:p>
    <w:p w14:paraId="5B9CFA6C" w14:textId="55696EC2" w:rsidR="00027D39" w:rsidRPr="00970574" w:rsidRDefault="00027D39" w:rsidP="00027D39">
      <w:pPr>
        <w:pStyle w:val="NIEARTTEKSTtekstnieartykuowanynppodstprawnarozplubpreambua"/>
        <w:spacing w:before="0" w:after="120" w:line="240" w:lineRule="auto"/>
        <w:ind w:firstLine="0"/>
        <w:rPr>
          <w:rFonts w:ascii="Times New Roman" w:hAnsi="Times New Roman" w:cs="Times New Roman"/>
          <w:sz w:val="22"/>
          <w:szCs w:val="22"/>
        </w:rPr>
      </w:pPr>
      <w:r w:rsidRPr="0081554C">
        <w:rPr>
          <w:rFonts w:ascii="Times New Roman" w:hAnsi="Times New Roman" w:cs="Times New Roman"/>
          <w:sz w:val="22"/>
          <w:szCs w:val="22"/>
        </w:rPr>
        <w:t xml:space="preserve">Zmiana w art. 81b ust. 1 </w:t>
      </w:r>
      <w:r w:rsidR="00F64AFD" w:rsidRPr="0081554C">
        <w:rPr>
          <w:rFonts w:ascii="Times New Roman" w:hAnsi="Times New Roman" w:cs="Times New Roman"/>
          <w:sz w:val="22"/>
          <w:szCs w:val="22"/>
        </w:rPr>
        <w:t xml:space="preserve">ustawy </w:t>
      </w:r>
      <w:r w:rsidR="005A57D1">
        <w:rPr>
          <w:rFonts w:ascii="Times New Roman" w:hAnsi="Times New Roman" w:cs="Times New Roman"/>
          <w:sz w:val="22"/>
          <w:szCs w:val="22"/>
        </w:rPr>
        <w:t xml:space="preserve">– Prawo o ruchu drogowym </w:t>
      </w:r>
      <w:r w:rsidRPr="0081554C">
        <w:rPr>
          <w:rFonts w:ascii="Times New Roman" w:hAnsi="Times New Roman" w:cs="Times New Roman"/>
          <w:sz w:val="22"/>
          <w:szCs w:val="22"/>
        </w:rPr>
        <w:t>(</w:t>
      </w:r>
      <w:r w:rsidR="00D07A5E" w:rsidRPr="0081554C">
        <w:rPr>
          <w:rFonts w:ascii="Times New Roman" w:hAnsi="Times New Roman" w:cs="Times New Roman"/>
          <w:sz w:val="22"/>
          <w:szCs w:val="22"/>
        </w:rPr>
        <w:t xml:space="preserve">dodany przez </w:t>
      </w:r>
      <w:r w:rsidRPr="0081554C">
        <w:rPr>
          <w:rFonts w:ascii="Times New Roman" w:hAnsi="Times New Roman" w:cs="Times New Roman"/>
          <w:sz w:val="22"/>
          <w:szCs w:val="22"/>
        </w:rPr>
        <w:t xml:space="preserve">art. 1 pkt 5 ustawy z dnia 15 marca 2019 r. o zmianie ustawy – Prawo o ruchu drogowym oraz ustawy – Kodeks karny) ma na celu dostosowanie katalogu pojazdów, które z uwagi na wymianę drogomierza powinny zostać poddane procedurze związanej z wymianą drogomierza do zbioru pojazdów gromadzonych </w:t>
      </w:r>
      <w:r w:rsidR="005A57D1">
        <w:rPr>
          <w:rFonts w:ascii="Times New Roman" w:hAnsi="Times New Roman" w:cs="Times New Roman"/>
          <w:sz w:val="22"/>
          <w:szCs w:val="22"/>
        </w:rPr>
        <w:br/>
      </w:r>
      <w:r w:rsidRPr="0081554C">
        <w:rPr>
          <w:rFonts w:ascii="Times New Roman" w:hAnsi="Times New Roman" w:cs="Times New Roman"/>
          <w:sz w:val="22"/>
          <w:szCs w:val="22"/>
        </w:rPr>
        <w:t xml:space="preserve">w centralnej ewidencji pojazdów i przekazywaniem tej informacji do centralnej ewidencji pojazdów oraz </w:t>
      </w:r>
      <w:proofErr w:type="spellStart"/>
      <w:r w:rsidRPr="0081554C">
        <w:rPr>
          <w:rFonts w:ascii="Times New Roman" w:hAnsi="Times New Roman" w:cs="Times New Roman"/>
          <w:sz w:val="22"/>
          <w:szCs w:val="22"/>
        </w:rPr>
        <w:t>uspójnienie</w:t>
      </w:r>
      <w:proofErr w:type="spellEnd"/>
      <w:r w:rsidRPr="0081554C">
        <w:rPr>
          <w:rFonts w:ascii="Times New Roman" w:hAnsi="Times New Roman" w:cs="Times New Roman"/>
          <w:sz w:val="22"/>
          <w:szCs w:val="22"/>
        </w:rPr>
        <w:t xml:space="preserve"> art. 81b </w:t>
      </w:r>
      <w:r w:rsidR="00D07A5E" w:rsidRPr="0081554C">
        <w:rPr>
          <w:rFonts w:ascii="Times New Roman" w:hAnsi="Times New Roman" w:cs="Times New Roman"/>
          <w:sz w:val="22"/>
          <w:szCs w:val="22"/>
        </w:rPr>
        <w:t xml:space="preserve">ustawy </w:t>
      </w:r>
      <w:r w:rsidR="005A57D1">
        <w:rPr>
          <w:rFonts w:ascii="Times New Roman" w:hAnsi="Times New Roman" w:cs="Times New Roman"/>
          <w:sz w:val="22"/>
          <w:szCs w:val="22"/>
        </w:rPr>
        <w:t xml:space="preserve">– Prawo o ruchu drogowym </w:t>
      </w:r>
      <w:r w:rsidRPr="0081554C">
        <w:rPr>
          <w:rFonts w:ascii="Times New Roman" w:hAnsi="Times New Roman" w:cs="Times New Roman"/>
          <w:sz w:val="22"/>
          <w:szCs w:val="22"/>
        </w:rPr>
        <w:t xml:space="preserve">z zakresem podmiotowym centralnej ewidencji pojazdów określonym w art. 80a ust. 2 pkt 3 </w:t>
      </w:r>
      <w:r w:rsidR="005A57D1">
        <w:rPr>
          <w:rFonts w:ascii="Times New Roman" w:hAnsi="Times New Roman" w:cs="Times New Roman"/>
          <w:sz w:val="22"/>
          <w:szCs w:val="22"/>
        </w:rPr>
        <w:t xml:space="preserve">tej </w:t>
      </w:r>
      <w:r w:rsidR="00F64AFD" w:rsidRPr="0081554C">
        <w:rPr>
          <w:rFonts w:ascii="Times New Roman" w:hAnsi="Times New Roman" w:cs="Times New Roman"/>
          <w:sz w:val="22"/>
          <w:szCs w:val="22"/>
        </w:rPr>
        <w:t>ustawy</w:t>
      </w:r>
      <w:r w:rsidRPr="0081554C">
        <w:rPr>
          <w:rFonts w:ascii="Times New Roman" w:hAnsi="Times New Roman" w:cs="Times New Roman"/>
          <w:sz w:val="22"/>
          <w:szCs w:val="22"/>
        </w:rPr>
        <w:t xml:space="preserve">. Zmiana oznacza, że procedurze związanej z wymianą drogomierza podlegać będą wyłącznie pojazdy, które podlegają rejestracji, </w:t>
      </w:r>
      <w:r w:rsidR="005A57D1">
        <w:rPr>
          <w:rFonts w:ascii="Times New Roman" w:hAnsi="Times New Roman" w:cs="Times New Roman"/>
          <w:sz w:val="22"/>
          <w:szCs w:val="22"/>
        </w:rPr>
        <w:br/>
      </w:r>
      <w:r w:rsidRPr="0081554C">
        <w:rPr>
          <w:rFonts w:ascii="Times New Roman" w:hAnsi="Times New Roman" w:cs="Times New Roman"/>
          <w:sz w:val="22"/>
          <w:szCs w:val="22"/>
        </w:rPr>
        <w:t xml:space="preserve">tj. pojazdy wskazane w art. 71 ust. 1 </w:t>
      </w:r>
      <w:r w:rsidR="005A57D1">
        <w:rPr>
          <w:rFonts w:ascii="Times New Roman" w:hAnsi="Times New Roman" w:cs="Times New Roman"/>
          <w:sz w:val="22"/>
          <w:szCs w:val="22"/>
        </w:rPr>
        <w:t xml:space="preserve">tej </w:t>
      </w:r>
      <w:r w:rsidR="00F64AFD" w:rsidRPr="0081554C">
        <w:rPr>
          <w:rFonts w:ascii="Times New Roman" w:hAnsi="Times New Roman" w:cs="Times New Roman"/>
          <w:sz w:val="22"/>
          <w:szCs w:val="22"/>
        </w:rPr>
        <w:t>ustawy</w:t>
      </w:r>
      <w:r w:rsidRPr="0081554C">
        <w:rPr>
          <w:rFonts w:ascii="Times New Roman" w:hAnsi="Times New Roman" w:cs="Times New Roman"/>
          <w:sz w:val="22"/>
          <w:szCs w:val="22"/>
        </w:rPr>
        <w:t>. Procedura nie będzie obejmowała pojazdu wolnobieżnego, z wyjątkiem pojazdu wolnobieżnego wchodzącego w skład kolejki turystycznej. Wprowadzony</w:t>
      </w:r>
      <w:r w:rsidR="007164F7" w:rsidRPr="0081554C">
        <w:rPr>
          <w:rFonts w:ascii="Times New Roman" w:hAnsi="Times New Roman" w:cs="Times New Roman"/>
          <w:sz w:val="22"/>
          <w:szCs w:val="22"/>
        </w:rPr>
        <w:t>,</w:t>
      </w:r>
      <w:r w:rsidRPr="0081554C">
        <w:rPr>
          <w:rFonts w:ascii="Times New Roman" w:hAnsi="Times New Roman" w:cs="Times New Roman"/>
          <w:sz w:val="22"/>
          <w:szCs w:val="22"/>
        </w:rPr>
        <w:t xml:space="preserve"> ustawą z dnia 15 marca 2019 r. o zmianie ustawy – Prawo o ruchu drogowym oraz ustawy – Kodeks karny</w:t>
      </w:r>
      <w:r w:rsidR="007164F7" w:rsidRPr="0081554C">
        <w:rPr>
          <w:rFonts w:ascii="Times New Roman" w:hAnsi="Times New Roman" w:cs="Times New Roman"/>
          <w:sz w:val="22"/>
          <w:szCs w:val="22"/>
        </w:rPr>
        <w:t>,</w:t>
      </w:r>
      <w:r w:rsidRPr="0081554C">
        <w:rPr>
          <w:rFonts w:ascii="Times New Roman" w:hAnsi="Times New Roman" w:cs="Times New Roman"/>
          <w:sz w:val="22"/>
          <w:szCs w:val="22"/>
        </w:rPr>
        <w:t xml:space="preserve"> art. 81b ust. 1 </w:t>
      </w:r>
      <w:r w:rsidR="00F64AFD" w:rsidRPr="0081554C">
        <w:rPr>
          <w:rFonts w:ascii="Times New Roman" w:hAnsi="Times New Roman" w:cs="Times New Roman"/>
          <w:sz w:val="22"/>
          <w:szCs w:val="22"/>
        </w:rPr>
        <w:t>ustawy</w:t>
      </w:r>
      <w:r w:rsidR="008761E0" w:rsidRPr="0081554C">
        <w:rPr>
          <w:rFonts w:ascii="Times New Roman" w:hAnsi="Times New Roman" w:cs="Times New Roman"/>
          <w:sz w:val="22"/>
          <w:szCs w:val="22"/>
        </w:rPr>
        <w:t xml:space="preserve"> </w:t>
      </w:r>
      <w:r w:rsidRPr="0081554C">
        <w:rPr>
          <w:rFonts w:ascii="Times New Roman" w:hAnsi="Times New Roman" w:cs="Times New Roman"/>
          <w:sz w:val="22"/>
          <w:szCs w:val="22"/>
        </w:rPr>
        <w:t xml:space="preserve">obejmuje zakresem regulacji pojazdy, które zgodnie z definicją określoną w </w:t>
      </w:r>
      <w:r w:rsidR="00183373" w:rsidRPr="0081554C">
        <w:rPr>
          <w:rFonts w:ascii="Times New Roman" w:hAnsi="Times New Roman" w:cs="Times New Roman"/>
          <w:sz w:val="22"/>
          <w:szCs w:val="22"/>
        </w:rPr>
        <w:t>ustawie</w:t>
      </w:r>
      <w:r w:rsidRPr="0081554C">
        <w:rPr>
          <w:rFonts w:ascii="Times New Roman" w:hAnsi="Times New Roman" w:cs="Times New Roman"/>
          <w:sz w:val="22"/>
          <w:szCs w:val="22"/>
        </w:rPr>
        <w:t>, oznaczają „środek transportu przeznaczony do poruszania się po drodze oraz maszynę lub urządzenie do tego przystosowane”. Z tego powodu właści</w:t>
      </w:r>
      <w:r w:rsidR="00D36900" w:rsidRPr="0081554C">
        <w:rPr>
          <w:rFonts w:ascii="Times New Roman" w:hAnsi="Times New Roman" w:cs="Times New Roman"/>
          <w:sz w:val="22"/>
          <w:szCs w:val="22"/>
        </w:rPr>
        <w:t xml:space="preserve">ciel każdego pojazdu (w tym np. </w:t>
      </w:r>
      <w:r w:rsidRPr="0081554C">
        <w:rPr>
          <w:rFonts w:ascii="Times New Roman" w:hAnsi="Times New Roman" w:cs="Times New Roman"/>
          <w:sz w:val="22"/>
          <w:szCs w:val="22"/>
        </w:rPr>
        <w:t xml:space="preserve">wózka widłowego, maszyny budowlanej, itp.), także niepodlegającego rejestracji, miał obowiązek, w terminie 14 dni od dnia wymiany drogomierza przedstawić pojazd w stacji kontroli pojazdów w celu dokonania odczytu wskazania drogomierza. Jednakże, zasadniczo zakres przedmiotowy </w:t>
      </w:r>
      <w:r w:rsidR="00F64AFD" w:rsidRPr="0081554C">
        <w:rPr>
          <w:rFonts w:ascii="Times New Roman" w:hAnsi="Times New Roman" w:cs="Times New Roman"/>
          <w:sz w:val="22"/>
          <w:szCs w:val="22"/>
        </w:rPr>
        <w:t>ustawy</w:t>
      </w:r>
      <w:r w:rsidRPr="0081554C">
        <w:rPr>
          <w:rFonts w:ascii="Times New Roman" w:hAnsi="Times New Roman" w:cs="Times New Roman"/>
          <w:sz w:val="22"/>
          <w:szCs w:val="22"/>
        </w:rPr>
        <w:t xml:space="preserve"> dotyczy pojazdów przystosowanych do poruszania się po drodze. Dodatkowo uprawiony diagnosta, który miałby weryfikować (odczytywać) stan drogomierza we wszystkich pojazdach, nie ma ani uprawnień ani kompetencji do sprawdzania podzespołów np. maszyn </w:t>
      </w:r>
      <w:proofErr w:type="spellStart"/>
      <w:r w:rsidRPr="0081554C">
        <w:rPr>
          <w:rFonts w:ascii="Times New Roman" w:hAnsi="Times New Roman" w:cs="Times New Roman"/>
          <w:sz w:val="22"/>
          <w:szCs w:val="22"/>
        </w:rPr>
        <w:t>niedrogowych</w:t>
      </w:r>
      <w:proofErr w:type="spellEnd"/>
      <w:r w:rsidRPr="0081554C">
        <w:rPr>
          <w:rFonts w:ascii="Times New Roman" w:hAnsi="Times New Roman" w:cs="Times New Roman"/>
          <w:sz w:val="22"/>
          <w:szCs w:val="22"/>
        </w:rPr>
        <w:t>, a same stacje kontroli pojazdów nie są przystosowane do przyjmowania takic</w:t>
      </w:r>
      <w:r w:rsidR="008D5E23" w:rsidRPr="0081554C">
        <w:rPr>
          <w:rFonts w:ascii="Times New Roman" w:hAnsi="Times New Roman" w:cs="Times New Roman"/>
          <w:sz w:val="22"/>
          <w:szCs w:val="22"/>
        </w:rPr>
        <w:t>h pojazdów. Z uwagi na powyższe</w:t>
      </w:r>
      <w:r w:rsidRPr="0081554C">
        <w:rPr>
          <w:rFonts w:ascii="Times New Roman" w:hAnsi="Times New Roman" w:cs="Times New Roman"/>
          <w:sz w:val="22"/>
          <w:szCs w:val="22"/>
        </w:rPr>
        <w:t xml:space="preserve"> oraz fakt, że procedura penalizacji nieuprawnionej ingerencji w drogomierz miała dotyczyć głównie pojazdów samochodowych, przedmiotowa zmiana art. 81b ust. 1 </w:t>
      </w:r>
      <w:r w:rsidR="00F64AFD" w:rsidRPr="0081554C">
        <w:rPr>
          <w:rFonts w:ascii="Times New Roman" w:hAnsi="Times New Roman" w:cs="Times New Roman"/>
          <w:sz w:val="22"/>
          <w:szCs w:val="22"/>
        </w:rPr>
        <w:t>ustawy</w:t>
      </w:r>
      <w:r w:rsidR="004807BA">
        <w:rPr>
          <w:rFonts w:ascii="Times New Roman" w:hAnsi="Times New Roman" w:cs="Times New Roman"/>
          <w:sz w:val="22"/>
          <w:szCs w:val="22"/>
        </w:rPr>
        <w:t xml:space="preserve"> – Prawo o ruchu drogowym</w:t>
      </w:r>
      <w:r w:rsidR="00911BEB" w:rsidRPr="0081554C">
        <w:rPr>
          <w:rFonts w:ascii="Times New Roman" w:hAnsi="Times New Roman" w:cs="Times New Roman"/>
          <w:sz w:val="22"/>
          <w:szCs w:val="22"/>
        </w:rPr>
        <w:t xml:space="preserve"> </w:t>
      </w:r>
      <w:r w:rsidR="0032170A" w:rsidRPr="0081554C">
        <w:rPr>
          <w:rFonts w:ascii="Times New Roman" w:hAnsi="Times New Roman" w:cs="Times New Roman"/>
          <w:sz w:val="22"/>
          <w:szCs w:val="22"/>
        </w:rPr>
        <w:t>(zastąpienie wyrazów  „posiadacz pojazdu</w:t>
      </w:r>
      <w:r w:rsidR="00D36900" w:rsidRPr="0081554C">
        <w:rPr>
          <w:rFonts w:ascii="Times New Roman" w:hAnsi="Times New Roman" w:cs="Times New Roman"/>
          <w:sz w:val="22"/>
          <w:szCs w:val="22"/>
        </w:rPr>
        <w:t>, pojazdu wolnobieżnego</w:t>
      </w:r>
      <w:r w:rsidR="0032170A" w:rsidRPr="0081554C">
        <w:rPr>
          <w:rFonts w:ascii="Times New Roman" w:hAnsi="Times New Roman" w:cs="Times New Roman"/>
          <w:sz w:val="22"/>
          <w:szCs w:val="22"/>
        </w:rPr>
        <w:t>” wyrazami „posiadacz pojazdu samochodowego</w:t>
      </w:r>
      <w:r w:rsidR="00D36900" w:rsidRPr="0081554C">
        <w:rPr>
          <w:rFonts w:ascii="Times New Roman" w:hAnsi="Times New Roman" w:cs="Times New Roman"/>
          <w:sz w:val="22"/>
          <w:szCs w:val="22"/>
        </w:rPr>
        <w:t>, ciągnika rolniczego</w:t>
      </w:r>
      <w:r w:rsidR="0032170A" w:rsidRPr="0081554C">
        <w:rPr>
          <w:rFonts w:ascii="Times New Roman" w:hAnsi="Times New Roman" w:cs="Times New Roman"/>
          <w:sz w:val="22"/>
          <w:szCs w:val="22"/>
        </w:rPr>
        <w:t xml:space="preserve">” </w:t>
      </w:r>
      <w:r w:rsidRPr="0081554C">
        <w:rPr>
          <w:rFonts w:ascii="Times New Roman" w:hAnsi="Times New Roman" w:cs="Times New Roman"/>
          <w:sz w:val="22"/>
          <w:szCs w:val="22"/>
        </w:rPr>
        <w:t xml:space="preserve">pozwala </w:t>
      </w:r>
      <w:r w:rsidR="008761E0" w:rsidRPr="0081554C">
        <w:rPr>
          <w:rFonts w:ascii="Times New Roman" w:hAnsi="Times New Roman" w:cs="Times New Roman"/>
          <w:sz w:val="22"/>
          <w:szCs w:val="22"/>
        </w:rPr>
        <w:t>na doprecyzowanie</w:t>
      </w:r>
      <w:r w:rsidRPr="0081554C">
        <w:rPr>
          <w:rFonts w:ascii="Times New Roman" w:hAnsi="Times New Roman" w:cs="Times New Roman"/>
          <w:sz w:val="22"/>
          <w:szCs w:val="22"/>
        </w:rPr>
        <w:t>, że jedynie właściciel lub posiadacz pojazdu samochodowego, ciągnika rolniczego, pojazdu wolnobieżnego wchodzącego w skład kolejki turystycznej lub motoroweru, także niezarejestrowanego, po wymianie drogomierza, ma obowiązek zgłoszenia się w stacji kontroli pojazdów celem dokonania odczytu</w:t>
      </w:r>
      <w:r w:rsidR="008D5E23" w:rsidRPr="0081554C">
        <w:rPr>
          <w:rFonts w:ascii="Times New Roman" w:hAnsi="Times New Roman" w:cs="Times New Roman"/>
          <w:sz w:val="22"/>
          <w:szCs w:val="22"/>
        </w:rPr>
        <w:t>.</w:t>
      </w:r>
    </w:p>
    <w:p w14:paraId="303FDBAD" w14:textId="293E3242" w:rsidR="00F539B3" w:rsidRPr="00F539B3" w:rsidRDefault="00027D39" w:rsidP="005E5804">
      <w:pPr>
        <w:spacing w:after="120"/>
        <w:jc w:val="both"/>
        <w:rPr>
          <w:sz w:val="22"/>
          <w:szCs w:val="22"/>
        </w:rPr>
      </w:pPr>
      <w:r w:rsidRPr="00970574">
        <w:rPr>
          <w:sz w:val="22"/>
          <w:szCs w:val="22"/>
        </w:rPr>
        <w:lastRenderedPageBreak/>
        <w:t xml:space="preserve">Jednocześnie w dodawanym ust. 2a w art. 81b </w:t>
      </w:r>
      <w:r w:rsidR="00F64AFD" w:rsidRPr="00970574">
        <w:rPr>
          <w:sz w:val="22"/>
          <w:szCs w:val="22"/>
        </w:rPr>
        <w:t>ustawy</w:t>
      </w:r>
      <w:r w:rsidR="00911BEB" w:rsidRPr="00970574">
        <w:rPr>
          <w:sz w:val="22"/>
          <w:szCs w:val="22"/>
        </w:rPr>
        <w:t xml:space="preserve"> </w:t>
      </w:r>
      <w:r w:rsidR="005A57D1">
        <w:rPr>
          <w:sz w:val="22"/>
          <w:szCs w:val="22"/>
        </w:rPr>
        <w:t xml:space="preserve">– Prawo o ruchu drogowym </w:t>
      </w:r>
      <w:r w:rsidRPr="00970574">
        <w:rPr>
          <w:sz w:val="22"/>
          <w:szCs w:val="22"/>
        </w:rPr>
        <w:t xml:space="preserve">wyłącza się </w:t>
      </w:r>
      <w:r w:rsidR="005A57D1">
        <w:rPr>
          <w:sz w:val="22"/>
          <w:szCs w:val="22"/>
        </w:rPr>
        <w:br/>
      </w:r>
      <w:r w:rsidRPr="00970574">
        <w:rPr>
          <w:sz w:val="22"/>
          <w:szCs w:val="22"/>
        </w:rPr>
        <w:t xml:space="preserve">z procedury związanej z wymianą drogomierza pojazdy określone w art. 73 ust. 2b i 3 </w:t>
      </w:r>
      <w:r w:rsidR="005A57D1">
        <w:rPr>
          <w:sz w:val="22"/>
          <w:szCs w:val="22"/>
        </w:rPr>
        <w:t xml:space="preserve">tej </w:t>
      </w:r>
      <w:r w:rsidR="00F64AFD" w:rsidRPr="00970574">
        <w:rPr>
          <w:sz w:val="22"/>
          <w:szCs w:val="22"/>
        </w:rPr>
        <w:t>ustawy</w:t>
      </w:r>
      <w:r w:rsidRPr="00970574">
        <w:rPr>
          <w:sz w:val="22"/>
          <w:szCs w:val="22"/>
        </w:rPr>
        <w:t xml:space="preserve">, </w:t>
      </w:r>
      <w:r w:rsidR="005A57D1">
        <w:rPr>
          <w:sz w:val="22"/>
          <w:szCs w:val="22"/>
        </w:rPr>
        <w:br/>
      </w:r>
      <w:r w:rsidRPr="00970574">
        <w:rPr>
          <w:sz w:val="22"/>
          <w:szCs w:val="22"/>
        </w:rPr>
        <w:t>tj. pojazdy należące do obcych sił zbrojnych przebywających na terytorium Rzeczypospolitej Polskiej, na podstawie umów międzynarodowych oraz pojazdy Sił Zbrojnych Rzeczypospolitej Polskiej, Służby Ochrony Państwa, Policji, Agencji Bezpieczeństwa Wewnętrznego, Agencji Wywiadu, Służby Kontrwywiadu Wojskowego, Służby Wywiadu Wojskowego, Centralnego Biura Antykorupcyjnego, Straży Granicznej oraz Krajowej Administracji Skarbowej wykorzystywan</w:t>
      </w:r>
      <w:r w:rsidR="00911BEB" w:rsidRPr="00970574">
        <w:rPr>
          <w:sz w:val="22"/>
          <w:szCs w:val="22"/>
        </w:rPr>
        <w:t>e</w:t>
      </w:r>
      <w:r w:rsidRPr="00970574">
        <w:rPr>
          <w:sz w:val="22"/>
          <w:szCs w:val="22"/>
        </w:rPr>
        <w:t xml:space="preserve"> przez Służbę Celno-Skarbową. </w:t>
      </w:r>
      <w:r w:rsidR="008761E0" w:rsidRPr="00970574">
        <w:rPr>
          <w:sz w:val="22"/>
          <w:szCs w:val="22"/>
        </w:rPr>
        <w:t>Projektowana</w:t>
      </w:r>
      <w:r w:rsidRPr="00970574">
        <w:rPr>
          <w:sz w:val="22"/>
          <w:szCs w:val="22"/>
        </w:rPr>
        <w:t xml:space="preserve"> zmiana ma fundamentalne znaczeni</w:t>
      </w:r>
      <w:r w:rsidR="008761E0" w:rsidRPr="00970574">
        <w:rPr>
          <w:sz w:val="22"/>
          <w:szCs w:val="22"/>
        </w:rPr>
        <w:t>e</w:t>
      </w:r>
      <w:r w:rsidRPr="00970574">
        <w:rPr>
          <w:sz w:val="22"/>
          <w:szCs w:val="22"/>
        </w:rPr>
        <w:t xml:space="preserve"> dla bezpieczeństwa państwa w zakresie właściwego przetwarzania wrażliwych danych dotyczących pojazdów tych służb. Wyłączenie wynika z jednej strony z braku zasadności objęcia pojazdów rejestrowanych w </w:t>
      </w:r>
      <w:r w:rsidR="00B44B1E">
        <w:rPr>
          <w:sz w:val="22"/>
          <w:szCs w:val="22"/>
        </w:rPr>
        <w:t>ww.</w:t>
      </w:r>
      <w:r w:rsidRPr="00970574">
        <w:rPr>
          <w:sz w:val="22"/>
          <w:szCs w:val="22"/>
        </w:rPr>
        <w:t xml:space="preserve"> trybie procedurą dotyczącą odczytu drogomierza – wskazywane pojazdy są bowiem własnością służb. Jednocześnie wyjaśnić należy, iż zbiór pojazdów rejestrowanych w trybie art. 73 ust. 3 </w:t>
      </w:r>
      <w:r w:rsidR="00F64AFD" w:rsidRPr="00970574">
        <w:rPr>
          <w:sz w:val="22"/>
          <w:szCs w:val="22"/>
        </w:rPr>
        <w:t>ustawy</w:t>
      </w:r>
      <w:r w:rsidR="008761E0" w:rsidRPr="00970574">
        <w:rPr>
          <w:sz w:val="22"/>
          <w:szCs w:val="22"/>
        </w:rPr>
        <w:t xml:space="preserve"> </w:t>
      </w:r>
      <w:r w:rsidR="005A57D1">
        <w:rPr>
          <w:sz w:val="22"/>
          <w:szCs w:val="22"/>
        </w:rPr>
        <w:t xml:space="preserve">– Prawo o ruchu drogowym </w:t>
      </w:r>
      <w:r w:rsidRPr="00970574">
        <w:rPr>
          <w:sz w:val="22"/>
          <w:szCs w:val="22"/>
        </w:rPr>
        <w:t xml:space="preserve">stanowi wyodrębnioną część centralnej ewidencji pojazdów i ze względów bezpieczeństwa zlokalizowany jest w wyodrębnionym środowisku informatycznym bez możliwości szerokiego dostępu on-line. Brak jest zatem technicznej możliwości przekazywania danych o tych pojazdach w trybie przewidywanym dla pojazdów cywilnych. Nie ma możliwości komunikacji z tą częścią ewidencji on-line </w:t>
      </w:r>
      <w:r w:rsidR="00553696" w:rsidRPr="00970574">
        <w:rPr>
          <w:sz w:val="22"/>
          <w:szCs w:val="22"/>
        </w:rPr>
        <w:t xml:space="preserve">podczas kontroli </w:t>
      </w:r>
      <w:r w:rsidRPr="00970574">
        <w:rPr>
          <w:sz w:val="22"/>
          <w:szCs w:val="22"/>
        </w:rPr>
        <w:t>na drodze.</w:t>
      </w:r>
      <w:r w:rsidR="00553696" w:rsidRPr="00970574">
        <w:rPr>
          <w:sz w:val="22"/>
          <w:szCs w:val="22"/>
        </w:rPr>
        <w:t xml:space="preserve"> </w:t>
      </w:r>
      <w:r w:rsidRPr="00970574">
        <w:rPr>
          <w:sz w:val="22"/>
          <w:szCs w:val="22"/>
        </w:rPr>
        <w:t xml:space="preserve">Dodatkowo z dostępu do tej części ewidencji wyłączone są stacje kontroli pojazdów </w:t>
      </w:r>
      <w:r w:rsidR="00D96C9D" w:rsidRPr="00970574">
        <w:rPr>
          <w:sz w:val="22"/>
          <w:szCs w:val="22"/>
        </w:rPr>
        <w:t xml:space="preserve">– </w:t>
      </w:r>
      <w:r w:rsidRPr="00970574">
        <w:rPr>
          <w:sz w:val="22"/>
          <w:szCs w:val="22"/>
        </w:rPr>
        <w:t>podmioty te zatem nie będą miały możliwości przekazania danych o wymianie licznika do ewidencji w zakresie tych pojazdów. Z uwagi na powyższe uzasadnione jest wyłączenie wskazywanego zbioru pojazdów z procedury związanej z odczytem i wymianą drogomierza.</w:t>
      </w:r>
    </w:p>
    <w:p w14:paraId="1CDB388B" w14:textId="7E8A74D0" w:rsidR="00F539B3" w:rsidRPr="004807BA" w:rsidRDefault="00F539B3" w:rsidP="00F539B3">
      <w:pPr>
        <w:jc w:val="both"/>
        <w:rPr>
          <w:i/>
          <w:sz w:val="22"/>
          <w:szCs w:val="22"/>
        </w:rPr>
      </w:pPr>
      <w:r w:rsidRPr="004807BA">
        <w:rPr>
          <w:sz w:val="22"/>
          <w:szCs w:val="22"/>
        </w:rPr>
        <w:t xml:space="preserve">Nowe brzmienie przepisu art. 64d ust. 3 </w:t>
      </w:r>
      <w:r w:rsidR="005A57D1" w:rsidRPr="004807BA">
        <w:rPr>
          <w:sz w:val="22"/>
          <w:szCs w:val="22"/>
        </w:rPr>
        <w:t>ustawy – Prawo o ruchu drogowym</w:t>
      </w:r>
      <w:r w:rsidRPr="004807BA">
        <w:rPr>
          <w:i/>
          <w:sz w:val="22"/>
          <w:szCs w:val="22"/>
        </w:rPr>
        <w:t xml:space="preserve"> </w:t>
      </w:r>
      <w:r w:rsidRPr="004807BA">
        <w:rPr>
          <w:sz w:val="22"/>
          <w:szCs w:val="22"/>
        </w:rPr>
        <w:t xml:space="preserve">ujednolici procedurę wydawania zezwoleń na przejazd pojazdem nienormatywnym. Wprowadza obowiązek dołączenia </w:t>
      </w:r>
      <w:r w:rsidR="005A57D1" w:rsidRPr="004807BA">
        <w:rPr>
          <w:sz w:val="22"/>
          <w:szCs w:val="22"/>
        </w:rPr>
        <w:br/>
      </w:r>
      <w:r w:rsidRPr="004807BA">
        <w:rPr>
          <w:sz w:val="22"/>
          <w:szCs w:val="22"/>
        </w:rPr>
        <w:t xml:space="preserve">do wniosku o wydanie zezwolenia kategorii V dowodu uiszczenia opłaty za wydanie zezwolenia. </w:t>
      </w:r>
      <w:r w:rsidR="005A57D1" w:rsidRPr="004807BA">
        <w:rPr>
          <w:sz w:val="22"/>
          <w:szCs w:val="22"/>
        </w:rPr>
        <w:br/>
      </w:r>
      <w:r w:rsidRPr="004807BA">
        <w:rPr>
          <w:sz w:val="22"/>
          <w:szCs w:val="22"/>
        </w:rPr>
        <w:t>Na podstawie obecnie obowiązujących przepisów, w przypadku złożenia wniosku o wydanie zezwolenia kat I-IV istnieje obowiązek dołączenia do tego wniosku dowodu uiszczenia opłaty za wydanie zezwolenia, natomiast w przypadku</w:t>
      </w:r>
      <w:r w:rsidR="005A57D1" w:rsidRPr="004807BA">
        <w:rPr>
          <w:sz w:val="22"/>
          <w:szCs w:val="22"/>
        </w:rPr>
        <w:t xml:space="preserve"> złożenia wniosku w kategorii V</w:t>
      </w:r>
      <w:r w:rsidRPr="004807BA">
        <w:rPr>
          <w:sz w:val="22"/>
          <w:szCs w:val="22"/>
        </w:rPr>
        <w:t xml:space="preserve"> opłatę za wydanie zezwolenia uiszcza się po złożeniu wniosku przed wydaniem zezwolenia. </w:t>
      </w:r>
    </w:p>
    <w:p w14:paraId="2114E4EB" w14:textId="306545C2" w:rsidR="00F539B3" w:rsidRPr="004807BA" w:rsidRDefault="00F539B3" w:rsidP="005E5804">
      <w:pPr>
        <w:spacing w:after="120"/>
        <w:jc w:val="both"/>
        <w:rPr>
          <w:sz w:val="22"/>
          <w:szCs w:val="22"/>
        </w:rPr>
      </w:pPr>
      <w:r w:rsidRPr="004807BA">
        <w:rPr>
          <w:sz w:val="22"/>
          <w:szCs w:val="22"/>
        </w:rPr>
        <w:t xml:space="preserve">Zmiana w art. 64d ust. 3 ustawy </w:t>
      </w:r>
      <w:r w:rsidR="005A57D1" w:rsidRPr="004807BA">
        <w:rPr>
          <w:sz w:val="22"/>
          <w:szCs w:val="22"/>
        </w:rPr>
        <w:t>– Prawo o ruchu drogowym</w:t>
      </w:r>
      <w:r w:rsidRPr="004807BA">
        <w:rPr>
          <w:sz w:val="22"/>
          <w:szCs w:val="22"/>
        </w:rPr>
        <w:t xml:space="preserve"> ujednolici obowiązek ponoszenia opłat za wydanie zezwoleń we wszystkich kategoriach zezwoleń. Spowoduje to, iż będą obowiązywały takie same zasady wnoszenia opłat za wydanie zezwoleń dla wszystkich kategorii</w:t>
      </w:r>
      <w:r w:rsidR="008642F5" w:rsidRPr="004807BA">
        <w:rPr>
          <w:sz w:val="22"/>
          <w:szCs w:val="22"/>
        </w:rPr>
        <w:t xml:space="preserve"> (I-V)</w:t>
      </w:r>
      <w:r w:rsidRPr="004807BA">
        <w:rPr>
          <w:sz w:val="22"/>
          <w:szCs w:val="22"/>
        </w:rPr>
        <w:t>. Ponadto wprowadzenie przedmiotowego obowiązku za wydanie zezwolenia w stosunku do zezwolenia V kategorii usprawni pracę organu wydającego takie zezwolenie. W sytuacji braku obowiązku uiszczenia opłaty, w momencie złożenia wniosku o wydanie zezwolenia, wnioskodawcy składają bardzo dużą ilość wniosków, które zgodnie z przepisami kodeksu postępowania administracyjnego organ wydający zezwolenie musi rozpatrzyć (zwykle umarzając postępowanie).</w:t>
      </w:r>
    </w:p>
    <w:p w14:paraId="1E81892A" w14:textId="1B536E63" w:rsidR="008642F5" w:rsidRPr="004807BA" w:rsidRDefault="008642F5" w:rsidP="004807BA">
      <w:pPr>
        <w:spacing w:before="120"/>
        <w:jc w:val="both"/>
        <w:rPr>
          <w:sz w:val="22"/>
          <w:szCs w:val="22"/>
        </w:rPr>
      </w:pPr>
      <w:r w:rsidRPr="004807BA">
        <w:rPr>
          <w:sz w:val="22"/>
          <w:szCs w:val="22"/>
        </w:rPr>
        <w:t xml:space="preserve">Ponadto zmiana ta </w:t>
      </w:r>
      <w:r w:rsidRPr="004807BA">
        <w:rPr>
          <w:spacing w:val="4"/>
          <w:sz w:val="22"/>
          <w:szCs w:val="22"/>
        </w:rPr>
        <w:t>uwzględnia postulaty Mi</w:t>
      </w:r>
      <w:r w:rsidR="005A57D1" w:rsidRPr="004807BA">
        <w:rPr>
          <w:spacing w:val="4"/>
          <w:sz w:val="22"/>
          <w:szCs w:val="22"/>
        </w:rPr>
        <w:t>nisterstwa Klimatu i Środowiska</w:t>
      </w:r>
      <w:r w:rsidRPr="004807BA">
        <w:rPr>
          <w:spacing w:val="4"/>
          <w:sz w:val="22"/>
          <w:szCs w:val="22"/>
        </w:rPr>
        <w:t xml:space="preserve"> dotyczące zapewnienia sprawnej realizacji wniosków o wydanie zezwoleń na przejazdy pojazdów nienormatywnych, w związku ze wzrostem ilości przejazdów</w:t>
      </w:r>
      <w:r w:rsidR="005A57D1" w:rsidRPr="004807BA">
        <w:rPr>
          <w:spacing w:val="4"/>
          <w:sz w:val="22"/>
          <w:szCs w:val="22"/>
        </w:rPr>
        <w:t>,</w:t>
      </w:r>
      <w:r w:rsidRPr="004807BA">
        <w:rPr>
          <w:spacing w:val="4"/>
          <w:sz w:val="22"/>
          <w:szCs w:val="22"/>
        </w:rPr>
        <w:t xml:space="preserve"> jakie wynikać będą z „Krajowego planu na rzecz energii i klimatu na lata 2021-2030”.</w:t>
      </w:r>
    </w:p>
    <w:p w14:paraId="6A77D0D8" w14:textId="6AD03A44" w:rsidR="005C76CC" w:rsidRDefault="005C76CC" w:rsidP="00032466">
      <w:pPr>
        <w:pStyle w:val="ARTartustawynprozporzdzenia"/>
        <w:spacing w:line="240" w:lineRule="auto"/>
        <w:ind w:firstLine="0"/>
        <w:rPr>
          <w:rFonts w:ascii="Times New Roman" w:eastAsia="Times New Roman" w:hAnsi="Times New Roman" w:cs="Times New Roman"/>
          <w:sz w:val="22"/>
          <w:szCs w:val="22"/>
        </w:rPr>
      </w:pPr>
      <w:r>
        <w:rPr>
          <w:rFonts w:ascii="Times New Roman" w:eastAsia="Times New Roman" w:hAnsi="Times New Roman" w:cs="Times New Roman"/>
          <w:sz w:val="22"/>
          <w:szCs w:val="22"/>
        </w:rPr>
        <w:t>Przepis art.</w:t>
      </w:r>
      <w:r w:rsidR="00032466" w:rsidRPr="00970574">
        <w:rPr>
          <w:rFonts w:ascii="Times New Roman" w:eastAsia="Times New Roman" w:hAnsi="Times New Roman" w:cs="Times New Roman"/>
          <w:sz w:val="22"/>
          <w:szCs w:val="22"/>
        </w:rPr>
        <w:t xml:space="preserve"> 2</w:t>
      </w:r>
      <w:r w:rsidR="007D5B49">
        <w:rPr>
          <w:rFonts w:ascii="Times New Roman" w:eastAsia="Times New Roman" w:hAnsi="Times New Roman" w:cs="Times New Roman"/>
          <w:sz w:val="22"/>
          <w:szCs w:val="22"/>
        </w:rPr>
        <w:t xml:space="preserve"> projektu</w:t>
      </w:r>
      <w:r w:rsidR="00817F53">
        <w:rPr>
          <w:rFonts w:ascii="Times New Roman" w:eastAsia="Times New Roman" w:hAnsi="Times New Roman" w:cs="Times New Roman"/>
          <w:sz w:val="22"/>
          <w:szCs w:val="22"/>
        </w:rPr>
        <w:t xml:space="preserve"> </w:t>
      </w:r>
      <w:r w:rsidR="001A466D">
        <w:rPr>
          <w:rFonts w:ascii="Times New Roman" w:eastAsia="Times New Roman" w:hAnsi="Times New Roman" w:cs="Times New Roman"/>
          <w:sz w:val="22"/>
          <w:szCs w:val="22"/>
        </w:rPr>
        <w:t>o</w:t>
      </w:r>
      <w:r w:rsidR="001A466D" w:rsidRPr="00970574">
        <w:rPr>
          <w:rFonts w:ascii="Times New Roman" w:eastAsia="Times New Roman" w:hAnsi="Times New Roman" w:cs="Times New Roman"/>
          <w:sz w:val="22"/>
          <w:szCs w:val="22"/>
        </w:rPr>
        <w:t>kreśla metodykę postępowania</w:t>
      </w:r>
      <w:r w:rsidR="001A466D">
        <w:rPr>
          <w:rFonts w:ascii="Times New Roman" w:eastAsia="Times New Roman" w:hAnsi="Times New Roman" w:cs="Times New Roman"/>
          <w:sz w:val="22"/>
          <w:szCs w:val="22"/>
        </w:rPr>
        <w:t xml:space="preserve"> w </w:t>
      </w:r>
      <w:r w:rsidR="001A466D" w:rsidRPr="00970574">
        <w:rPr>
          <w:rFonts w:ascii="Times New Roman" w:eastAsia="Times New Roman" w:hAnsi="Times New Roman" w:cs="Times New Roman"/>
          <w:sz w:val="22"/>
          <w:szCs w:val="22"/>
        </w:rPr>
        <w:t>spraw</w:t>
      </w:r>
      <w:r w:rsidR="00817F53">
        <w:rPr>
          <w:rFonts w:ascii="Times New Roman" w:eastAsia="Times New Roman" w:hAnsi="Times New Roman" w:cs="Times New Roman"/>
          <w:sz w:val="22"/>
          <w:szCs w:val="22"/>
        </w:rPr>
        <w:t>ach</w:t>
      </w:r>
      <w:r w:rsidR="001A466D" w:rsidRPr="00970574">
        <w:rPr>
          <w:rFonts w:ascii="Times New Roman" w:eastAsia="Times New Roman" w:hAnsi="Times New Roman" w:cs="Times New Roman"/>
          <w:sz w:val="22"/>
          <w:szCs w:val="22"/>
        </w:rPr>
        <w:t xml:space="preserve"> </w:t>
      </w:r>
      <w:r w:rsidR="001A466D" w:rsidRPr="00970574">
        <w:rPr>
          <w:sz w:val="22"/>
          <w:szCs w:val="22"/>
        </w:rPr>
        <w:t xml:space="preserve">wszczętych przed dniem wejścia </w:t>
      </w:r>
      <w:r w:rsidR="00902367">
        <w:rPr>
          <w:sz w:val="22"/>
          <w:szCs w:val="22"/>
        </w:rPr>
        <w:br/>
      </w:r>
      <w:r w:rsidR="001A466D" w:rsidRPr="00970574">
        <w:rPr>
          <w:sz w:val="22"/>
          <w:szCs w:val="22"/>
        </w:rPr>
        <w:t>w życie ustawy</w:t>
      </w:r>
      <w:r w:rsidR="00817F5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poprzez stosowanie przepisów dotychczasowych</w:t>
      </w:r>
      <w:r w:rsidR="00817F53">
        <w:rPr>
          <w:rFonts w:ascii="Times New Roman" w:eastAsia="Times New Roman" w:hAnsi="Times New Roman" w:cs="Times New Roman"/>
          <w:sz w:val="22"/>
          <w:szCs w:val="22"/>
        </w:rPr>
        <w:t xml:space="preserve"> </w:t>
      </w:r>
      <w:r w:rsidR="00817F53" w:rsidRPr="00817F53">
        <w:rPr>
          <w:rFonts w:ascii="Times New Roman" w:eastAsia="Times New Roman" w:hAnsi="Times New Roman" w:cs="Times New Roman"/>
          <w:sz w:val="22"/>
          <w:szCs w:val="22"/>
        </w:rPr>
        <w:t>–</w:t>
      </w:r>
      <w:r w:rsidR="00817F5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ponadto wprowadza zachowanie ważności dla</w:t>
      </w:r>
      <w:r w:rsidRPr="005C76CC">
        <w:rPr>
          <w:rFonts w:ascii="Times New Roman" w:eastAsia="Times New Roman" w:hAnsi="Times New Roman" w:cs="Times New Roman"/>
          <w:sz w:val="22"/>
          <w:szCs w:val="22"/>
        </w:rPr>
        <w:t xml:space="preserve"> </w:t>
      </w:r>
      <w:r w:rsidRPr="00970574">
        <w:rPr>
          <w:rFonts w:ascii="Times New Roman" w:eastAsia="Times New Roman" w:hAnsi="Times New Roman" w:cs="Times New Roman"/>
          <w:sz w:val="22"/>
          <w:szCs w:val="22"/>
        </w:rPr>
        <w:t>decyzj</w:t>
      </w:r>
      <w:r>
        <w:rPr>
          <w:rFonts w:ascii="Times New Roman" w:eastAsia="Times New Roman" w:hAnsi="Times New Roman" w:cs="Times New Roman"/>
          <w:sz w:val="22"/>
          <w:szCs w:val="22"/>
        </w:rPr>
        <w:t>i</w:t>
      </w:r>
      <w:r w:rsidRPr="00970574">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dotyczących</w:t>
      </w:r>
      <w:r w:rsidRPr="00970574">
        <w:rPr>
          <w:rFonts w:ascii="Times New Roman" w:eastAsia="Times New Roman" w:hAnsi="Times New Roman" w:cs="Times New Roman"/>
          <w:sz w:val="22"/>
          <w:szCs w:val="22"/>
        </w:rPr>
        <w:t xml:space="preserve"> odstępstw od warunków technicznych</w:t>
      </w:r>
      <w:r>
        <w:rPr>
          <w:rFonts w:ascii="Times New Roman" w:eastAsia="Times New Roman" w:hAnsi="Times New Roman" w:cs="Times New Roman"/>
          <w:sz w:val="22"/>
          <w:szCs w:val="22"/>
        </w:rPr>
        <w:t xml:space="preserve"> wydanych przez ministra właściwego do spraw transportu</w:t>
      </w:r>
      <w:r w:rsidR="00817F53">
        <w:rPr>
          <w:rFonts w:ascii="Times New Roman" w:eastAsia="Times New Roman" w:hAnsi="Times New Roman" w:cs="Times New Roman"/>
          <w:sz w:val="22"/>
          <w:szCs w:val="22"/>
        </w:rPr>
        <w:t>:</w:t>
      </w:r>
      <w:r w:rsidR="00032466" w:rsidRPr="00970574">
        <w:rPr>
          <w:rFonts w:ascii="Times New Roman" w:eastAsia="Times New Roman" w:hAnsi="Times New Roman" w:cs="Times New Roman"/>
          <w:sz w:val="22"/>
          <w:szCs w:val="22"/>
        </w:rPr>
        <w:t xml:space="preserve"> </w:t>
      </w:r>
    </w:p>
    <w:p w14:paraId="1193DE57" w14:textId="77777777" w:rsidR="005C76CC" w:rsidRDefault="00032466" w:rsidP="005E5804">
      <w:pPr>
        <w:pStyle w:val="ARTartustawynprozporzdzenia"/>
        <w:numPr>
          <w:ilvl w:val="0"/>
          <w:numId w:val="2"/>
        </w:numPr>
        <w:spacing w:line="240" w:lineRule="auto"/>
        <w:rPr>
          <w:rFonts w:ascii="Times New Roman" w:eastAsia="Times New Roman" w:hAnsi="Times New Roman" w:cs="Times New Roman"/>
          <w:sz w:val="22"/>
          <w:szCs w:val="22"/>
        </w:rPr>
      </w:pPr>
      <w:r w:rsidRPr="00970574">
        <w:rPr>
          <w:rFonts w:ascii="Times New Roman" w:eastAsia="Times New Roman" w:hAnsi="Times New Roman" w:cs="Times New Roman"/>
          <w:sz w:val="22"/>
          <w:szCs w:val="22"/>
        </w:rPr>
        <w:t xml:space="preserve">przed dniem wejścia w życie </w:t>
      </w:r>
      <w:r w:rsidR="00FC2046">
        <w:rPr>
          <w:rFonts w:ascii="Times New Roman" w:eastAsia="Times New Roman" w:hAnsi="Times New Roman" w:cs="Times New Roman"/>
          <w:sz w:val="22"/>
          <w:szCs w:val="22"/>
        </w:rPr>
        <w:t>projektu</w:t>
      </w:r>
      <w:r w:rsidRPr="00970574">
        <w:rPr>
          <w:rFonts w:ascii="Times New Roman" w:eastAsia="Times New Roman" w:hAnsi="Times New Roman" w:cs="Times New Roman"/>
          <w:sz w:val="22"/>
          <w:szCs w:val="22"/>
        </w:rPr>
        <w:t xml:space="preserve"> ustawy</w:t>
      </w:r>
      <w:r w:rsidR="00FC2046">
        <w:rPr>
          <w:rFonts w:ascii="Times New Roman" w:eastAsia="Times New Roman" w:hAnsi="Times New Roman" w:cs="Times New Roman"/>
          <w:sz w:val="22"/>
          <w:szCs w:val="22"/>
        </w:rPr>
        <w:t>,</w:t>
      </w:r>
    </w:p>
    <w:p w14:paraId="70C56A59" w14:textId="77777777" w:rsidR="00032466" w:rsidRPr="00970574" w:rsidRDefault="005C76CC" w:rsidP="005E5804">
      <w:pPr>
        <w:pStyle w:val="ARTartustawynprozporzdzenia"/>
        <w:numPr>
          <w:ilvl w:val="0"/>
          <w:numId w:val="2"/>
        </w:numPr>
        <w:spacing w:line="240" w:lineRule="auto"/>
        <w:rPr>
          <w:rFonts w:ascii="Times New Roman" w:eastAsia="Times New Roman" w:hAnsi="Times New Roman" w:cs="Times New Roman"/>
          <w:sz w:val="22"/>
          <w:szCs w:val="22"/>
        </w:rPr>
      </w:pPr>
      <w:r w:rsidRPr="007D5B49">
        <w:rPr>
          <w:sz w:val="22"/>
          <w:szCs w:val="22"/>
        </w:rPr>
        <w:t>po dniu we</w:t>
      </w:r>
      <w:r>
        <w:rPr>
          <w:sz w:val="22"/>
          <w:szCs w:val="22"/>
        </w:rPr>
        <w:t xml:space="preserve">jścia w życie niniejszej ustawy, ale </w:t>
      </w:r>
      <w:r w:rsidRPr="007D5B49">
        <w:rPr>
          <w:sz w:val="22"/>
          <w:szCs w:val="22"/>
        </w:rPr>
        <w:t>w sprawach</w:t>
      </w:r>
      <w:r>
        <w:rPr>
          <w:sz w:val="22"/>
          <w:szCs w:val="22"/>
        </w:rPr>
        <w:t xml:space="preserve"> odstępstw, </w:t>
      </w:r>
      <w:r w:rsidRPr="007D5B49">
        <w:rPr>
          <w:sz w:val="22"/>
          <w:szCs w:val="22"/>
        </w:rPr>
        <w:t xml:space="preserve">które zostały wszczęte </w:t>
      </w:r>
      <w:r w:rsidR="00FC2046">
        <w:rPr>
          <w:sz w:val="22"/>
          <w:szCs w:val="22"/>
        </w:rPr>
        <w:br/>
      </w:r>
      <w:r w:rsidRPr="007D5B49">
        <w:rPr>
          <w:sz w:val="22"/>
          <w:szCs w:val="22"/>
        </w:rPr>
        <w:t xml:space="preserve">a niezakończone przed dniem wejścia w życie </w:t>
      </w:r>
      <w:r>
        <w:rPr>
          <w:sz w:val="22"/>
          <w:szCs w:val="22"/>
        </w:rPr>
        <w:t>tejże</w:t>
      </w:r>
      <w:r w:rsidRPr="007D5B49">
        <w:rPr>
          <w:sz w:val="22"/>
          <w:szCs w:val="22"/>
        </w:rPr>
        <w:t xml:space="preserve"> ustawy</w:t>
      </w:r>
      <w:r>
        <w:rPr>
          <w:sz w:val="22"/>
          <w:szCs w:val="22"/>
        </w:rPr>
        <w:t>.</w:t>
      </w:r>
    </w:p>
    <w:p w14:paraId="608DC1C1" w14:textId="557D0939" w:rsidR="00665632" w:rsidRPr="00970574" w:rsidRDefault="00FC2046" w:rsidP="007E64AA">
      <w:pPr>
        <w:spacing w:before="120" w:after="120"/>
        <w:jc w:val="both"/>
        <w:rPr>
          <w:sz w:val="22"/>
          <w:szCs w:val="22"/>
        </w:rPr>
      </w:pPr>
      <w:r>
        <w:rPr>
          <w:sz w:val="22"/>
          <w:szCs w:val="22"/>
        </w:rPr>
        <w:t>Artykuł</w:t>
      </w:r>
      <w:r w:rsidR="005C76CC">
        <w:rPr>
          <w:sz w:val="22"/>
          <w:szCs w:val="22"/>
        </w:rPr>
        <w:t xml:space="preserve"> 3 </w:t>
      </w:r>
      <w:r>
        <w:rPr>
          <w:sz w:val="22"/>
          <w:szCs w:val="22"/>
        </w:rPr>
        <w:t xml:space="preserve">projektu </w:t>
      </w:r>
      <w:r w:rsidR="005C76CC">
        <w:rPr>
          <w:sz w:val="22"/>
          <w:szCs w:val="22"/>
        </w:rPr>
        <w:t>odnosi się do</w:t>
      </w:r>
      <w:r w:rsidR="00032466" w:rsidRPr="00970574">
        <w:rPr>
          <w:sz w:val="22"/>
          <w:szCs w:val="22"/>
        </w:rPr>
        <w:t xml:space="preserve"> </w:t>
      </w:r>
      <w:r w:rsidR="007E64AA" w:rsidRPr="00970574">
        <w:rPr>
          <w:sz w:val="22"/>
          <w:szCs w:val="22"/>
        </w:rPr>
        <w:t xml:space="preserve">daty, która </w:t>
      </w:r>
      <w:r w:rsidR="0093222F">
        <w:rPr>
          <w:sz w:val="22"/>
          <w:szCs w:val="22"/>
        </w:rPr>
        <w:t>będzie określała gotowość bazy centralnej ewidencji pojazdów</w:t>
      </w:r>
      <w:r w:rsidR="007E64AA" w:rsidRPr="00970574">
        <w:rPr>
          <w:sz w:val="22"/>
          <w:szCs w:val="22"/>
        </w:rPr>
        <w:t xml:space="preserve"> do przekazywania do niej informacji dotyczących wydanych odstępstw od warunków technicznych</w:t>
      </w:r>
      <w:r w:rsidR="0093222F">
        <w:rPr>
          <w:sz w:val="22"/>
          <w:szCs w:val="22"/>
        </w:rPr>
        <w:t>,</w:t>
      </w:r>
      <w:r w:rsidR="005C76CC">
        <w:rPr>
          <w:sz w:val="22"/>
          <w:szCs w:val="22"/>
        </w:rPr>
        <w:t xml:space="preserve"> </w:t>
      </w:r>
      <w:r w:rsidR="007E64AA" w:rsidRPr="00970574">
        <w:rPr>
          <w:sz w:val="22"/>
          <w:szCs w:val="22"/>
        </w:rPr>
        <w:t xml:space="preserve">jakim powinien odpowiadać pojazd, </w:t>
      </w:r>
      <w:r w:rsidR="005C76CC">
        <w:rPr>
          <w:sz w:val="22"/>
          <w:szCs w:val="22"/>
        </w:rPr>
        <w:t xml:space="preserve">kwestia ta </w:t>
      </w:r>
      <w:r w:rsidR="007E64AA" w:rsidRPr="00970574">
        <w:rPr>
          <w:sz w:val="22"/>
          <w:szCs w:val="22"/>
        </w:rPr>
        <w:t>pozostaje w gestii ministra wł</w:t>
      </w:r>
      <w:r w:rsidR="007D529D" w:rsidRPr="00970574">
        <w:rPr>
          <w:sz w:val="22"/>
          <w:szCs w:val="22"/>
        </w:rPr>
        <w:t>aściwego do spraw informatyzacji.</w:t>
      </w:r>
      <w:r w:rsidR="007E64AA" w:rsidRPr="00970574">
        <w:rPr>
          <w:sz w:val="22"/>
          <w:szCs w:val="22"/>
        </w:rPr>
        <w:t xml:space="preserve"> </w:t>
      </w:r>
      <w:r w:rsidR="007D529D" w:rsidRPr="00970574">
        <w:rPr>
          <w:sz w:val="22"/>
          <w:szCs w:val="22"/>
        </w:rPr>
        <w:t>W</w:t>
      </w:r>
      <w:r w:rsidR="007E64AA" w:rsidRPr="00970574">
        <w:rPr>
          <w:sz w:val="22"/>
          <w:szCs w:val="22"/>
        </w:rPr>
        <w:t xml:space="preserve"> art</w:t>
      </w:r>
      <w:r w:rsidR="005C76CC">
        <w:rPr>
          <w:sz w:val="22"/>
          <w:szCs w:val="22"/>
        </w:rPr>
        <w:t>ykule</w:t>
      </w:r>
      <w:r w:rsidR="005C76CC" w:rsidRPr="00970574">
        <w:rPr>
          <w:sz w:val="22"/>
          <w:szCs w:val="22"/>
        </w:rPr>
        <w:t xml:space="preserve"> </w:t>
      </w:r>
      <w:r w:rsidR="007E64AA" w:rsidRPr="00970574">
        <w:rPr>
          <w:sz w:val="22"/>
          <w:szCs w:val="22"/>
        </w:rPr>
        <w:t xml:space="preserve">zawarta jest delegacja dla ministra właściwego do spraw informatyzacji do ogłoszenia </w:t>
      </w:r>
      <w:r w:rsidRPr="005C76CC">
        <w:rPr>
          <w:sz w:val="22"/>
          <w:szCs w:val="22"/>
        </w:rPr>
        <w:t xml:space="preserve">w </w:t>
      </w:r>
      <w:r w:rsidR="00A4355A">
        <w:rPr>
          <w:sz w:val="22"/>
          <w:szCs w:val="22"/>
        </w:rPr>
        <w:t>D</w:t>
      </w:r>
      <w:r>
        <w:rPr>
          <w:sz w:val="22"/>
          <w:szCs w:val="22"/>
        </w:rPr>
        <w:t xml:space="preserve">zienniku </w:t>
      </w:r>
      <w:r w:rsidR="00A4355A">
        <w:rPr>
          <w:sz w:val="22"/>
          <w:szCs w:val="22"/>
        </w:rPr>
        <w:t>Ustaw</w:t>
      </w:r>
      <w:r w:rsidRPr="00970574">
        <w:rPr>
          <w:sz w:val="22"/>
          <w:szCs w:val="22"/>
        </w:rPr>
        <w:t xml:space="preserve"> </w:t>
      </w:r>
      <w:r w:rsidR="007E64AA" w:rsidRPr="00970574">
        <w:rPr>
          <w:sz w:val="22"/>
          <w:szCs w:val="22"/>
        </w:rPr>
        <w:t xml:space="preserve">oraz na stronie podmiotowej </w:t>
      </w:r>
      <w:r w:rsidR="00A4410B">
        <w:rPr>
          <w:sz w:val="22"/>
          <w:szCs w:val="22"/>
        </w:rPr>
        <w:t>Biuletynu I</w:t>
      </w:r>
      <w:r w:rsidR="007E64AA" w:rsidRPr="00970574">
        <w:rPr>
          <w:sz w:val="22"/>
          <w:szCs w:val="22"/>
        </w:rPr>
        <w:t xml:space="preserve">nformacji </w:t>
      </w:r>
      <w:r w:rsidR="00A4410B">
        <w:rPr>
          <w:sz w:val="22"/>
          <w:szCs w:val="22"/>
        </w:rPr>
        <w:lastRenderedPageBreak/>
        <w:t>P</w:t>
      </w:r>
      <w:r w:rsidR="007E64AA" w:rsidRPr="00970574">
        <w:rPr>
          <w:sz w:val="22"/>
          <w:szCs w:val="22"/>
        </w:rPr>
        <w:t xml:space="preserve">ublicznej </w:t>
      </w:r>
      <w:r w:rsidR="007D529D" w:rsidRPr="00970574">
        <w:rPr>
          <w:sz w:val="22"/>
          <w:szCs w:val="22"/>
        </w:rPr>
        <w:t>dnia</w:t>
      </w:r>
      <w:r w:rsidR="007E64AA" w:rsidRPr="00970574">
        <w:rPr>
          <w:sz w:val="22"/>
          <w:szCs w:val="22"/>
        </w:rPr>
        <w:t xml:space="preserve"> wdrożenia rozwiązań technicznych umożliwiających przekazywanie informacji dotyczących wydanych odstępstw od warunków technicznych, jakim po</w:t>
      </w:r>
      <w:r w:rsidR="0093222F">
        <w:rPr>
          <w:sz w:val="22"/>
          <w:szCs w:val="22"/>
        </w:rPr>
        <w:t>winien odpowiadać pojazd</w:t>
      </w:r>
      <w:r w:rsidR="007E64AA" w:rsidRPr="00970574">
        <w:rPr>
          <w:sz w:val="22"/>
          <w:szCs w:val="22"/>
        </w:rPr>
        <w:t xml:space="preserve"> do </w:t>
      </w:r>
      <w:r w:rsidR="0093222F">
        <w:rPr>
          <w:sz w:val="22"/>
          <w:szCs w:val="22"/>
        </w:rPr>
        <w:t>centralnej ewidencji pojazdów</w:t>
      </w:r>
      <w:r w:rsidR="007E64AA" w:rsidRPr="00970574">
        <w:rPr>
          <w:sz w:val="22"/>
          <w:szCs w:val="22"/>
        </w:rPr>
        <w:t>.</w:t>
      </w:r>
    </w:p>
    <w:p w14:paraId="394EF8D5" w14:textId="56475006" w:rsidR="007D529D" w:rsidRPr="00970574" w:rsidRDefault="00FC2046" w:rsidP="007E64AA">
      <w:pPr>
        <w:spacing w:before="120" w:after="120"/>
        <w:jc w:val="both"/>
        <w:rPr>
          <w:sz w:val="22"/>
          <w:szCs w:val="22"/>
        </w:rPr>
      </w:pPr>
      <w:r>
        <w:rPr>
          <w:sz w:val="22"/>
          <w:szCs w:val="22"/>
        </w:rPr>
        <w:t>Artykuł</w:t>
      </w:r>
      <w:r w:rsidR="0093222F">
        <w:rPr>
          <w:sz w:val="22"/>
          <w:szCs w:val="22"/>
        </w:rPr>
        <w:t> </w:t>
      </w:r>
      <w:r w:rsidR="007D5B49">
        <w:rPr>
          <w:sz w:val="22"/>
          <w:szCs w:val="22"/>
        </w:rPr>
        <w:t>4</w:t>
      </w:r>
      <w:r w:rsidR="0093222F">
        <w:rPr>
          <w:sz w:val="22"/>
          <w:szCs w:val="22"/>
        </w:rPr>
        <w:t> </w:t>
      </w:r>
      <w:r>
        <w:rPr>
          <w:sz w:val="22"/>
          <w:szCs w:val="22"/>
        </w:rPr>
        <w:t xml:space="preserve">projektu </w:t>
      </w:r>
      <w:r w:rsidR="005A387C">
        <w:rPr>
          <w:sz w:val="22"/>
          <w:szCs w:val="22"/>
        </w:rPr>
        <w:t>o</w:t>
      </w:r>
      <w:r w:rsidR="005A387C" w:rsidRPr="00970574">
        <w:rPr>
          <w:sz w:val="22"/>
          <w:szCs w:val="22"/>
        </w:rPr>
        <w:t xml:space="preserve">kreśla </w:t>
      </w:r>
      <w:r w:rsidR="007D529D" w:rsidRPr="00970574">
        <w:rPr>
          <w:sz w:val="22"/>
          <w:szCs w:val="22"/>
        </w:rPr>
        <w:t xml:space="preserve">kwestię przekazywania do </w:t>
      </w:r>
      <w:r w:rsidR="0093222F">
        <w:rPr>
          <w:sz w:val="22"/>
          <w:szCs w:val="22"/>
        </w:rPr>
        <w:t>centralnej ewidencji pojazdów</w:t>
      </w:r>
      <w:r w:rsidR="007D529D" w:rsidRPr="00970574">
        <w:rPr>
          <w:sz w:val="22"/>
          <w:szCs w:val="22"/>
        </w:rPr>
        <w:t xml:space="preserve"> danych dotyczących wydanych odstępstw od warunków technicznych przez Dyrektora </w:t>
      </w:r>
      <w:r w:rsidR="005A387C">
        <w:rPr>
          <w:sz w:val="22"/>
          <w:szCs w:val="22"/>
        </w:rPr>
        <w:t>TDT</w:t>
      </w:r>
      <w:r w:rsidR="0093222F">
        <w:rPr>
          <w:sz w:val="22"/>
          <w:szCs w:val="22"/>
        </w:rPr>
        <w:t>,</w:t>
      </w:r>
      <w:r w:rsidR="007D529D" w:rsidRPr="00970574">
        <w:rPr>
          <w:sz w:val="22"/>
          <w:szCs w:val="22"/>
        </w:rPr>
        <w:t xml:space="preserve"> zgromadzonych w okresie od dnia wejścia w życie ustawy do dnia wdrożenia rozwiązań technicznych w bazie </w:t>
      </w:r>
      <w:r w:rsidR="0093222F">
        <w:rPr>
          <w:sz w:val="22"/>
          <w:szCs w:val="22"/>
        </w:rPr>
        <w:t>centralnej ewidencji pojazdów</w:t>
      </w:r>
      <w:r w:rsidR="007D529D" w:rsidRPr="00970574">
        <w:rPr>
          <w:sz w:val="22"/>
          <w:szCs w:val="22"/>
        </w:rPr>
        <w:t xml:space="preserve"> umożliwiających takie działanie. Przekazywanie danych rozpocznie się </w:t>
      </w:r>
      <w:r w:rsidR="007D529D" w:rsidRPr="00A4355A">
        <w:rPr>
          <w:sz w:val="22"/>
          <w:szCs w:val="22"/>
        </w:rPr>
        <w:t xml:space="preserve">od dnia </w:t>
      </w:r>
      <w:r w:rsidR="00E300B4">
        <w:rPr>
          <w:sz w:val="22"/>
          <w:szCs w:val="22"/>
        </w:rPr>
        <w:t>31 stycznia</w:t>
      </w:r>
      <w:r w:rsidR="007D529D" w:rsidRPr="00A4355A">
        <w:rPr>
          <w:sz w:val="22"/>
          <w:szCs w:val="22"/>
        </w:rPr>
        <w:t xml:space="preserve"> </w:t>
      </w:r>
      <w:bookmarkStart w:id="0" w:name="_GoBack"/>
      <w:r w:rsidR="007D529D" w:rsidRPr="00A4355A">
        <w:rPr>
          <w:sz w:val="22"/>
          <w:szCs w:val="22"/>
        </w:rPr>
        <w:t>202</w:t>
      </w:r>
      <w:r w:rsidR="00E300B4">
        <w:rPr>
          <w:sz w:val="22"/>
          <w:szCs w:val="22"/>
        </w:rPr>
        <w:t>2</w:t>
      </w:r>
      <w:bookmarkEnd w:id="0"/>
      <w:r w:rsidR="007D529D" w:rsidRPr="00A4355A">
        <w:rPr>
          <w:sz w:val="22"/>
          <w:szCs w:val="22"/>
        </w:rPr>
        <w:t xml:space="preserve"> r.</w:t>
      </w:r>
    </w:p>
    <w:p w14:paraId="25ACD68D" w14:textId="77777777" w:rsidR="007D529D" w:rsidRDefault="00FC2046" w:rsidP="000029B9">
      <w:pPr>
        <w:pStyle w:val="ARTartustawynprozporzdzenia"/>
        <w:spacing w:line="240" w:lineRule="auto"/>
        <w:ind w:firstLine="0"/>
        <w:rPr>
          <w:sz w:val="22"/>
          <w:szCs w:val="22"/>
        </w:rPr>
      </w:pPr>
      <w:r>
        <w:rPr>
          <w:rStyle w:val="Ppogrubienie"/>
          <w:b w:val="0"/>
          <w:sz w:val="22"/>
          <w:szCs w:val="22"/>
        </w:rPr>
        <w:t>Artykuł</w:t>
      </w:r>
      <w:r w:rsidR="000029B9" w:rsidRPr="00970574">
        <w:rPr>
          <w:rStyle w:val="Ppogrubienie"/>
          <w:b w:val="0"/>
          <w:sz w:val="22"/>
          <w:szCs w:val="22"/>
        </w:rPr>
        <w:t xml:space="preserve"> </w:t>
      </w:r>
      <w:r w:rsidR="005A387C">
        <w:rPr>
          <w:rStyle w:val="Ppogrubienie"/>
          <w:b w:val="0"/>
          <w:sz w:val="22"/>
          <w:szCs w:val="22"/>
        </w:rPr>
        <w:t>5</w:t>
      </w:r>
      <w:r w:rsidR="000029B9" w:rsidRPr="00970574">
        <w:rPr>
          <w:rStyle w:val="Ppogrubienie"/>
          <w:b w:val="0"/>
          <w:sz w:val="22"/>
          <w:szCs w:val="22"/>
        </w:rPr>
        <w:t xml:space="preserve"> </w:t>
      </w:r>
      <w:r w:rsidR="005A387C">
        <w:rPr>
          <w:rStyle w:val="Ppogrubienie"/>
          <w:b w:val="0"/>
          <w:sz w:val="22"/>
          <w:szCs w:val="22"/>
        </w:rPr>
        <w:t xml:space="preserve">wskazuje, iż </w:t>
      </w:r>
      <w:r w:rsidR="005A387C">
        <w:rPr>
          <w:sz w:val="22"/>
          <w:szCs w:val="22"/>
        </w:rPr>
        <w:t>d</w:t>
      </w:r>
      <w:r w:rsidR="000029B9" w:rsidRPr="00970574">
        <w:rPr>
          <w:sz w:val="22"/>
          <w:szCs w:val="22"/>
        </w:rPr>
        <w:t xml:space="preserve">otychczasowe przepisy wykonawcze wchodzące w zakres ministra właściwego do </w:t>
      </w:r>
      <w:r w:rsidR="000029B9" w:rsidRPr="00083462">
        <w:rPr>
          <w:sz w:val="22"/>
          <w:szCs w:val="22"/>
        </w:rPr>
        <w:t xml:space="preserve">spraw informatyzacji, a wynikające ze zmian brzmienia nadanego niniejszą ustawą zachowują ważność </w:t>
      </w:r>
      <w:r w:rsidR="00083462" w:rsidRPr="00083462">
        <w:rPr>
          <w:sz w:val="22"/>
          <w:szCs w:val="22"/>
        </w:rPr>
        <w:t xml:space="preserve">jednak nie dłużej niż do dnia wdrożenia rozwiązań technicznych, o których mowa w art. 3  i nie dłużej niż przez 12 miesięcy od dnia wejścia w życie niniejszej ustawy, </w:t>
      </w:r>
      <w:r w:rsidR="000029B9" w:rsidRPr="00083462">
        <w:rPr>
          <w:sz w:val="22"/>
          <w:szCs w:val="22"/>
        </w:rPr>
        <w:t>oraz mogą być zmieniane na podstawie tych przepisów.</w:t>
      </w:r>
    </w:p>
    <w:p w14:paraId="72AFAA86" w14:textId="4716F46F" w:rsidR="00897026" w:rsidRPr="00A4410B" w:rsidRDefault="00897026" w:rsidP="00897026">
      <w:pPr>
        <w:suppressAutoHyphens/>
        <w:autoSpaceDE w:val="0"/>
        <w:autoSpaceDN w:val="0"/>
        <w:adjustRightInd w:val="0"/>
        <w:spacing w:before="120"/>
        <w:jc w:val="both"/>
        <w:rPr>
          <w:rFonts w:ascii="Times" w:hAnsi="Times" w:cs="Arial"/>
          <w:sz w:val="22"/>
          <w:szCs w:val="22"/>
        </w:rPr>
      </w:pPr>
      <w:r w:rsidRPr="00A4410B">
        <w:rPr>
          <w:rFonts w:ascii="Times" w:hAnsi="Times" w:cs="Arial"/>
          <w:sz w:val="22"/>
          <w:szCs w:val="22"/>
        </w:rPr>
        <w:t xml:space="preserve">Artykuł 6 wskazuje, iż przepis art. 64d ust. 3 ustawy </w:t>
      </w:r>
      <w:r w:rsidR="00A4410B" w:rsidRPr="00A4410B">
        <w:rPr>
          <w:rFonts w:ascii="Times" w:hAnsi="Times" w:cs="Arial"/>
          <w:sz w:val="22"/>
          <w:szCs w:val="22"/>
        </w:rPr>
        <w:t>–</w:t>
      </w:r>
      <w:r w:rsidRPr="00A4410B">
        <w:rPr>
          <w:rFonts w:ascii="Times" w:hAnsi="Times" w:cs="Arial"/>
          <w:sz w:val="22"/>
          <w:szCs w:val="22"/>
        </w:rPr>
        <w:t xml:space="preserve"> Prawo o ruchu drogowym w brzmieniu dotychczasowym będzie miał zastosowanie  do wniosków o wydanie zezwolenia kategorii V na przejazd pojazdu nienormatywnego złożonych przed dniem wejścia w życie przepisów niniejszej ustawy. </w:t>
      </w:r>
    </w:p>
    <w:p w14:paraId="582DC593" w14:textId="3C51DD4E" w:rsidR="000029B9" w:rsidRPr="00970574" w:rsidRDefault="00FC2046" w:rsidP="000029B9">
      <w:pPr>
        <w:pStyle w:val="ARTartustawynprozporzdzenia"/>
        <w:spacing w:line="240" w:lineRule="auto"/>
        <w:ind w:firstLine="0"/>
        <w:rPr>
          <w:sz w:val="22"/>
          <w:szCs w:val="22"/>
        </w:rPr>
      </w:pPr>
      <w:r w:rsidRPr="00A4410B">
        <w:rPr>
          <w:sz w:val="22"/>
          <w:szCs w:val="22"/>
        </w:rPr>
        <w:t xml:space="preserve">Zgodnie z art. </w:t>
      </w:r>
      <w:r w:rsidR="002254AC" w:rsidRPr="00A4410B">
        <w:rPr>
          <w:sz w:val="22"/>
          <w:szCs w:val="22"/>
        </w:rPr>
        <w:t xml:space="preserve">7 </w:t>
      </w:r>
      <w:r w:rsidRPr="00A4410B">
        <w:rPr>
          <w:sz w:val="22"/>
          <w:szCs w:val="22"/>
        </w:rPr>
        <w:t>projektu</w:t>
      </w:r>
      <w:r w:rsidR="000029B9" w:rsidRPr="00A4410B">
        <w:rPr>
          <w:sz w:val="22"/>
          <w:szCs w:val="22"/>
        </w:rPr>
        <w:t xml:space="preserve">  </w:t>
      </w:r>
      <w:r w:rsidR="005A387C" w:rsidRPr="00A4410B">
        <w:rPr>
          <w:sz w:val="22"/>
          <w:szCs w:val="22"/>
        </w:rPr>
        <w:t xml:space="preserve">ustawa </w:t>
      </w:r>
      <w:r w:rsidR="000029B9" w:rsidRPr="00970574">
        <w:rPr>
          <w:sz w:val="22"/>
          <w:szCs w:val="22"/>
        </w:rPr>
        <w:t xml:space="preserve">wchodzi w życie </w:t>
      </w:r>
      <w:r w:rsidR="0058550F">
        <w:rPr>
          <w:sz w:val="22"/>
          <w:szCs w:val="22"/>
        </w:rPr>
        <w:t xml:space="preserve">z </w:t>
      </w:r>
      <w:r w:rsidR="0058550F" w:rsidRPr="00A4410B">
        <w:rPr>
          <w:sz w:val="22"/>
          <w:szCs w:val="22"/>
        </w:rPr>
        <w:t xml:space="preserve">dniem 1 </w:t>
      </w:r>
      <w:r w:rsidR="00E300B4">
        <w:rPr>
          <w:sz w:val="22"/>
          <w:szCs w:val="22"/>
        </w:rPr>
        <w:t>stycznia</w:t>
      </w:r>
      <w:r w:rsidR="0058550F" w:rsidRPr="00A4410B">
        <w:rPr>
          <w:sz w:val="22"/>
          <w:szCs w:val="22"/>
        </w:rPr>
        <w:t xml:space="preserve"> 202</w:t>
      </w:r>
      <w:r w:rsidR="00E300B4">
        <w:rPr>
          <w:sz w:val="22"/>
          <w:szCs w:val="22"/>
        </w:rPr>
        <w:t>2</w:t>
      </w:r>
      <w:r w:rsidR="008444E6" w:rsidRPr="00A4410B">
        <w:rPr>
          <w:sz w:val="22"/>
          <w:szCs w:val="22"/>
        </w:rPr>
        <w:t xml:space="preserve"> r.</w:t>
      </w:r>
      <w:r w:rsidR="000029B9" w:rsidRPr="00A4410B">
        <w:rPr>
          <w:sz w:val="22"/>
          <w:szCs w:val="22"/>
        </w:rPr>
        <w:t>,</w:t>
      </w:r>
      <w:r w:rsidR="000029B9" w:rsidRPr="00970574">
        <w:rPr>
          <w:sz w:val="22"/>
          <w:szCs w:val="22"/>
        </w:rPr>
        <w:t xml:space="preserve"> z wyjątkiem </w:t>
      </w:r>
      <w:r>
        <w:rPr>
          <w:sz w:val="22"/>
          <w:szCs w:val="22"/>
        </w:rPr>
        <w:t>przepisów dotyczących gromadzenia danych o odstępstwach</w:t>
      </w:r>
      <w:r w:rsidR="000029B9" w:rsidRPr="00970574">
        <w:rPr>
          <w:sz w:val="22"/>
          <w:szCs w:val="22"/>
        </w:rPr>
        <w:t>, które wchodzą w życie z dniem wdrożenia rozwiązań technicznych umożliwiających przekazywanie informacji dotyczących wydanych odst</w:t>
      </w:r>
      <w:r w:rsidR="00FF28EF">
        <w:rPr>
          <w:sz w:val="22"/>
          <w:szCs w:val="22"/>
        </w:rPr>
        <w:t>ępstw od warunków technicznych</w:t>
      </w:r>
      <w:r w:rsidR="000029B9" w:rsidRPr="00970574" w:rsidDel="008F0943">
        <w:rPr>
          <w:sz w:val="22"/>
          <w:szCs w:val="22"/>
        </w:rPr>
        <w:t xml:space="preserve"> </w:t>
      </w:r>
      <w:r w:rsidR="000029B9" w:rsidRPr="00970574">
        <w:rPr>
          <w:sz w:val="22"/>
          <w:szCs w:val="22"/>
        </w:rPr>
        <w:t xml:space="preserve">do centralnej ewidencji pojazdów. </w:t>
      </w:r>
    </w:p>
    <w:p w14:paraId="6F016BA5" w14:textId="77777777" w:rsidR="00027D39" w:rsidRPr="00970574" w:rsidRDefault="008761E0" w:rsidP="00970574">
      <w:pPr>
        <w:spacing w:before="120" w:after="120"/>
        <w:jc w:val="both"/>
        <w:rPr>
          <w:color w:val="000000" w:themeColor="text1"/>
          <w:sz w:val="22"/>
          <w:szCs w:val="22"/>
        </w:rPr>
      </w:pPr>
      <w:r w:rsidRPr="00AC4DDC">
        <w:rPr>
          <w:color w:val="000000" w:themeColor="text1"/>
          <w:sz w:val="22"/>
          <w:szCs w:val="22"/>
        </w:rPr>
        <w:t>Stosownie do</w:t>
      </w:r>
      <w:r w:rsidR="00434C2B" w:rsidRPr="00AC4DDC">
        <w:rPr>
          <w:color w:val="000000" w:themeColor="text1"/>
          <w:sz w:val="22"/>
          <w:szCs w:val="22"/>
        </w:rPr>
        <w:t xml:space="preserve"> § 27 ust. 4 uchwały nr 190 Rady Ministrów z dnia 29 października 2013 r. – Regulamin pracy Rady Ministrów (M.P. z 2016 r. poz. 1006, z późn. zm.) projekt ustawy nie podlega przedstawieniu właściwym organom i instytucjom Unii Europejskiej, w tym Europejskiemu Bankowi</w:t>
      </w:r>
      <w:r w:rsidR="00434C2B" w:rsidRPr="00970574">
        <w:rPr>
          <w:color w:val="000000" w:themeColor="text1"/>
          <w:sz w:val="22"/>
          <w:szCs w:val="22"/>
        </w:rPr>
        <w:t xml:space="preserve"> Centralnemu, w celu uzyskania opinii, dokonania powiadomienia, konsultacji albo uzgodnienia.</w:t>
      </w:r>
    </w:p>
    <w:p w14:paraId="248B9194" w14:textId="77777777" w:rsidR="00027D39" w:rsidRPr="00AC4DDC" w:rsidRDefault="00434C2B" w:rsidP="00027D39">
      <w:pPr>
        <w:spacing w:after="120"/>
        <w:jc w:val="both"/>
        <w:rPr>
          <w:color w:val="000000" w:themeColor="text1"/>
          <w:sz w:val="22"/>
          <w:szCs w:val="22"/>
        </w:rPr>
      </w:pPr>
      <w:r w:rsidRPr="00AC4DDC">
        <w:rPr>
          <w:color w:val="000000" w:themeColor="text1"/>
          <w:sz w:val="22"/>
          <w:szCs w:val="22"/>
        </w:rPr>
        <w:t xml:space="preserve">Projektowana ustawa nie zawiera przepisów technicznych w rozumieniu rozporządzenia Rady Ministrów z dnia 23 grudnia 2002 r. w sprawie sposobu funkcjonowania krajowego systemu notyfikacji norm i aktów prawnych (Dz. U. </w:t>
      </w:r>
      <w:r w:rsidR="00AC4DDC" w:rsidRPr="00AC4DDC">
        <w:rPr>
          <w:color w:val="000000" w:themeColor="text1"/>
          <w:sz w:val="22"/>
          <w:szCs w:val="22"/>
        </w:rPr>
        <w:t xml:space="preserve">Nr 239, </w:t>
      </w:r>
      <w:r w:rsidRPr="00AC4DDC">
        <w:rPr>
          <w:color w:val="000000" w:themeColor="text1"/>
          <w:sz w:val="22"/>
          <w:szCs w:val="22"/>
        </w:rPr>
        <w:t xml:space="preserve">poz. 2039, z późn. zm.). </w:t>
      </w:r>
    </w:p>
    <w:p w14:paraId="115914B6" w14:textId="387A5805" w:rsidR="00FF28EF" w:rsidRPr="00A4410B" w:rsidRDefault="00F116B0" w:rsidP="00A4410B">
      <w:pPr>
        <w:spacing w:after="120"/>
        <w:contextualSpacing/>
        <w:jc w:val="both"/>
        <w:rPr>
          <w:color w:val="000000" w:themeColor="text1"/>
          <w:sz w:val="22"/>
          <w:szCs w:val="22"/>
        </w:rPr>
      </w:pPr>
      <w:r w:rsidRPr="00AC4DDC">
        <w:rPr>
          <w:color w:val="000000" w:themeColor="text1"/>
          <w:sz w:val="22"/>
          <w:szCs w:val="22"/>
        </w:rPr>
        <w:t xml:space="preserve">Projekt wpływa na działalność mikro-, małych i średnich przedsiębiorców. Szczegółowe informacje </w:t>
      </w:r>
      <w:r w:rsidR="00FF28EF">
        <w:rPr>
          <w:color w:val="000000" w:themeColor="text1"/>
          <w:sz w:val="22"/>
          <w:szCs w:val="22"/>
        </w:rPr>
        <w:br/>
      </w:r>
      <w:r w:rsidRPr="00AC4DDC">
        <w:rPr>
          <w:color w:val="000000" w:themeColor="text1"/>
          <w:sz w:val="22"/>
          <w:szCs w:val="22"/>
        </w:rPr>
        <w:t xml:space="preserve">w tym zakresie zostały zawarte </w:t>
      </w:r>
      <w:r w:rsidRPr="00FF28EF">
        <w:rPr>
          <w:color w:val="000000" w:themeColor="text1"/>
          <w:sz w:val="22"/>
          <w:szCs w:val="22"/>
        </w:rPr>
        <w:t xml:space="preserve">w pkt 7 OSR. </w:t>
      </w:r>
    </w:p>
    <w:p w14:paraId="217C50A0" w14:textId="77777777" w:rsidR="00991FAF" w:rsidRPr="00A4410B" w:rsidRDefault="00991FAF" w:rsidP="00A4410B">
      <w:pPr>
        <w:pStyle w:val="ARTartustawynprozporzdzenia"/>
        <w:spacing w:line="240" w:lineRule="auto"/>
        <w:ind w:firstLine="0"/>
        <w:rPr>
          <w:sz w:val="22"/>
          <w:szCs w:val="22"/>
        </w:rPr>
      </w:pPr>
      <w:r w:rsidRPr="00A4410B">
        <w:rPr>
          <w:sz w:val="22"/>
          <w:szCs w:val="22"/>
        </w:rPr>
        <w:t xml:space="preserve">Zgodnie z art. 5 i 6 ustawy z dnia 7 lipca 2005 r. o działalności lobbingowej w procesie stanowienia prawa (Dz. U. z 2017 r. poz. 248), projekt </w:t>
      </w:r>
      <w:r w:rsidR="00A22D87" w:rsidRPr="00A4410B">
        <w:rPr>
          <w:sz w:val="22"/>
          <w:szCs w:val="22"/>
        </w:rPr>
        <w:t>ustawy</w:t>
      </w:r>
      <w:r w:rsidRPr="00A4410B">
        <w:rPr>
          <w:sz w:val="22"/>
          <w:szCs w:val="22"/>
        </w:rPr>
        <w:t xml:space="preserve"> </w:t>
      </w:r>
      <w:r w:rsidR="00A22D87" w:rsidRPr="00A4410B">
        <w:rPr>
          <w:sz w:val="22"/>
          <w:szCs w:val="22"/>
        </w:rPr>
        <w:t>został</w:t>
      </w:r>
      <w:r w:rsidRPr="00A4410B">
        <w:rPr>
          <w:sz w:val="22"/>
          <w:szCs w:val="22"/>
        </w:rPr>
        <w:t xml:space="preserve"> udostępniony na stronach urzędowego informatora teleinformatycznego </w:t>
      </w:r>
      <w:r w:rsidR="00D80AA8" w:rsidRPr="00A4410B">
        <w:rPr>
          <w:sz w:val="22"/>
          <w:szCs w:val="22"/>
        </w:rPr>
        <w:t>–</w:t>
      </w:r>
      <w:r w:rsidRPr="00A4410B">
        <w:rPr>
          <w:sz w:val="22"/>
          <w:szCs w:val="22"/>
        </w:rPr>
        <w:t xml:space="preserve"> Biuletynu Informacji Publicznej. Ponadto, stosownie </w:t>
      </w:r>
      <w:r w:rsidR="00D80AA8" w:rsidRPr="00A4410B">
        <w:rPr>
          <w:sz w:val="22"/>
          <w:szCs w:val="22"/>
        </w:rPr>
        <w:br/>
      </w:r>
      <w:r w:rsidRPr="00A4410B">
        <w:rPr>
          <w:sz w:val="22"/>
          <w:szCs w:val="22"/>
        </w:rPr>
        <w:t xml:space="preserve">do postanowień § 52 uchwały nr 190 Rady Ministrów z dnia 29 października 2013 r. – Regulamin pracy Rady Ministrów, projekt </w:t>
      </w:r>
      <w:r w:rsidR="00A22D87" w:rsidRPr="00A4410B">
        <w:rPr>
          <w:sz w:val="22"/>
          <w:szCs w:val="22"/>
        </w:rPr>
        <w:t>ustawy</w:t>
      </w:r>
      <w:r w:rsidRPr="00A4410B">
        <w:rPr>
          <w:sz w:val="22"/>
          <w:szCs w:val="22"/>
        </w:rPr>
        <w:t xml:space="preserve"> </w:t>
      </w:r>
      <w:r w:rsidR="00A22D87" w:rsidRPr="00A4410B">
        <w:rPr>
          <w:sz w:val="22"/>
          <w:szCs w:val="22"/>
        </w:rPr>
        <w:t>został</w:t>
      </w:r>
      <w:r w:rsidRPr="00A4410B">
        <w:rPr>
          <w:sz w:val="22"/>
          <w:szCs w:val="22"/>
        </w:rPr>
        <w:t xml:space="preserve"> zamieszczony w Biuletynie Informacji Publicznej </w:t>
      </w:r>
      <w:r w:rsidR="00D80AA8" w:rsidRPr="00A4410B">
        <w:rPr>
          <w:sz w:val="22"/>
          <w:szCs w:val="22"/>
        </w:rPr>
        <w:br/>
      </w:r>
      <w:r w:rsidRPr="00A4410B">
        <w:rPr>
          <w:sz w:val="22"/>
          <w:szCs w:val="22"/>
        </w:rPr>
        <w:t xml:space="preserve">na stronie podmiotowej Rządowego Centrum Legislacji w serwisie Rządowy Proces Legislacyjny. </w:t>
      </w:r>
    </w:p>
    <w:p w14:paraId="392DE10B" w14:textId="77777777" w:rsidR="00A22D87" w:rsidRPr="00A4410B" w:rsidRDefault="00A22D87" w:rsidP="00A4410B">
      <w:pPr>
        <w:pStyle w:val="ARTartustawynprozporzdzenia"/>
        <w:spacing w:line="240" w:lineRule="auto"/>
        <w:ind w:firstLine="0"/>
        <w:rPr>
          <w:sz w:val="22"/>
          <w:szCs w:val="22"/>
        </w:rPr>
      </w:pPr>
      <w:r w:rsidRPr="00A4410B">
        <w:rPr>
          <w:sz w:val="22"/>
          <w:szCs w:val="22"/>
        </w:rPr>
        <w:t>Projektowana ustawa jest zgodna z prawem Unii Europejskiej.</w:t>
      </w:r>
    </w:p>
    <w:p w14:paraId="301F3173" w14:textId="77777777" w:rsidR="00AC4DDC" w:rsidRPr="00A4410B" w:rsidRDefault="00AC4DDC" w:rsidP="00A4410B">
      <w:pPr>
        <w:pStyle w:val="ARTartustawynprozporzdzenia"/>
        <w:spacing w:line="240" w:lineRule="auto"/>
        <w:ind w:firstLine="0"/>
        <w:rPr>
          <w:sz w:val="22"/>
          <w:szCs w:val="22"/>
        </w:rPr>
      </w:pPr>
    </w:p>
    <w:p w14:paraId="37B8C313" w14:textId="77777777" w:rsidR="00AC4DDC" w:rsidRPr="00A4410B" w:rsidRDefault="00AC4DDC" w:rsidP="00A4410B">
      <w:pPr>
        <w:pStyle w:val="ARTartustawynprozporzdzenia"/>
        <w:spacing w:line="240" w:lineRule="auto"/>
        <w:ind w:firstLine="0"/>
        <w:rPr>
          <w:sz w:val="22"/>
          <w:szCs w:val="22"/>
        </w:rPr>
      </w:pPr>
    </w:p>
    <w:sectPr w:rsidR="00AC4DDC" w:rsidRPr="00A4410B" w:rsidSect="00434C2B">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29C1A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8913A" w16cex:dateUtc="2021-01-12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D51FB5" w16cid:durableId="23A8913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47318"/>
    <w:multiLevelType w:val="hybridMultilevel"/>
    <w:tmpl w:val="42E4A3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C8B6A7D"/>
    <w:multiLevelType w:val="hybridMultilevel"/>
    <w:tmpl w:val="15D87376"/>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
    <w:nsid w:val="52CF279F"/>
    <w:multiLevelType w:val="hybridMultilevel"/>
    <w:tmpl w:val="84ECF4E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39"/>
    <w:rsid w:val="000029B9"/>
    <w:rsid w:val="000136A9"/>
    <w:rsid w:val="00020CBF"/>
    <w:rsid w:val="00027D39"/>
    <w:rsid w:val="00030856"/>
    <w:rsid w:val="00032466"/>
    <w:rsid w:val="00065C0D"/>
    <w:rsid w:val="00083462"/>
    <w:rsid w:val="00083D02"/>
    <w:rsid w:val="00116EF1"/>
    <w:rsid w:val="001373F4"/>
    <w:rsid w:val="0016591C"/>
    <w:rsid w:val="00183373"/>
    <w:rsid w:val="00183417"/>
    <w:rsid w:val="00186DDC"/>
    <w:rsid w:val="001A466D"/>
    <w:rsid w:val="001D6EA1"/>
    <w:rsid w:val="002254AC"/>
    <w:rsid w:val="002257EB"/>
    <w:rsid w:val="0026694F"/>
    <w:rsid w:val="002B6F05"/>
    <w:rsid w:val="002D0A5A"/>
    <w:rsid w:val="002E416A"/>
    <w:rsid w:val="00314AAF"/>
    <w:rsid w:val="0032170A"/>
    <w:rsid w:val="003648A9"/>
    <w:rsid w:val="003C7299"/>
    <w:rsid w:val="003D60A0"/>
    <w:rsid w:val="003E66DC"/>
    <w:rsid w:val="003F7026"/>
    <w:rsid w:val="00423BA6"/>
    <w:rsid w:val="00434C2B"/>
    <w:rsid w:val="004678B5"/>
    <w:rsid w:val="004807BA"/>
    <w:rsid w:val="004B01E9"/>
    <w:rsid w:val="004B1D42"/>
    <w:rsid w:val="004B578B"/>
    <w:rsid w:val="004B6204"/>
    <w:rsid w:val="004C4F92"/>
    <w:rsid w:val="004C65F5"/>
    <w:rsid w:val="004E0364"/>
    <w:rsid w:val="004F2BEB"/>
    <w:rsid w:val="00524497"/>
    <w:rsid w:val="00525B15"/>
    <w:rsid w:val="00553696"/>
    <w:rsid w:val="00556F23"/>
    <w:rsid w:val="00565025"/>
    <w:rsid w:val="0058550F"/>
    <w:rsid w:val="005A387C"/>
    <w:rsid w:val="005A57D1"/>
    <w:rsid w:val="005C76CC"/>
    <w:rsid w:val="005D6BDD"/>
    <w:rsid w:val="005E5804"/>
    <w:rsid w:val="006159C6"/>
    <w:rsid w:val="00665632"/>
    <w:rsid w:val="00685C18"/>
    <w:rsid w:val="006A7ADE"/>
    <w:rsid w:val="006B4A11"/>
    <w:rsid w:val="006C25BB"/>
    <w:rsid w:val="006D289E"/>
    <w:rsid w:val="007164F7"/>
    <w:rsid w:val="00722CD4"/>
    <w:rsid w:val="00727BAA"/>
    <w:rsid w:val="00774781"/>
    <w:rsid w:val="007B0D78"/>
    <w:rsid w:val="007D529D"/>
    <w:rsid w:val="007D5B49"/>
    <w:rsid w:val="007E64AA"/>
    <w:rsid w:val="007F284C"/>
    <w:rsid w:val="00800ED2"/>
    <w:rsid w:val="008069D7"/>
    <w:rsid w:val="0081554C"/>
    <w:rsid w:val="00817F53"/>
    <w:rsid w:val="00834AE6"/>
    <w:rsid w:val="00841707"/>
    <w:rsid w:val="008444E6"/>
    <w:rsid w:val="00863E81"/>
    <w:rsid w:val="008642F5"/>
    <w:rsid w:val="00870B00"/>
    <w:rsid w:val="008761E0"/>
    <w:rsid w:val="00897026"/>
    <w:rsid w:val="008A22C8"/>
    <w:rsid w:val="008D5E23"/>
    <w:rsid w:val="00902367"/>
    <w:rsid w:val="00911BEB"/>
    <w:rsid w:val="0093222F"/>
    <w:rsid w:val="00947BF3"/>
    <w:rsid w:val="009520B1"/>
    <w:rsid w:val="00970574"/>
    <w:rsid w:val="00980D85"/>
    <w:rsid w:val="00991FAF"/>
    <w:rsid w:val="009A7C09"/>
    <w:rsid w:val="009E1865"/>
    <w:rsid w:val="00A02CAE"/>
    <w:rsid w:val="00A0415D"/>
    <w:rsid w:val="00A22D87"/>
    <w:rsid w:val="00A26015"/>
    <w:rsid w:val="00A27253"/>
    <w:rsid w:val="00A343F7"/>
    <w:rsid w:val="00A4355A"/>
    <w:rsid w:val="00A4410B"/>
    <w:rsid w:val="00A87715"/>
    <w:rsid w:val="00A9234A"/>
    <w:rsid w:val="00AA5A50"/>
    <w:rsid w:val="00AB44B4"/>
    <w:rsid w:val="00AC4DDC"/>
    <w:rsid w:val="00AF208A"/>
    <w:rsid w:val="00B17985"/>
    <w:rsid w:val="00B23445"/>
    <w:rsid w:val="00B44B1E"/>
    <w:rsid w:val="00B6521B"/>
    <w:rsid w:val="00B95D91"/>
    <w:rsid w:val="00BF31FD"/>
    <w:rsid w:val="00C3584E"/>
    <w:rsid w:val="00C609C2"/>
    <w:rsid w:val="00C72563"/>
    <w:rsid w:val="00CB5A34"/>
    <w:rsid w:val="00CF73B3"/>
    <w:rsid w:val="00D00678"/>
    <w:rsid w:val="00D023A6"/>
    <w:rsid w:val="00D07A5E"/>
    <w:rsid w:val="00D36900"/>
    <w:rsid w:val="00D66C41"/>
    <w:rsid w:val="00D66FD8"/>
    <w:rsid w:val="00D753D4"/>
    <w:rsid w:val="00D80AA8"/>
    <w:rsid w:val="00D94531"/>
    <w:rsid w:val="00D96C9D"/>
    <w:rsid w:val="00DB6E61"/>
    <w:rsid w:val="00DB7A77"/>
    <w:rsid w:val="00DC28D6"/>
    <w:rsid w:val="00DD17B7"/>
    <w:rsid w:val="00E16D98"/>
    <w:rsid w:val="00E25721"/>
    <w:rsid w:val="00E300B4"/>
    <w:rsid w:val="00E678C9"/>
    <w:rsid w:val="00E9457B"/>
    <w:rsid w:val="00EB2C55"/>
    <w:rsid w:val="00EF329F"/>
    <w:rsid w:val="00F116B0"/>
    <w:rsid w:val="00F30CFA"/>
    <w:rsid w:val="00F539B3"/>
    <w:rsid w:val="00F64AFD"/>
    <w:rsid w:val="00F92DFB"/>
    <w:rsid w:val="00FB1FFA"/>
    <w:rsid w:val="00FC2046"/>
    <w:rsid w:val="00FF28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E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7D3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D39"/>
    <w:pPr>
      <w:spacing w:line="276" w:lineRule="auto"/>
      <w:ind w:left="720"/>
      <w:contextualSpacing/>
    </w:pPr>
    <w:rPr>
      <w:rFonts w:ascii="Calibri" w:eastAsia="Calibri" w:hAnsi="Calibri"/>
      <w:sz w:val="22"/>
      <w:szCs w:val="22"/>
      <w:lang w:eastAsia="en-US"/>
    </w:rPr>
  </w:style>
  <w:style w:type="paragraph" w:customStyle="1" w:styleId="NIEARTTEKSTtekstnieartykuowanynppodstprawnarozplubpreambua">
    <w:name w:val="NIEART_TEKST – tekst nieartykułowany (np. podst. prawna rozp. lub preambuła)"/>
    <w:basedOn w:val="Normalny"/>
    <w:next w:val="Normalny"/>
    <w:uiPriority w:val="7"/>
    <w:qFormat/>
    <w:rsid w:val="00027D39"/>
    <w:pPr>
      <w:suppressAutoHyphens/>
      <w:autoSpaceDE w:val="0"/>
      <w:autoSpaceDN w:val="0"/>
      <w:adjustRightInd w:val="0"/>
      <w:spacing w:before="120" w:line="360" w:lineRule="auto"/>
      <w:ind w:firstLine="510"/>
      <w:jc w:val="both"/>
    </w:pPr>
    <w:rPr>
      <w:rFonts w:ascii="Times" w:hAnsi="Times" w:cs="Arial"/>
      <w:bCs/>
      <w:szCs w:val="20"/>
    </w:rPr>
  </w:style>
  <w:style w:type="paragraph" w:customStyle="1" w:styleId="USTustnpkodeksu">
    <w:name w:val="UST(§) – ust. (§ np. kodeksu)"/>
    <w:basedOn w:val="Normalny"/>
    <w:uiPriority w:val="12"/>
    <w:qFormat/>
    <w:rsid w:val="00027D39"/>
    <w:pPr>
      <w:suppressAutoHyphens/>
      <w:autoSpaceDE w:val="0"/>
      <w:autoSpaceDN w:val="0"/>
      <w:adjustRightInd w:val="0"/>
      <w:spacing w:line="360" w:lineRule="auto"/>
      <w:ind w:firstLine="510"/>
      <w:jc w:val="both"/>
    </w:pPr>
    <w:rPr>
      <w:rFonts w:ascii="Times" w:eastAsiaTheme="minorEastAsia" w:hAnsi="Times" w:cs="Arial"/>
      <w:bCs/>
      <w:szCs w:val="20"/>
    </w:rPr>
  </w:style>
  <w:style w:type="paragraph" w:styleId="Tekstdymka">
    <w:name w:val="Balloon Text"/>
    <w:basedOn w:val="Normalny"/>
    <w:link w:val="TekstdymkaZnak"/>
    <w:uiPriority w:val="99"/>
    <w:semiHidden/>
    <w:unhideWhenUsed/>
    <w:rsid w:val="004B578B"/>
    <w:rPr>
      <w:rFonts w:ascii="Tahoma" w:hAnsi="Tahoma" w:cs="Tahoma"/>
      <w:sz w:val="16"/>
      <w:szCs w:val="16"/>
    </w:rPr>
  </w:style>
  <w:style w:type="character" w:customStyle="1" w:styleId="TekstdymkaZnak">
    <w:name w:val="Tekst dymka Znak"/>
    <w:basedOn w:val="Domylnaczcionkaakapitu"/>
    <w:link w:val="Tekstdymka"/>
    <w:uiPriority w:val="99"/>
    <w:semiHidden/>
    <w:rsid w:val="004B578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D96C9D"/>
    <w:rPr>
      <w:sz w:val="16"/>
      <w:szCs w:val="16"/>
    </w:rPr>
  </w:style>
  <w:style w:type="paragraph" w:styleId="Tekstkomentarza">
    <w:name w:val="annotation text"/>
    <w:basedOn w:val="Normalny"/>
    <w:link w:val="TekstkomentarzaZnak"/>
    <w:uiPriority w:val="99"/>
    <w:semiHidden/>
    <w:unhideWhenUsed/>
    <w:rsid w:val="00D96C9D"/>
    <w:rPr>
      <w:sz w:val="20"/>
      <w:szCs w:val="20"/>
    </w:rPr>
  </w:style>
  <w:style w:type="character" w:customStyle="1" w:styleId="TekstkomentarzaZnak">
    <w:name w:val="Tekst komentarza Znak"/>
    <w:basedOn w:val="Domylnaczcionkaakapitu"/>
    <w:link w:val="Tekstkomentarza"/>
    <w:uiPriority w:val="99"/>
    <w:semiHidden/>
    <w:rsid w:val="00D96C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96C9D"/>
    <w:rPr>
      <w:b/>
      <w:bCs/>
    </w:rPr>
  </w:style>
  <w:style w:type="character" w:customStyle="1" w:styleId="TematkomentarzaZnak">
    <w:name w:val="Temat komentarza Znak"/>
    <w:basedOn w:val="TekstkomentarzaZnak"/>
    <w:link w:val="Tematkomentarza"/>
    <w:uiPriority w:val="99"/>
    <w:semiHidden/>
    <w:rsid w:val="00D96C9D"/>
    <w:rPr>
      <w:rFonts w:ascii="Times New Roman" w:eastAsia="Times New Roman" w:hAnsi="Times New Roman" w:cs="Times New Roman"/>
      <w:b/>
      <w:bCs/>
      <w:sz w:val="20"/>
      <w:szCs w:val="20"/>
      <w:lang w:eastAsia="pl-PL"/>
    </w:rPr>
  </w:style>
  <w:style w:type="paragraph" w:styleId="Poprawka">
    <w:name w:val="Revision"/>
    <w:hidden/>
    <w:uiPriority w:val="99"/>
    <w:semiHidden/>
    <w:rsid w:val="00AF208A"/>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F208A"/>
    <w:rPr>
      <w:color w:val="0000FF"/>
      <w:u w:val="single"/>
    </w:rPr>
  </w:style>
  <w:style w:type="character" w:customStyle="1" w:styleId="highlight">
    <w:name w:val="highlight"/>
    <w:basedOn w:val="Domylnaczcionkaakapitu"/>
    <w:rsid w:val="00AF208A"/>
  </w:style>
  <w:style w:type="paragraph" w:customStyle="1" w:styleId="ARTartustawynprozporzdzenia">
    <w:name w:val="ART(§) – art. ustawy (§ np. rozporządzenia)"/>
    <w:uiPriority w:val="11"/>
    <w:qFormat/>
    <w:rsid w:val="00834AE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7D529D"/>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7D3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7D39"/>
    <w:pPr>
      <w:spacing w:line="276" w:lineRule="auto"/>
      <w:ind w:left="720"/>
      <w:contextualSpacing/>
    </w:pPr>
    <w:rPr>
      <w:rFonts w:ascii="Calibri" w:eastAsia="Calibri" w:hAnsi="Calibri"/>
      <w:sz w:val="22"/>
      <w:szCs w:val="22"/>
      <w:lang w:eastAsia="en-US"/>
    </w:rPr>
  </w:style>
  <w:style w:type="paragraph" w:customStyle="1" w:styleId="NIEARTTEKSTtekstnieartykuowanynppodstprawnarozplubpreambua">
    <w:name w:val="NIEART_TEKST – tekst nieartykułowany (np. podst. prawna rozp. lub preambuła)"/>
    <w:basedOn w:val="Normalny"/>
    <w:next w:val="Normalny"/>
    <w:uiPriority w:val="7"/>
    <w:qFormat/>
    <w:rsid w:val="00027D39"/>
    <w:pPr>
      <w:suppressAutoHyphens/>
      <w:autoSpaceDE w:val="0"/>
      <w:autoSpaceDN w:val="0"/>
      <w:adjustRightInd w:val="0"/>
      <w:spacing w:before="120" w:line="360" w:lineRule="auto"/>
      <w:ind w:firstLine="510"/>
      <w:jc w:val="both"/>
    </w:pPr>
    <w:rPr>
      <w:rFonts w:ascii="Times" w:hAnsi="Times" w:cs="Arial"/>
      <w:bCs/>
      <w:szCs w:val="20"/>
    </w:rPr>
  </w:style>
  <w:style w:type="paragraph" w:customStyle="1" w:styleId="USTustnpkodeksu">
    <w:name w:val="UST(§) – ust. (§ np. kodeksu)"/>
    <w:basedOn w:val="Normalny"/>
    <w:uiPriority w:val="12"/>
    <w:qFormat/>
    <w:rsid w:val="00027D39"/>
    <w:pPr>
      <w:suppressAutoHyphens/>
      <w:autoSpaceDE w:val="0"/>
      <w:autoSpaceDN w:val="0"/>
      <w:adjustRightInd w:val="0"/>
      <w:spacing w:line="360" w:lineRule="auto"/>
      <w:ind w:firstLine="510"/>
      <w:jc w:val="both"/>
    </w:pPr>
    <w:rPr>
      <w:rFonts w:ascii="Times" w:eastAsiaTheme="minorEastAsia" w:hAnsi="Times" w:cs="Arial"/>
      <w:bCs/>
      <w:szCs w:val="20"/>
    </w:rPr>
  </w:style>
  <w:style w:type="paragraph" w:styleId="Tekstdymka">
    <w:name w:val="Balloon Text"/>
    <w:basedOn w:val="Normalny"/>
    <w:link w:val="TekstdymkaZnak"/>
    <w:uiPriority w:val="99"/>
    <w:semiHidden/>
    <w:unhideWhenUsed/>
    <w:rsid w:val="004B578B"/>
    <w:rPr>
      <w:rFonts w:ascii="Tahoma" w:hAnsi="Tahoma" w:cs="Tahoma"/>
      <w:sz w:val="16"/>
      <w:szCs w:val="16"/>
    </w:rPr>
  </w:style>
  <w:style w:type="character" w:customStyle="1" w:styleId="TekstdymkaZnak">
    <w:name w:val="Tekst dymka Znak"/>
    <w:basedOn w:val="Domylnaczcionkaakapitu"/>
    <w:link w:val="Tekstdymka"/>
    <w:uiPriority w:val="99"/>
    <w:semiHidden/>
    <w:rsid w:val="004B578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D96C9D"/>
    <w:rPr>
      <w:sz w:val="16"/>
      <w:szCs w:val="16"/>
    </w:rPr>
  </w:style>
  <w:style w:type="paragraph" w:styleId="Tekstkomentarza">
    <w:name w:val="annotation text"/>
    <w:basedOn w:val="Normalny"/>
    <w:link w:val="TekstkomentarzaZnak"/>
    <w:uiPriority w:val="99"/>
    <w:semiHidden/>
    <w:unhideWhenUsed/>
    <w:rsid w:val="00D96C9D"/>
    <w:rPr>
      <w:sz w:val="20"/>
      <w:szCs w:val="20"/>
    </w:rPr>
  </w:style>
  <w:style w:type="character" w:customStyle="1" w:styleId="TekstkomentarzaZnak">
    <w:name w:val="Tekst komentarza Znak"/>
    <w:basedOn w:val="Domylnaczcionkaakapitu"/>
    <w:link w:val="Tekstkomentarza"/>
    <w:uiPriority w:val="99"/>
    <w:semiHidden/>
    <w:rsid w:val="00D96C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96C9D"/>
    <w:rPr>
      <w:b/>
      <w:bCs/>
    </w:rPr>
  </w:style>
  <w:style w:type="character" w:customStyle="1" w:styleId="TematkomentarzaZnak">
    <w:name w:val="Temat komentarza Znak"/>
    <w:basedOn w:val="TekstkomentarzaZnak"/>
    <w:link w:val="Tematkomentarza"/>
    <w:uiPriority w:val="99"/>
    <w:semiHidden/>
    <w:rsid w:val="00D96C9D"/>
    <w:rPr>
      <w:rFonts w:ascii="Times New Roman" w:eastAsia="Times New Roman" w:hAnsi="Times New Roman" w:cs="Times New Roman"/>
      <w:b/>
      <w:bCs/>
      <w:sz w:val="20"/>
      <w:szCs w:val="20"/>
      <w:lang w:eastAsia="pl-PL"/>
    </w:rPr>
  </w:style>
  <w:style w:type="paragraph" w:styleId="Poprawka">
    <w:name w:val="Revision"/>
    <w:hidden/>
    <w:uiPriority w:val="99"/>
    <w:semiHidden/>
    <w:rsid w:val="00AF208A"/>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F208A"/>
    <w:rPr>
      <w:color w:val="0000FF"/>
      <w:u w:val="single"/>
    </w:rPr>
  </w:style>
  <w:style w:type="character" w:customStyle="1" w:styleId="highlight">
    <w:name w:val="highlight"/>
    <w:basedOn w:val="Domylnaczcionkaakapitu"/>
    <w:rsid w:val="00AF208A"/>
  </w:style>
  <w:style w:type="paragraph" w:customStyle="1" w:styleId="ARTartustawynprozporzdzenia">
    <w:name w:val="ART(§) – art. ustawy (§ np. rozporządzenia)"/>
    <w:uiPriority w:val="11"/>
    <w:qFormat/>
    <w:rsid w:val="00834AE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7D529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841211">
      <w:bodyDiv w:val="1"/>
      <w:marLeft w:val="0"/>
      <w:marRight w:val="0"/>
      <w:marTop w:val="0"/>
      <w:marBottom w:val="0"/>
      <w:divBdr>
        <w:top w:val="none" w:sz="0" w:space="0" w:color="auto"/>
        <w:left w:val="none" w:sz="0" w:space="0" w:color="auto"/>
        <w:bottom w:val="none" w:sz="0" w:space="0" w:color="auto"/>
        <w:right w:val="none" w:sz="0" w:space="0" w:color="auto"/>
      </w:divBdr>
    </w:div>
    <w:div w:id="869612608">
      <w:bodyDiv w:val="1"/>
      <w:marLeft w:val="0"/>
      <w:marRight w:val="0"/>
      <w:marTop w:val="0"/>
      <w:marBottom w:val="0"/>
      <w:divBdr>
        <w:top w:val="none" w:sz="0" w:space="0" w:color="auto"/>
        <w:left w:val="none" w:sz="0" w:space="0" w:color="auto"/>
        <w:bottom w:val="none" w:sz="0" w:space="0" w:color="auto"/>
        <w:right w:val="none" w:sz="0" w:space="0" w:color="auto"/>
      </w:divBdr>
    </w:div>
    <w:div w:id="917128400">
      <w:bodyDiv w:val="1"/>
      <w:marLeft w:val="0"/>
      <w:marRight w:val="0"/>
      <w:marTop w:val="0"/>
      <w:marBottom w:val="0"/>
      <w:divBdr>
        <w:top w:val="none" w:sz="0" w:space="0" w:color="auto"/>
        <w:left w:val="none" w:sz="0" w:space="0" w:color="auto"/>
        <w:bottom w:val="none" w:sz="0" w:space="0" w:color="auto"/>
        <w:right w:val="none" w:sz="0" w:space="0" w:color="auto"/>
      </w:divBdr>
      <w:divsChild>
        <w:div w:id="666061644">
          <w:marLeft w:val="0"/>
          <w:marRight w:val="0"/>
          <w:marTop w:val="0"/>
          <w:marBottom w:val="0"/>
          <w:divBdr>
            <w:top w:val="none" w:sz="0" w:space="0" w:color="auto"/>
            <w:left w:val="none" w:sz="0" w:space="0" w:color="auto"/>
            <w:bottom w:val="none" w:sz="0" w:space="0" w:color="auto"/>
            <w:right w:val="none" w:sz="0" w:space="0" w:color="auto"/>
          </w:divBdr>
        </w:div>
      </w:divsChild>
    </w:div>
    <w:div w:id="1817381242">
      <w:bodyDiv w:val="1"/>
      <w:marLeft w:val="0"/>
      <w:marRight w:val="0"/>
      <w:marTop w:val="0"/>
      <w:marBottom w:val="0"/>
      <w:divBdr>
        <w:top w:val="none" w:sz="0" w:space="0" w:color="auto"/>
        <w:left w:val="none" w:sz="0" w:space="0" w:color="auto"/>
        <w:bottom w:val="none" w:sz="0" w:space="0" w:color="auto"/>
        <w:right w:val="none" w:sz="0" w:space="0" w:color="auto"/>
      </w:divBdr>
      <w:divsChild>
        <w:div w:id="744182129">
          <w:marLeft w:val="0"/>
          <w:marRight w:val="0"/>
          <w:marTop w:val="0"/>
          <w:marBottom w:val="0"/>
          <w:divBdr>
            <w:top w:val="none" w:sz="0" w:space="0" w:color="auto"/>
            <w:left w:val="none" w:sz="0" w:space="0" w:color="auto"/>
            <w:bottom w:val="none" w:sz="0" w:space="0" w:color="auto"/>
            <w:right w:val="none" w:sz="0" w:space="0" w:color="auto"/>
          </w:divBdr>
        </w:div>
      </w:divsChild>
    </w:div>
    <w:div w:id="19498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ntTable" Target="fontTable.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65D5D-7E0E-41CA-9A96-290F28599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3012</Words>
  <Characters>18078</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Ministerstwo Infrastruktury i Budownictwa</Company>
  <LinksUpToDate>false</LinksUpToDate>
  <CharactersWithSpaces>21048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Zaniewska Katarzyna</dc:creator>
  <cp:lastModifiedBy>Rajska-Stasiak Agnieszka</cp:lastModifiedBy>
  <cp:revision>4</cp:revision>
  <dcterms:created xsi:type="dcterms:W3CDTF">2021-04-30T14:30:00Z</dcterms:created>
  <dcterms:modified xsi:type="dcterms:W3CDTF">2021-04-30T14:37:00Z</dcterms:modified>
</cp:coreProperties>
</file>