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7B" w:rsidRPr="0051047B" w:rsidRDefault="0051047B" w:rsidP="0051047B">
      <w:pPr>
        <w:spacing w:line="240" w:lineRule="auto"/>
        <w:rPr>
          <w:b/>
        </w:rPr>
      </w:pPr>
      <w:r w:rsidRPr="0051047B">
        <w:rPr>
          <w:b/>
        </w:rPr>
        <w:t xml:space="preserve">Wymagane dokumenty.  </w:t>
      </w:r>
    </w:p>
    <w:p w:rsidR="0051047B" w:rsidRDefault="0051047B" w:rsidP="0051047B">
      <w:pPr>
        <w:spacing w:line="240" w:lineRule="auto"/>
      </w:pPr>
      <w:r>
        <w:t xml:space="preserve">Podstawowe dokumenty, które należy okazać podczas odbioru budynku przez przedstawiciela Komendy Powiatowej  PSP: </w:t>
      </w:r>
    </w:p>
    <w:p w:rsidR="0051047B" w:rsidRDefault="0051047B" w:rsidP="0051047B">
      <w:pPr>
        <w:spacing w:line="240" w:lineRule="auto"/>
      </w:pPr>
      <w:r>
        <w:t xml:space="preserve">• decyzja – pozwolenie na budowę, </w:t>
      </w:r>
      <w:bookmarkStart w:id="0" w:name="_GoBack"/>
      <w:bookmarkEnd w:id="0"/>
    </w:p>
    <w:p w:rsidR="0051047B" w:rsidRDefault="0051047B" w:rsidP="0051047B">
      <w:pPr>
        <w:spacing w:line="240" w:lineRule="auto"/>
      </w:pPr>
      <w:r>
        <w:t xml:space="preserve">• dokumentacja projektowa (architektoniczno-budowlana wraz z projektami branżowymi) uzgodniona z rzeczoznawcą ds. zabezpieczeń przeciwpożarowych, </w:t>
      </w:r>
    </w:p>
    <w:p w:rsidR="0051047B" w:rsidRDefault="0051047B" w:rsidP="0051047B">
      <w:pPr>
        <w:spacing w:line="240" w:lineRule="auto"/>
      </w:pPr>
      <w:r>
        <w:t xml:space="preserve">• dokumentacja powykonawcza wraz z protokołami sprawdzenia* (zgodnie z aktualnie obowiązującymi normami wg. których zostały wykonane): - instalacji sygnalizacji pożaru, </w:t>
      </w:r>
    </w:p>
    <w:p w:rsidR="0051047B" w:rsidRDefault="0051047B" w:rsidP="0051047B">
      <w:pPr>
        <w:spacing w:line="240" w:lineRule="auto"/>
      </w:pPr>
      <w:r>
        <w:t xml:space="preserve"> - instalacji wodociągowej przeciwpożarowej (hydrantów wewnętrznych i zaworów hydrantowych),  </w:t>
      </w:r>
    </w:p>
    <w:p w:rsidR="0051047B" w:rsidRDefault="0051047B" w:rsidP="0051047B">
      <w:pPr>
        <w:spacing w:line="240" w:lineRule="auto"/>
      </w:pPr>
      <w:r>
        <w:t xml:space="preserve">- stałych urządzeń gaśniczych,  </w:t>
      </w:r>
    </w:p>
    <w:p w:rsidR="0051047B" w:rsidRDefault="0051047B" w:rsidP="0051047B">
      <w:pPr>
        <w:spacing w:line="240" w:lineRule="auto"/>
      </w:pPr>
      <w:r>
        <w:t xml:space="preserve">- dźwiękowego systemu ostrzegawczego, </w:t>
      </w:r>
    </w:p>
    <w:p w:rsidR="0051047B" w:rsidRDefault="0051047B" w:rsidP="0051047B">
      <w:pPr>
        <w:spacing w:line="240" w:lineRule="auto"/>
      </w:pPr>
      <w:r>
        <w:t xml:space="preserve"> - urządzeń i instalacji oddymiających lub służących do usuwania dymu; </w:t>
      </w:r>
    </w:p>
    <w:p w:rsidR="0051047B" w:rsidRDefault="0051047B" w:rsidP="0051047B">
      <w:pPr>
        <w:spacing w:line="240" w:lineRule="auto"/>
      </w:pPr>
      <w:r>
        <w:t xml:space="preserve">• oświadczenie kierownika budowy o zgodności wykonania obiektu budowlanego z dokumentacją projektową, warunkami pozwolenia na budowę, obowiązującymi przepisami i normami oraz sztuką budowlaną; </w:t>
      </w:r>
    </w:p>
    <w:p w:rsidR="0051047B" w:rsidRDefault="0051047B" w:rsidP="0051047B">
      <w:pPr>
        <w:spacing w:line="240" w:lineRule="auto"/>
      </w:pPr>
      <w:r>
        <w:t xml:space="preserve">• protokoły pomiarów instalacji użytkowych w obiekcie: </w:t>
      </w:r>
    </w:p>
    <w:p w:rsidR="0051047B" w:rsidRDefault="0051047B" w:rsidP="0051047B">
      <w:pPr>
        <w:spacing w:line="240" w:lineRule="auto"/>
      </w:pPr>
      <w:r>
        <w:t xml:space="preserve"> - sprawdzenia przeciwpożarowego wyłącznika prądu elektrycznego*, </w:t>
      </w:r>
    </w:p>
    <w:p w:rsidR="0051047B" w:rsidRDefault="0051047B" w:rsidP="0051047B">
      <w:pPr>
        <w:spacing w:line="240" w:lineRule="auto"/>
      </w:pPr>
      <w:r>
        <w:t xml:space="preserve"> - pomiarów instalacji elektrycznej (rezystancja izolacji przewodów i urządzeń),  </w:t>
      </w:r>
    </w:p>
    <w:p w:rsidR="0051047B" w:rsidRDefault="0051047B" w:rsidP="0051047B">
      <w:pPr>
        <w:spacing w:line="240" w:lineRule="auto"/>
      </w:pPr>
      <w:r>
        <w:t xml:space="preserve">- pomiarów instalacji odgromowej budynku w zakresie ciągłości przewodów i oporności uziemień*,  - pomiar szczelności instalacji gazowej*,  </w:t>
      </w:r>
    </w:p>
    <w:p w:rsidR="0051047B" w:rsidRDefault="0051047B" w:rsidP="0051047B">
      <w:pPr>
        <w:spacing w:line="240" w:lineRule="auto"/>
      </w:pPr>
      <w:r>
        <w:t xml:space="preserve">- protokół, opinia kominiarska stwierdzające prawidłowość podłączeń i drożność przewodów kominowych,  </w:t>
      </w:r>
    </w:p>
    <w:p w:rsidR="0051047B" w:rsidRDefault="0051047B" w:rsidP="0051047B">
      <w:pPr>
        <w:spacing w:line="240" w:lineRule="auto"/>
      </w:pPr>
      <w:r>
        <w:t xml:space="preserve">- pomiar ciśnienia i wydajności hydrantów wewnętrznych i zewnętrznych*,  </w:t>
      </w:r>
    </w:p>
    <w:p w:rsidR="0051047B" w:rsidRDefault="0051047B" w:rsidP="0051047B">
      <w:pPr>
        <w:spacing w:line="240" w:lineRule="auto"/>
      </w:pPr>
      <w:r>
        <w:t xml:space="preserve">- pomiar natężenia oświetlenia ewakuacyjnego*;  </w:t>
      </w:r>
    </w:p>
    <w:p w:rsidR="0051047B" w:rsidRDefault="0051047B" w:rsidP="0051047B">
      <w:pPr>
        <w:spacing w:line="240" w:lineRule="auto"/>
      </w:pPr>
      <w:r>
        <w:t xml:space="preserve">• protokoły z wykonanych zabezpieczeń*:  </w:t>
      </w:r>
    </w:p>
    <w:p w:rsidR="0051047B" w:rsidRDefault="0051047B" w:rsidP="0051047B">
      <w:pPr>
        <w:spacing w:line="240" w:lineRule="auto"/>
      </w:pPr>
      <w:r>
        <w:t xml:space="preserve">- konstrukcji lub elementów drewnianych do wymaganego stopnia rozprzestrzenia ognia lub wymaganej klasy odporności ogniowej wraz z deklaracją zgodności,  </w:t>
      </w:r>
    </w:p>
    <w:p w:rsidR="0051047B" w:rsidRDefault="0051047B" w:rsidP="0051047B">
      <w:pPr>
        <w:spacing w:line="240" w:lineRule="auto"/>
      </w:pPr>
      <w:r>
        <w:t xml:space="preserve">- konstrukcji stalowych do wymaganej klasy odporności ogniowej wraz z deklaracją zgodności, </w:t>
      </w:r>
    </w:p>
    <w:p w:rsidR="0051047B" w:rsidRDefault="0051047B" w:rsidP="0051047B">
      <w:pPr>
        <w:spacing w:line="240" w:lineRule="auto"/>
      </w:pPr>
      <w:r>
        <w:t xml:space="preserve"> - przepustów instalacyjnych w elementach </w:t>
      </w:r>
      <w:proofErr w:type="spellStart"/>
      <w:r>
        <w:t>oddzieleń</w:t>
      </w:r>
      <w:proofErr w:type="spellEnd"/>
      <w:r>
        <w:t xml:space="preserve"> przeciwpożarowych;  </w:t>
      </w:r>
    </w:p>
    <w:p w:rsidR="0051047B" w:rsidRDefault="0051047B" w:rsidP="0051047B">
      <w:pPr>
        <w:spacing w:line="240" w:lineRule="auto"/>
      </w:pPr>
      <w:r>
        <w:t xml:space="preserve">• aprobaty techniczne i certyfikaty zgodności ITB (Instytut Techniki Budowlanej) dla materiałów i elementów budowlanych oraz urządzeń służących ochronie przeciwpożarowej; klasyfikacje ogniowe dla materiałów budowlanych stanowiących wystrój wnętrz i dróg ewakuacyjnych, </w:t>
      </w:r>
    </w:p>
    <w:p w:rsidR="0051047B" w:rsidRDefault="0051047B" w:rsidP="0051047B">
      <w:pPr>
        <w:spacing w:line="240" w:lineRule="auto"/>
      </w:pPr>
      <w:r>
        <w:t xml:space="preserve">• aprobaty techniczne i certyfikaty zgodności CNBOP (Centrum Naukowo-Badawcze Ochrony Przeciwpożarowej) dla urządzeń służących ochronie przeciwpożarowej. </w:t>
      </w:r>
    </w:p>
    <w:p w:rsidR="0051047B" w:rsidRDefault="0051047B" w:rsidP="0051047B">
      <w:pPr>
        <w:spacing w:line="240" w:lineRule="auto"/>
      </w:pPr>
      <w:r>
        <w:t xml:space="preserve">• obiekt powinien być wyposażony w sprzęt gaśniczy na zasadach określonych w aktualnie obowiązujących przepisach przeciwpożarowych, </w:t>
      </w:r>
    </w:p>
    <w:p w:rsidR="0051047B" w:rsidRDefault="0051047B" w:rsidP="0051047B">
      <w:pPr>
        <w:spacing w:line="240" w:lineRule="auto"/>
      </w:pPr>
      <w:r>
        <w:lastRenderedPageBreak/>
        <w:t>• w widocznym miejscu należy umieścić „Instrukcję postępowania na wypadek pożaru” wraz z wykazem telefonów alarmowych oraz oznakować obiekt zgodnie z wymogami PN</w:t>
      </w:r>
    </w:p>
    <w:p w:rsidR="0051047B" w:rsidRDefault="0051047B" w:rsidP="0051047B">
      <w:pPr>
        <w:spacing w:line="240" w:lineRule="auto"/>
      </w:pPr>
      <w:r>
        <w:t xml:space="preserve">• dla obiektu powinna opracowana „Instrukcja bezpieczeństwa pożarowego”. </w:t>
      </w:r>
    </w:p>
    <w:p w:rsidR="0051047B" w:rsidRDefault="0051047B" w:rsidP="0051047B">
      <w:pPr>
        <w:spacing w:line="240" w:lineRule="auto"/>
      </w:pPr>
      <w:r>
        <w:t xml:space="preserve"> Instrukcje bezpieczeństwa pożarowego nie są wymagane dla obiektów lub ich części, jeżeli nie występuje w nich strefa zagrożenia wybuchem, a ponadto: </w:t>
      </w:r>
    </w:p>
    <w:p w:rsidR="0051047B" w:rsidRDefault="0051047B" w:rsidP="0051047B">
      <w:pPr>
        <w:spacing w:line="240" w:lineRule="auto"/>
      </w:pPr>
      <w:r>
        <w:t xml:space="preserve">1. kubatura brutto budynku lub jego części stanowiącej odrębną strefę pożarową nie przekracza 1.000 m3, z zastrzeżeniem pkt 2; 2. kubatura brutto budynku inwentarskiego nie przekracza 1.500 m3; 3. powierzchnia strefy pożarowej obiektu innego niż budynek nie przekracza 1.000 m2.  </w:t>
      </w:r>
    </w:p>
    <w:p w:rsidR="0051047B" w:rsidRDefault="0051047B" w:rsidP="0051047B">
      <w:pPr>
        <w:spacing w:line="240" w:lineRule="auto"/>
      </w:pPr>
    </w:p>
    <w:p w:rsidR="0051047B" w:rsidRPr="0051047B" w:rsidRDefault="0051047B" w:rsidP="0051047B">
      <w:pPr>
        <w:spacing w:line="240" w:lineRule="auto"/>
        <w:rPr>
          <w:b/>
        </w:rPr>
      </w:pPr>
      <w:r w:rsidRPr="0051047B">
        <w:rPr>
          <w:b/>
        </w:rPr>
        <w:t xml:space="preserve">Obiekty, w stosunku do których zajęcie stanowiska przez PSP jest obligatoryjne to: </w:t>
      </w:r>
    </w:p>
    <w:p w:rsidR="0051047B" w:rsidRDefault="0051047B" w:rsidP="0051047B">
      <w:pPr>
        <w:spacing w:line="240" w:lineRule="auto"/>
      </w:pPr>
      <w:r>
        <w:t xml:space="preserve">1. Budynki należące do grup wysokości: średniowysokie, wysokie lub wysokościowe, zawierające strefę pożarową zakwalifikowaną do kategorii zagrożenia ludzi ZL III, ZL IV lub ZL V. </w:t>
      </w:r>
    </w:p>
    <w:p w:rsidR="0051047B" w:rsidRDefault="0051047B" w:rsidP="0051047B">
      <w:pPr>
        <w:spacing w:line="240" w:lineRule="auto"/>
      </w:pPr>
      <w:r>
        <w:t xml:space="preserve">2. Budynki zawierające strefę pożarową zakwalifikowaną do kategorii zagrożenia ludzi ZL I lub ZL II. </w:t>
      </w:r>
    </w:p>
    <w:p w:rsidR="0051047B" w:rsidRDefault="0051047B" w:rsidP="0051047B">
      <w:pPr>
        <w:spacing w:line="240" w:lineRule="auto"/>
      </w:pPr>
      <w:r>
        <w:t xml:space="preserve">3. Budynki niskie zawierające strefę pożarową o powierzchni przekraczającej 1.000 m2, zakwalifikowaną do kategorii zagrożenia ludzi ZL III, obejmującą kondygnację nadziemną inną niż pierwszą. </w:t>
      </w:r>
    </w:p>
    <w:p w:rsidR="0051047B" w:rsidRDefault="0051047B" w:rsidP="0051047B">
      <w:pPr>
        <w:spacing w:line="240" w:lineRule="auto"/>
      </w:pPr>
      <w:r>
        <w:t xml:space="preserve">4. Budynki niskie zawierające strefę pożarową zakwalifikowaną do kategorii zagrożenia ludzi ZL Vi mające ponad 50 miejsc noclegowych.  </w:t>
      </w:r>
    </w:p>
    <w:p w:rsidR="0051047B" w:rsidRDefault="0051047B" w:rsidP="0051047B">
      <w:pPr>
        <w:spacing w:line="240" w:lineRule="auto"/>
      </w:pPr>
      <w:r>
        <w:t xml:space="preserve">5. Obiekty budowlane inne niż budynki, przeznaczone do użyteczności publicznej lub zamieszkania zbiorowego, w których przewiduje się możliwość jednoczesnego przebywania w strefie pożarowej ponad 50 osób na powierzchni do 2.000 m2. </w:t>
      </w:r>
    </w:p>
    <w:p w:rsidR="0051047B" w:rsidRDefault="0051047B" w:rsidP="0051047B">
      <w:pPr>
        <w:spacing w:line="240" w:lineRule="auto"/>
      </w:pPr>
      <w:r>
        <w:t xml:space="preserve">6. Budynki zawierające strefę pożarową produkcyjną lub magazynową, wolno stojące urządzenia technologiczne lub zbiorniki poza budynkami oraz place składowe albo wiaty, jeżeli zachodzi jeden z poniższych warunków: </w:t>
      </w:r>
    </w:p>
    <w:p w:rsidR="0051047B" w:rsidRDefault="0051047B" w:rsidP="0051047B">
      <w:pPr>
        <w:spacing w:line="240" w:lineRule="auto"/>
      </w:pPr>
      <w:r>
        <w:t xml:space="preserve">a. strefa pożarowa produkcyjna lub magazynowa wymienionych obiektów budowlanych ma powierzchnię przekraczającą 1.000 m2 oraz gęstość obciążenia ogniowego przekraczającą 500 MJ/m2. b. występuje zagrożenie wybuchem.  </w:t>
      </w:r>
    </w:p>
    <w:p w:rsidR="0051047B" w:rsidRDefault="0051047B" w:rsidP="0051047B">
      <w:pPr>
        <w:spacing w:line="240" w:lineRule="auto"/>
      </w:pPr>
      <w:r>
        <w:t xml:space="preserve">7. Garaże wielopoziomowe. </w:t>
      </w:r>
    </w:p>
    <w:p w:rsidR="0051047B" w:rsidRDefault="0051047B" w:rsidP="0051047B">
      <w:pPr>
        <w:spacing w:line="240" w:lineRule="auto"/>
      </w:pPr>
      <w:r>
        <w:t xml:space="preserve">8. Obiekty budowlane objęte obowiązkiem wykonania systemu sygnalizacji pożarowej lub stałych urządzeń gaśniczych. </w:t>
      </w:r>
    </w:p>
    <w:p w:rsidR="0051047B" w:rsidRDefault="0051047B" w:rsidP="0051047B">
      <w:pPr>
        <w:spacing w:line="240" w:lineRule="auto"/>
      </w:pPr>
      <w:r>
        <w:t xml:space="preserve">9. Parkingi dla pojazdów przewożących ładunki niebezpieczne. </w:t>
      </w:r>
    </w:p>
    <w:p w:rsidR="0051047B" w:rsidRDefault="0051047B" w:rsidP="0051047B">
      <w:pPr>
        <w:spacing w:line="240" w:lineRule="auto"/>
      </w:pPr>
      <w:r>
        <w:t xml:space="preserve">10. Przeciwpożarowe zbiorniki wodne oraz stanowiska czerpania wody do celów przeciwpożarowych. 11. Tunele o długości powyżej 100 m. </w:t>
      </w:r>
    </w:p>
    <w:p w:rsidR="0051047B" w:rsidRDefault="0051047B" w:rsidP="0051047B">
      <w:pPr>
        <w:spacing w:line="240" w:lineRule="auto"/>
      </w:pPr>
    </w:p>
    <w:p w:rsidR="0051047B" w:rsidRDefault="0051047B" w:rsidP="0051047B">
      <w:pPr>
        <w:spacing w:line="240" w:lineRule="auto"/>
      </w:pPr>
    </w:p>
    <w:p w:rsidR="0051047B" w:rsidRDefault="0051047B" w:rsidP="0051047B">
      <w:pPr>
        <w:spacing w:line="240" w:lineRule="auto"/>
      </w:pPr>
    </w:p>
    <w:p w:rsidR="0051047B" w:rsidRDefault="0051047B" w:rsidP="0051047B">
      <w:pPr>
        <w:spacing w:line="240" w:lineRule="auto"/>
      </w:pPr>
    </w:p>
    <w:p w:rsidR="002E0958" w:rsidRDefault="002E0958" w:rsidP="0051047B">
      <w:pPr>
        <w:spacing w:line="240" w:lineRule="auto"/>
      </w:pPr>
    </w:p>
    <w:sectPr w:rsidR="002E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66"/>
    <w:rsid w:val="002E0958"/>
    <w:rsid w:val="0051047B"/>
    <w:rsid w:val="00AC4666"/>
    <w:rsid w:val="00E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A366"/>
  <w15:chartTrackingRefBased/>
  <w15:docId w15:val="{4FF32BB0-71DC-4C86-AEFA-C95580C5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prewencja</dc:creator>
  <cp:keywords/>
  <dc:description/>
  <cp:lastModifiedBy>prewencja</cp:lastModifiedBy>
  <cp:revision>2</cp:revision>
  <dcterms:created xsi:type="dcterms:W3CDTF">2017-03-13T09:57:00Z</dcterms:created>
  <dcterms:modified xsi:type="dcterms:W3CDTF">2017-03-13T10:01:00Z</dcterms:modified>
</cp:coreProperties>
</file>