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Dział VIII</w:t>
      </w: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Zasady udzielania kredytów na zakup środków do produkcji rolnej (linia KSP)</w:t>
      </w:r>
    </w:p>
    <w:p w:rsidR="00014C29" w:rsidRPr="00014C29" w:rsidRDefault="00014C29" w:rsidP="00014C29">
      <w:pPr>
        <w:jc w:val="center"/>
        <w:rPr>
          <w:b/>
        </w:rPr>
      </w:pP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Rozdział I. Cel i przeznaczenie</w:t>
      </w:r>
    </w:p>
    <w:p w:rsidR="00014C29" w:rsidRPr="00014C29" w:rsidRDefault="00014C29" w:rsidP="00014C29">
      <w:pPr>
        <w:jc w:val="center"/>
      </w:pPr>
    </w:p>
    <w:p w:rsidR="00014C29" w:rsidRPr="00014C29" w:rsidRDefault="00014C29" w:rsidP="00014C29">
      <w:pPr>
        <w:numPr>
          <w:ilvl w:val="0"/>
          <w:numId w:val="1"/>
        </w:numPr>
        <w:ind w:left="284" w:hanging="284"/>
        <w:jc w:val="both"/>
      </w:pPr>
      <w:r w:rsidRPr="00014C29">
        <w:t>W 2018 r. banki mogą udzielać producentom rolnym, o których mowa w rozdz. II ust. 1 niniejszych zasad, kredytów na zakup środków do produkcji rolnej (cel kredytu – ZSP).</w:t>
      </w:r>
    </w:p>
    <w:p w:rsidR="00014C29" w:rsidRPr="00014C29" w:rsidRDefault="00014C29" w:rsidP="00014C29">
      <w:pPr>
        <w:jc w:val="both"/>
      </w:pPr>
      <w:r w:rsidRPr="00014C29">
        <w:t xml:space="preserve"> </w:t>
      </w:r>
    </w:p>
    <w:p w:rsidR="00014C29" w:rsidRPr="00014C29" w:rsidRDefault="00014C29" w:rsidP="00014C29">
      <w:pPr>
        <w:numPr>
          <w:ilvl w:val="0"/>
          <w:numId w:val="1"/>
        </w:numPr>
        <w:ind w:left="284" w:hanging="284"/>
        <w:jc w:val="both"/>
      </w:pPr>
      <w:r w:rsidRPr="00014C29">
        <w:t>Kredytowaniem objęta jest produkcja rolna prowadzona w ramach następujących działalności wymienionych w „Wykazie działalności (…)” zawartym w części II:</w:t>
      </w:r>
    </w:p>
    <w:p w:rsidR="00014C29" w:rsidRPr="00014C29" w:rsidRDefault="00014C29" w:rsidP="00014C29">
      <w:pPr>
        <w:numPr>
          <w:ilvl w:val="0"/>
          <w:numId w:val="2"/>
        </w:numPr>
        <w:ind w:left="567" w:hanging="283"/>
        <w:jc w:val="both"/>
      </w:pPr>
      <w:r w:rsidRPr="00014C29">
        <w:t>uprawy rolne inne niż wieloletnie – 01.1,</w:t>
      </w:r>
    </w:p>
    <w:p w:rsidR="00014C29" w:rsidRPr="00014C29" w:rsidRDefault="00014C29" w:rsidP="00014C29">
      <w:pPr>
        <w:numPr>
          <w:ilvl w:val="0"/>
          <w:numId w:val="2"/>
        </w:numPr>
        <w:ind w:left="567" w:hanging="283"/>
        <w:jc w:val="both"/>
      </w:pPr>
      <w:r w:rsidRPr="00014C29">
        <w:t>uprawa roślin wieloletnich – 01.2,</w:t>
      </w:r>
    </w:p>
    <w:p w:rsidR="00014C29" w:rsidRPr="00014C29" w:rsidRDefault="00014C29" w:rsidP="00014C29">
      <w:pPr>
        <w:numPr>
          <w:ilvl w:val="0"/>
          <w:numId w:val="2"/>
        </w:numPr>
        <w:ind w:left="567" w:hanging="283"/>
        <w:jc w:val="both"/>
      </w:pPr>
      <w:r w:rsidRPr="00014C29">
        <w:t>rozmnażanie roślin – 01.30.Z,</w:t>
      </w:r>
    </w:p>
    <w:p w:rsidR="00014C29" w:rsidRPr="00014C29" w:rsidRDefault="00014C29" w:rsidP="00014C29">
      <w:pPr>
        <w:numPr>
          <w:ilvl w:val="0"/>
          <w:numId w:val="2"/>
        </w:numPr>
        <w:ind w:left="567" w:hanging="283"/>
        <w:jc w:val="both"/>
      </w:pPr>
      <w:r w:rsidRPr="00014C29">
        <w:t>chów i hodowla zwierząt – 01.4,</w:t>
      </w:r>
    </w:p>
    <w:p w:rsidR="00014C29" w:rsidRPr="00014C29" w:rsidRDefault="00014C29" w:rsidP="00014C29">
      <w:pPr>
        <w:numPr>
          <w:ilvl w:val="0"/>
          <w:numId w:val="2"/>
        </w:numPr>
        <w:ind w:left="567" w:hanging="283"/>
        <w:jc w:val="both"/>
      </w:pPr>
      <w:r w:rsidRPr="00014C29">
        <w:t>uprawy rolne połączone z chowem i hodowlą zwierząt (działalność mieszana) – 01.50.Z,</w:t>
      </w:r>
    </w:p>
    <w:p w:rsidR="00014C29" w:rsidRPr="00014C29" w:rsidRDefault="00014C29" w:rsidP="00014C29">
      <w:pPr>
        <w:numPr>
          <w:ilvl w:val="0"/>
          <w:numId w:val="2"/>
        </w:numPr>
        <w:ind w:left="567" w:hanging="283"/>
        <w:jc w:val="both"/>
      </w:pPr>
      <w:r w:rsidRPr="00014C29">
        <w:t>obróbka nasion dla celów rozmnażania roślin – 01.64.Z,</w:t>
      </w:r>
    </w:p>
    <w:p w:rsidR="00014C29" w:rsidRPr="00014C29" w:rsidRDefault="00014C29" w:rsidP="00014C29">
      <w:pPr>
        <w:numPr>
          <w:ilvl w:val="0"/>
          <w:numId w:val="2"/>
        </w:numPr>
        <w:ind w:left="567" w:hanging="283"/>
        <w:jc w:val="both"/>
      </w:pPr>
      <w:r w:rsidRPr="00014C29">
        <w:t>działy specjalne produkcji rolnej – DS.</w:t>
      </w:r>
    </w:p>
    <w:p w:rsidR="00014C29" w:rsidRPr="00014C29" w:rsidRDefault="00014C29" w:rsidP="00014C29">
      <w:pPr>
        <w:jc w:val="both"/>
      </w:pPr>
    </w:p>
    <w:p w:rsidR="00014C29" w:rsidRPr="00014C29" w:rsidRDefault="00014C29" w:rsidP="00014C29">
      <w:pPr>
        <w:numPr>
          <w:ilvl w:val="0"/>
          <w:numId w:val="1"/>
        </w:numPr>
        <w:ind w:left="284" w:hanging="284"/>
        <w:jc w:val="both"/>
      </w:pPr>
      <w:r w:rsidRPr="00014C29">
        <w:t>Kredyt może zostać udzielony na zakup:</w:t>
      </w:r>
    </w:p>
    <w:p w:rsidR="00014C29" w:rsidRPr="00014C29" w:rsidRDefault="00014C29" w:rsidP="00014C29">
      <w:pPr>
        <w:numPr>
          <w:ilvl w:val="0"/>
          <w:numId w:val="3"/>
        </w:numPr>
        <w:jc w:val="both"/>
      </w:pPr>
      <w:r w:rsidRPr="00014C29">
        <w:t>nawozów mineralnych, środków ochrony roślin lub pasz,</w:t>
      </w:r>
    </w:p>
    <w:p w:rsidR="00014C29" w:rsidRPr="00014C29" w:rsidRDefault="00014C29" w:rsidP="00014C29">
      <w:pPr>
        <w:numPr>
          <w:ilvl w:val="0"/>
          <w:numId w:val="3"/>
        </w:numPr>
        <w:jc w:val="both"/>
      </w:pPr>
      <w:r w:rsidRPr="00014C29">
        <w:t xml:space="preserve">kwalifikowanego materiału siewnego zbóż, rzepaku, kukurydzy, lnu, roślin motylkowych </w:t>
      </w:r>
      <w:proofErr w:type="gramStart"/>
      <w:r w:rsidRPr="00014C29">
        <w:t>grubonasiennych  i</w:t>
      </w:r>
      <w:proofErr w:type="gramEnd"/>
      <w:r w:rsidRPr="00014C29">
        <w:t xml:space="preserve"> drobnonasiennych, rzepiku ozimego, gorczycy, traw, buraków cukrowych i pastewnych, sadzeniaków ziemniaka, nasion warzyw lub kwalifikowanego materiału szkółkarskiego do nowych nasadzeń i odnowień,</w:t>
      </w:r>
    </w:p>
    <w:p w:rsidR="00014C29" w:rsidRPr="00014C29" w:rsidRDefault="00014C29" w:rsidP="00014C29">
      <w:pPr>
        <w:numPr>
          <w:ilvl w:val="0"/>
          <w:numId w:val="3"/>
        </w:numPr>
        <w:jc w:val="both"/>
      </w:pPr>
      <w:r w:rsidRPr="00014C29">
        <w:t>hodowlanych jałówek, loszek, owiec-maciorek, kózek lub rozpłodników buhajów, knurów, tryków, kozłów i ogierów, z wyłączeniem zakupu na eksport,</w:t>
      </w:r>
    </w:p>
    <w:p w:rsidR="00014C29" w:rsidRPr="00014C29" w:rsidRDefault="00014C29" w:rsidP="00014C29">
      <w:pPr>
        <w:numPr>
          <w:ilvl w:val="0"/>
          <w:numId w:val="3"/>
        </w:numPr>
        <w:jc w:val="both"/>
      </w:pPr>
      <w:r w:rsidRPr="00014C29">
        <w:t>pszczelich matek użytkowych lub reprodukcyjnych.</w:t>
      </w:r>
    </w:p>
    <w:p w:rsidR="00014C29" w:rsidRPr="00014C29" w:rsidRDefault="00014C29" w:rsidP="00014C29">
      <w:pPr>
        <w:jc w:val="both"/>
      </w:pP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Rozdział II. Kredytobiorcy</w:t>
      </w:r>
    </w:p>
    <w:p w:rsidR="00014C29" w:rsidRPr="00014C29" w:rsidRDefault="00014C29" w:rsidP="00014C29">
      <w:pPr>
        <w:jc w:val="center"/>
        <w:rPr>
          <w:b/>
        </w:rPr>
      </w:pPr>
    </w:p>
    <w:p w:rsidR="00014C29" w:rsidRPr="00014C29" w:rsidRDefault="00014C29" w:rsidP="00014C29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Kredyt może zostać udzielony producentowi rolnemu w rozumieniu przepisów o krajowym systemie ewidencji producentów, ewidencji gospodarstw rolnych oraz ewidencji wniosków o przyznanie płatności, który z prowadzonej produkcji rolnej uzyskał w roku poprzedzającym rok złożenia wniosku o udzielenie kredytu, co najmniej 10 000 zł ze sprzedaży produktów rolnych wytworzonych w ramach działalności w zakresie rolnictwa określonej w rozdz. I ust. 2. </w:t>
      </w:r>
    </w:p>
    <w:p w:rsidR="00014C29" w:rsidRPr="00014C29" w:rsidRDefault="00014C29" w:rsidP="00014C29">
      <w:pPr>
        <w:jc w:val="both"/>
        <w:rPr>
          <w:sz w:val="12"/>
          <w:szCs w:val="12"/>
        </w:rPr>
      </w:pPr>
    </w:p>
    <w:p w:rsidR="00014C29" w:rsidRPr="00014C29" w:rsidRDefault="00014C29" w:rsidP="00014C29">
      <w:pPr>
        <w:numPr>
          <w:ilvl w:val="0"/>
          <w:numId w:val="4"/>
        </w:numPr>
        <w:ind w:left="284" w:hanging="284"/>
        <w:jc w:val="both"/>
      </w:pPr>
      <w:r w:rsidRPr="00014C29">
        <w:t>Podmiot wymieniony w ust. 1 może być mikroprzedsiębiorstwem, małym lub średnim przedsiębiorstwem (MŚP) a także dużym przedsiębiorstwem.</w:t>
      </w:r>
    </w:p>
    <w:p w:rsidR="00014C29" w:rsidRPr="00014C29" w:rsidRDefault="00014C29" w:rsidP="00014C29">
      <w:pPr>
        <w:ind w:left="284"/>
        <w:jc w:val="both"/>
      </w:pPr>
    </w:p>
    <w:p w:rsidR="00014C29" w:rsidRPr="00014C29" w:rsidRDefault="00014C29" w:rsidP="00014C29">
      <w:pPr>
        <w:numPr>
          <w:ilvl w:val="0"/>
          <w:numId w:val="4"/>
        </w:numPr>
        <w:ind w:left="284" w:hanging="284"/>
        <w:jc w:val="both"/>
      </w:pPr>
      <w:r w:rsidRPr="00014C29">
        <w:t>W przypadku małżonków, pomiędzy którymi istnieje wspólność majątkowa, umowa kredytu jest zawierana z obydwojgiem małżonków.</w:t>
      </w:r>
    </w:p>
    <w:p w:rsidR="00014C29" w:rsidRPr="00014C29" w:rsidRDefault="00014C29" w:rsidP="00014C29">
      <w:pPr>
        <w:jc w:val="both"/>
        <w:rPr>
          <w:i/>
        </w:rPr>
      </w:pP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Rozdział III. Wysokość kredytu i wkład własny</w:t>
      </w:r>
    </w:p>
    <w:p w:rsidR="00014C29" w:rsidRPr="00014C29" w:rsidRDefault="00014C29" w:rsidP="00014C29">
      <w:pPr>
        <w:jc w:val="center"/>
        <w:rPr>
          <w:b/>
        </w:rPr>
      </w:pPr>
    </w:p>
    <w:p w:rsidR="00014C29" w:rsidRPr="00014C29" w:rsidRDefault="00014C29" w:rsidP="00014C29">
      <w:pPr>
        <w:pStyle w:val="Akapitzlist"/>
        <w:numPr>
          <w:ilvl w:val="0"/>
          <w:numId w:val="19"/>
        </w:numPr>
        <w:contextualSpacing/>
        <w:jc w:val="both"/>
        <w:rPr>
          <w:szCs w:val="24"/>
        </w:rPr>
      </w:pPr>
      <w:r w:rsidRPr="00014C29">
        <w:rPr>
          <w:szCs w:val="24"/>
        </w:rPr>
        <w:t>Kwota kredytu określana jest w umowie kredytu.</w:t>
      </w:r>
    </w:p>
    <w:p w:rsidR="00014C29" w:rsidRPr="00014C29" w:rsidRDefault="00014C29" w:rsidP="00014C29">
      <w:pPr>
        <w:pStyle w:val="Akapitzlist"/>
        <w:ind w:left="0"/>
        <w:contextualSpacing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19"/>
        </w:numPr>
        <w:contextualSpacing/>
        <w:jc w:val="both"/>
        <w:rPr>
          <w:szCs w:val="24"/>
        </w:rPr>
      </w:pPr>
      <w:r w:rsidRPr="00014C29">
        <w:rPr>
          <w:szCs w:val="24"/>
        </w:rPr>
        <w:t>Przy ustalaniu kwoty kredytu nie uwzględnia się udzielonych producentowi rolnemu kwot innych kredytów preferencyjnych.</w:t>
      </w:r>
    </w:p>
    <w:p w:rsidR="00014C29" w:rsidRPr="00014C29" w:rsidRDefault="00014C29" w:rsidP="00014C29">
      <w:pPr>
        <w:pStyle w:val="Akapitzlist"/>
        <w:ind w:left="0"/>
        <w:contextualSpacing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19"/>
        </w:numPr>
        <w:contextualSpacing/>
        <w:jc w:val="both"/>
        <w:rPr>
          <w:szCs w:val="24"/>
        </w:rPr>
      </w:pPr>
      <w:r w:rsidRPr="00014C29">
        <w:rPr>
          <w:szCs w:val="24"/>
        </w:rPr>
        <w:t>Od kredytobiorcy nie wymaga się wniesienia wkładu własnego.</w:t>
      </w:r>
    </w:p>
    <w:p w:rsidR="00014C29" w:rsidRPr="00014C29" w:rsidRDefault="00014C29" w:rsidP="00014C29">
      <w:pPr>
        <w:pStyle w:val="Tekstpodstawowy3"/>
        <w:spacing w:line="264" w:lineRule="auto"/>
        <w:ind w:left="284" w:hanging="284"/>
        <w:rPr>
          <w:b w:val="0"/>
          <w:sz w:val="24"/>
          <w:szCs w:val="24"/>
        </w:rPr>
      </w:pP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Rozdział IV. Wysokość oprocentowania</w:t>
      </w:r>
    </w:p>
    <w:p w:rsidR="00014C29" w:rsidRPr="00014C29" w:rsidRDefault="00014C29" w:rsidP="00014C29">
      <w:pPr>
        <w:jc w:val="center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Oprocentowanie kredytu jest zmienne i nie może wynosić więcej niż stopa referencyjna WIBOR 3M, powiększona nie więcej niż o 3,5 punktu procentowego. Przy ustalaniu wysokości oprocentowania stosuje się stopę referencyjną WIBOR 3M, ogłaszaną na ostatni dzień roboczy drugiego miesiąca kwartału, która podlega zmianom w okresie kredytowania zgodnie z wysokością stopy referencyjnej WIBOR 3M ogłaszaną w ostatnim dniu roboczym drugiego miesiąca poprzedzającego każdy następny kwartał.</w:t>
      </w:r>
    </w:p>
    <w:p w:rsidR="00014C29" w:rsidRPr="00014C29" w:rsidRDefault="00014C29" w:rsidP="00014C29">
      <w:pPr>
        <w:pStyle w:val="Akapitzlist"/>
        <w:ind w:left="284"/>
        <w:jc w:val="both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Oprocentowanie należne bankowi jest płacone przez:</w:t>
      </w:r>
    </w:p>
    <w:p w:rsidR="00014C29" w:rsidRPr="00014C29" w:rsidRDefault="00014C29" w:rsidP="00014C29">
      <w:pPr>
        <w:pStyle w:val="Akapitzlist"/>
        <w:numPr>
          <w:ilvl w:val="0"/>
          <w:numId w:val="6"/>
        </w:numPr>
        <w:contextualSpacing/>
        <w:jc w:val="both"/>
        <w:rPr>
          <w:szCs w:val="24"/>
        </w:rPr>
      </w:pPr>
      <w:proofErr w:type="gramStart"/>
      <w:r w:rsidRPr="00014C29">
        <w:rPr>
          <w:szCs w:val="24"/>
        </w:rPr>
        <w:t>kredytobiorcę  -</w:t>
      </w:r>
      <w:proofErr w:type="gramEnd"/>
      <w:r w:rsidRPr="00014C29">
        <w:rPr>
          <w:szCs w:val="24"/>
        </w:rPr>
        <w:t xml:space="preserve"> w wysokości 2%,</w:t>
      </w:r>
    </w:p>
    <w:p w:rsidR="00014C29" w:rsidRPr="00014C29" w:rsidRDefault="00014C29" w:rsidP="00014C29">
      <w:pPr>
        <w:pStyle w:val="Akapitzlist"/>
        <w:numPr>
          <w:ilvl w:val="0"/>
          <w:numId w:val="6"/>
        </w:numPr>
        <w:contextualSpacing/>
        <w:jc w:val="both"/>
        <w:rPr>
          <w:szCs w:val="24"/>
        </w:rPr>
      </w:pPr>
      <w:r w:rsidRPr="00014C29">
        <w:rPr>
          <w:szCs w:val="24"/>
        </w:rPr>
        <w:t>Agencję w pozostałej części.</w:t>
      </w:r>
    </w:p>
    <w:p w:rsidR="00014C29" w:rsidRPr="00014C29" w:rsidRDefault="00014C29" w:rsidP="00014C29">
      <w:pPr>
        <w:pStyle w:val="Akapitzlist"/>
        <w:ind w:left="644"/>
        <w:jc w:val="both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Bank nie może stosować kapitalizacji odsetek lub pobierać ich z góry.</w:t>
      </w:r>
    </w:p>
    <w:p w:rsidR="00014C29" w:rsidRPr="00014C29" w:rsidRDefault="00014C29" w:rsidP="00014C29">
      <w:pPr>
        <w:jc w:val="both"/>
        <w:rPr>
          <w:sz w:val="22"/>
          <w:szCs w:val="22"/>
        </w:rPr>
      </w:pP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Rozdział V. Wysokość pomocy</w:t>
      </w:r>
    </w:p>
    <w:p w:rsidR="00014C29" w:rsidRPr="00014C29" w:rsidRDefault="00014C29" w:rsidP="00014C29">
      <w:pPr>
        <w:jc w:val="center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Pomoc w formie dopłat do oprocentowania kredytu z linii KSP może być stosowana </w:t>
      </w:r>
      <w:r w:rsidRPr="00014C29">
        <w:rPr>
          <w:szCs w:val="24"/>
        </w:rPr>
        <w:br/>
        <w:t xml:space="preserve">w okresie kredytowania, ale nie dłużej niż przez cztery lata od dnia zawarcia umowy kredytu. </w:t>
      </w:r>
    </w:p>
    <w:p w:rsidR="00014C29" w:rsidRPr="00014C29" w:rsidRDefault="00014C29" w:rsidP="00014C29">
      <w:pPr>
        <w:pStyle w:val="Akapitzlist"/>
        <w:ind w:left="284"/>
        <w:jc w:val="both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Dopłaty do oprocentowania kredytu są stosowane jako pomoc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 xml:space="preserve">w rolnictwie zgodnie z przepisami rozporządzenia Komisji (UE) nr 1408/2013 oraz przepisami </w:t>
      </w:r>
      <w:r w:rsidRPr="00014C29">
        <w:rPr>
          <w:szCs w:val="24"/>
        </w:rPr>
        <w:br/>
        <w:t>o postępowaniu w sprawach dotyczących pomocy publicznej.</w:t>
      </w:r>
    </w:p>
    <w:p w:rsidR="00014C29" w:rsidRPr="00014C29" w:rsidRDefault="00014C29" w:rsidP="00014C29">
      <w:pPr>
        <w:pStyle w:val="Akapitzlist"/>
        <w:ind w:left="284"/>
        <w:jc w:val="both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Maksymalna kwota dopłat określana jest w umowie kredytu wg oprocentowania obowiązującego w dniu jej zawarcia.</w:t>
      </w:r>
    </w:p>
    <w:p w:rsidR="00014C29" w:rsidRPr="00014C29" w:rsidRDefault="00014C29" w:rsidP="00014C29">
      <w:pPr>
        <w:pStyle w:val="Akapitzlist"/>
        <w:ind w:left="284"/>
        <w:jc w:val="both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Wysokość pomocy </w:t>
      </w:r>
      <w:r w:rsidRPr="00014C29">
        <w:rPr>
          <w:i/>
          <w:szCs w:val="24"/>
        </w:rPr>
        <w:t>de minimis</w:t>
      </w:r>
      <w:r w:rsidRPr="00014C29">
        <w:rPr>
          <w:szCs w:val="24"/>
        </w:rPr>
        <w:t xml:space="preserve"> w rolnictwie udzielonej jednemu przedsiębiorstwu zgodnie </w:t>
      </w:r>
      <w:r w:rsidRPr="00014C29">
        <w:rPr>
          <w:szCs w:val="24"/>
        </w:rPr>
        <w:br/>
        <w:t xml:space="preserve">z przepisami rozporządzenia Komisji (UE) nr 1408/2013 nie może przekroczyć równowartości 15000 EUR w okresie trzech lat, tj. w bieżącym roku podatkowym i w ciągu poprzedzających go 2 lat podatkowych, z uwzględnieniem kwot pomocy </w:t>
      </w:r>
      <w:r w:rsidRPr="00014C29">
        <w:rPr>
          <w:i/>
          <w:szCs w:val="24"/>
        </w:rPr>
        <w:t xml:space="preserve">de minimis </w:t>
      </w:r>
      <w:r w:rsidRPr="00014C29">
        <w:rPr>
          <w:i/>
          <w:szCs w:val="24"/>
        </w:rPr>
        <w:br/>
      </w:r>
      <w:r w:rsidRPr="00014C29">
        <w:rPr>
          <w:szCs w:val="24"/>
        </w:rPr>
        <w:t>w rolnictwie ze wszystkich tytułów, z zastrzeżeniem ust. 5.</w:t>
      </w:r>
    </w:p>
    <w:p w:rsidR="00014C29" w:rsidRPr="00014C29" w:rsidRDefault="00014C29" w:rsidP="00014C29">
      <w:pPr>
        <w:pStyle w:val="Akapitzlist"/>
        <w:ind w:left="284"/>
        <w:jc w:val="both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Udzielona jednemu przedsiębiorstwu w okresie trzech lat, tj. w bieżącym roku podatkowym i w ciągu poprzedzających go 2 lat podatkowych, łączna wysokość:</w:t>
      </w:r>
    </w:p>
    <w:p w:rsidR="00014C29" w:rsidRPr="00014C29" w:rsidRDefault="00014C29" w:rsidP="00014C29">
      <w:pPr>
        <w:pStyle w:val="Akapitzlist"/>
        <w:numPr>
          <w:ilvl w:val="0"/>
          <w:numId w:val="8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 xml:space="preserve">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 xml:space="preserve">w rolnictwie i 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>w rybołówstwie nie może przekroczyć równowartości 30.000 EUR,</w:t>
      </w:r>
    </w:p>
    <w:p w:rsidR="00014C29" w:rsidRPr="00014C29" w:rsidRDefault="00014C29" w:rsidP="00014C29">
      <w:pPr>
        <w:pStyle w:val="Akapitzlist"/>
        <w:numPr>
          <w:ilvl w:val="0"/>
          <w:numId w:val="8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 xml:space="preserve">pomocy </w:t>
      </w:r>
      <w:r w:rsidRPr="00014C29">
        <w:rPr>
          <w:i/>
          <w:szCs w:val="24"/>
        </w:rPr>
        <w:t xml:space="preserve">de minimis, </w:t>
      </w:r>
      <w:r w:rsidRPr="00014C29">
        <w:rPr>
          <w:szCs w:val="24"/>
        </w:rPr>
        <w:t xml:space="preserve">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 xml:space="preserve">w rolnictwie i pomocy </w:t>
      </w:r>
      <w:r w:rsidRPr="00014C29">
        <w:rPr>
          <w:i/>
          <w:szCs w:val="24"/>
        </w:rPr>
        <w:t xml:space="preserve">de minimis </w:t>
      </w:r>
      <w:r w:rsidRPr="00014C29">
        <w:rPr>
          <w:i/>
          <w:szCs w:val="24"/>
        </w:rPr>
        <w:br/>
      </w:r>
      <w:r w:rsidRPr="00014C29">
        <w:rPr>
          <w:szCs w:val="24"/>
        </w:rPr>
        <w:t>w rybołówstwie nie może przekroczyć równowartości 200.000 EUR.</w:t>
      </w:r>
    </w:p>
    <w:p w:rsidR="00014C29" w:rsidRPr="00014C29" w:rsidRDefault="00014C29" w:rsidP="00014C29">
      <w:pPr>
        <w:pStyle w:val="Akapitzlist"/>
        <w:ind w:left="644"/>
        <w:jc w:val="both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Lata podatkowe, o których mowa w ust. 4 i 5, ustala się przez odniesienie do lat podatkowych stosowanych przez dany podmiot gospodarczy w Polsce. Przyjętym przez wnioskodawcę rokiem podatkowym może być rok kalendarzowy lub inny okres, trwający </w:t>
      </w:r>
      <w:r w:rsidRPr="00014C29">
        <w:rPr>
          <w:szCs w:val="24"/>
        </w:rPr>
        <w:br/>
        <w:t>12 kolejnych miesięcy kalendarzowych.</w:t>
      </w:r>
    </w:p>
    <w:p w:rsidR="00014C29" w:rsidRPr="00014C29" w:rsidRDefault="00014C29" w:rsidP="00014C29">
      <w:pPr>
        <w:pStyle w:val="Akapitzlist"/>
        <w:ind w:left="284"/>
        <w:jc w:val="both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Równowartość pomocy w EUR ustala się według kursu średniego walut obcych, ogłaszanego przez NBP, obowiązującego w dniu udzielenia pomocy.</w:t>
      </w:r>
    </w:p>
    <w:p w:rsidR="00014C29" w:rsidRPr="00014C29" w:rsidRDefault="00014C29" w:rsidP="00014C29">
      <w:pPr>
        <w:pStyle w:val="Akapitzlist"/>
        <w:ind w:left="284"/>
        <w:jc w:val="both"/>
        <w:rPr>
          <w:sz w:val="22"/>
          <w:szCs w:val="22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Wysokość pomocy, o której mowa w ust. 4, ustala się na dzień zawarcia umowy kredytu dyskontując wartości bieżące kwot dopłat rozłożonych w czasie do ich wartości w dniu udzielenia kredytu, wg określonego w załączniku nr 2 wzoru (1) i wpisuje w umowie kredytu.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Kwota pomocy określona w umowie kredytu nie może zostać zwiększona.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426"/>
        <w:contextualSpacing/>
        <w:jc w:val="both"/>
        <w:rPr>
          <w:szCs w:val="24"/>
        </w:rPr>
      </w:pPr>
      <w:r w:rsidRPr="00014C29">
        <w:rPr>
          <w:szCs w:val="24"/>
        </w:rPr>
        <w:t>Jeżeli określona w umowie kredytu kwota na finansowanie przez Agencję oprocentowania kredytu zostanie wykorzystana przed upływem okresu kredytowania (np. z powodu wzrostu oprocentowania kredytu lub wydłużenia okresu kredytowania), to oprocentowanie kredytu w dalszym okresie kredytowania płaci w całości kredytobiorca, przy czym oprocentowanie kredytu nie może być wówczas wyższe niż wynikające z umowy zawartej pomiędzy Agencja a bankiem.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426"/>
        <w:contextualSpacing/>
        <w:jc w:val="both"/>
        <w:rPr>
          <w:szCs w:val="24"/>
        </w:rPr>
      </w:pPr>
      <w:r w:rsidRPr="00014C29">
        <w:rPr>
          <w:szCs w:val="24"/>
        </w:rPr>
        <w:t xml:space="preserve">W przypadku zmniejszenia kwoty kredytu obniżona kwota kredytu skutkuje zmianą maksymalnej kwoty dopłat, o której mowa w ust. 3 oraz wysokości pomocy wyliczonej </w:t>
      </w:r>
      <w:r w:rsidRPr="00014C29">
        <w:rPr>
          <w:szCs w:val="24"/>
        </w:rPr>
        <w:br/>
        <w:t>w oparciu o stopę dyskontową obowiązującą w dniu zawarcia umowy kredytu.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426"/>
        <w:contextualSpacing/>
        <w:jc w:val="both"/>
        <w:rPr>
          <w:szCs w:val="24"/>
        </w:rPr>
      </w:pPr>
      <w:r w:rsidRPr="00014C29">
        <w:rPr>
          <w:szCs w:val="24"/>
        </w:rPr>
        <w:t>Postanowienia ust. 11 stosuje się odpowiednio w przypadkach wystąpienia nieprawidłowości, o których mowa w rozdziale VII ust. 2, a także w przypadku częściowego nieprawidłowego udzielenia kredytu przez bank.</w:t>
      </w:r>
    </w:p>
    <w:p w:rsidR="00014C29" w:rsidRPr="00014C29" w:rsidRDefault="00014C29" w:rsidP="00014C29">
      <w:pPr>
        <w:pStyle w:val="Akapitzlist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426"/>
        <w:contextualSpacing/>
        <w:jc w:val="both"/>
        <w:rPr>
          <w:szCs w:val="24"/>
        </w:rPr>
      </w:pPr>
      <w:r w:rsidRPr="00014C29">
        <w:rPr>
          <w:szCs w:val="24"/>
        </w:rPr>
        <w:t xml:space="preserve">Pomocy w formie dopłat do oprocentowania kredytów z linii KSP nie można kumulować </w:t>
      </w:r>
      <w:r w:rsidRPr="00014C29">
        <w:rPr>
          <w:szCs w:val="24"/>
        </w:rPr>
        <w:br/>
        <w:t xml:space="preserve">z inną pomocą państwa lub pomocą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>w odniesieniu do tych samych – pokrywających się częściowo lub w całości – kosztów kwalifikowalnych.</w:t>
      </w:r>
    </w:p>
    <w:p w:rsidR="00014C29" w:rsidRPr="00014C29" w:rsidRDefault="00014C29" w:rsidP="00014C29">
      <w:pPr>
        <w:pStyle w:val="Akapitzlist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7"/>
        </w:numPr>
        <w:ind w:left="284" w:hanging="426"/>
        <w:contextualSpacing/>
        <w:jc w:val="both"/>
        <w:rPr>
          <w:szCs w:val="24"/>
        </w:rPr>
      </w:pPr>
      <w:r w:rsidRPr="00014C29">
        <w:rPr>
          <w:szCs w:val="24"/>
        </w:rPr>
        <w:t>Bank nie ponosi odpowiedzialności za przekroczenie wysokości pomocy publicznej uzyskanej przez kredytobiorcę z innych tytułów pomocy publicznej.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Rozdział VI. Okres kredytowania i karencji</w:t>
      </w:r>
    </w:p>
    <w:p w:rsidR="00014C29" w:rsidRPr="00014C29" w:rsidRDefault="00014C29" w:rsidP="00014C29">
      <w:pPr>
        <w:jc w:val="center"/>
      </w:pPr>
    </w:p>
    <w:p w:rsidR="00014C29" w:rsidRPr="00014C29" w:rsidRDefault="00014C29" w:rsidP="00014C29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Okres kredytowania oraz okres karencji w spłacie kredytu, który liczy się od dnia zawarcia umowy kredytu do dnia spłaty pierwszej raty kapitału określonej w umowie kredytu, określane są w umowie kredytu.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W okresie objętym umową kredytu bank może:</w:t>
      </w:r>
    </w:p>
    <w:p w:rsidR="00014C29" w:rsidRPr="00014C29" w:rsidRDefault="00014C29" w:rsidP="00014C29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>stosować prolongatę rat kapitału i odsetek, o ile określony w umowie kredytu termin ich spłaty jeszcze nie minął,</w:t>
      </w:r>
    </w:p>
    <w:p w:rsidR="00014C29" w:rsidRPr="00014C29" w:rsidRDefault="00014C29" w:rsidP="00014C29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 xml:space="preserve">wydłużyć okres kredytowania poza przewidziany w umowie kredytu, o ile określony </w:t>
      </w:r>
      <w:r w:rsidRPr="00014C29">
        <w:rPr>
          <w:szCs w:val="24"/>
        </w:rPr>
        <w:br/>
        <w:t>w umowie kredytu okres kredytowania jeszcze nie minął,</w:t>
      </w:r>
    </w:p>
    <w:p w:rsidR="00014C29" w:rsidRPr="00014C29" w:rsidRDefault="00014C29" w:rsidP="00014C29">
      <w:pPr>
        <w:pStyle w:val="Akapitzlist"/>
        <w:numPr>
          <w:ilvl w:val="0"/>
          <w:numId w:val="10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>w przypadkach, o których mowa w pkt. 1) i 2) maksymalna kwota dopłat nie ulega zmianie.</w:t>
      </w:r>
    </w:p>
    <w:p w:rsidR="00014C29" w:rsidRPr="00014C29" w:rsidRDefault="00014C29" w:rsidP="00014C29">
      <w:pPr>
        <w:pStyle w:val="Akapitzlist"/>
        <w:ind w:left="64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Termin spłaty kredytu (kapitału lub odsetek) może przypadać wyłącznie w dzień roboczy dla banku.</w:t>
      </w:r>
    </w:p>
    <w:p w:rsidR="00014C29" w:rsidRPr="00014C29" w:rsidRDefault="00014C29" w:rsidP="00014C29">
      <w:pPr>
        <w:jc w:val="both"/>
      </w:pPr>
    </w:p>
    <w:p w:rsidR="00014C29" w:rsidRPr="00014C29" w:rsidRDefault="00014C29" w:rsidP="00014C29">
      <w:pPr>
        <w:jc w:val="center"/>
        <w:rPr>
          <w:b/>
        </w:rPr>
      </w:pPr>
    </w:p>
    <w:p w:rsidR="00014C29" w:rsidRPr="00014C29" w:rsidRDefault="00014C29" w:rsidP="00014C29">
      <w:pPr>
        <w:jc w:val="center"/>
        <w:rPr>
          <w:b/>
        </w:rPr>
      </w:pP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Rozdział VII. Warunki stosowania i zwrotu dopłat</w:t>
      </w:r>
    </w:p>
    <w:p w:rsidR="00014C29" w:rsidRPr="00014C29" w:rsidRDefault="00014C29" w:rsidP="00014C29">
      <w:pPr>
        <w:jc w:val="center"/>
      </w:pPr>
    </w:p>
    <w:p w:rsidR="00014C29" w:rsidRPr="00014C29" w:rsidRDefault="00014C29" w:rsidP="00014C29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Dopłaty są stosowane, gdy kredytobiorca:</w:t>
      </w:r>
    </w:p>
    <w:p w:rsidR="00014C29" w:rsidRPr="00014C29" w:rsidRDefault="00014C29" w:rsidP="00014C29">
      <w:pPr>
        <w:pStyle w:val="Akapitzlist"/>
        <w:numPr>
          <w:ilvl w:val="0"/>
          <w:numId w:val="12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>spełnia warunki określone w niniejszych zasadach udzielania kredytów,</w:t>
      </w:r>
    </w:p>
    <w:p w:rsidR="00014C29" w:rsidRPr="00014C29" w:rsidRDefault="00014C29" w:rsidP="00014C29">
      <w:pPr>
        <w:pStyle w:val="Akapitzlist"/>
        <w:numPr>
          <w:ilvl w:val="0"/>
          <w:numId w:val="12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 xml:space="preserve">dokonuje w pełnej wysokości spłat rat kapitału i odsetek w terminach określonych </w:t>
      </w:r>
      <w:r w:rsidRPr="00014C29">
        <w:rPr>
          <w:szCs w:val="24"/>
        </w:rPr>
        <w:br/>
        <w:t>w umowie kredytu z uwzględnieniem dodatkowo 7-dniowego okresu na spłatę należności.</w:t>
      </w:r>
    </w:p>
    <w:p w:rsidR="00014C29" w:rsidRPr="00014C29" w:rsidRDefault="00014C29" w:rsidP="00014C29">
      <w:pPr>
        <w:pStyle w:val="Akapitzlist"/>
        <w:ind w:left="64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Dopłaty podlegają zwrotowi wraz z odsetkami jak dla zaległości podatkowych a następne nie przysługują w tej części, w jakiej kredytobiorca:</w:t>
      </w:r>
    </w:p>
    <w:p w:rsidR="00014C29" w:rsidRPr="00014C29" w:rsidRDefault="00014C29" w:rsidP="00014C29">
      <w:pPr>
        <w:pStyle w:val="Akapitzlist"/>
        <w:numPr>
          <w:ilvl w:val="0"/>
          <w:numId w:val="13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>wykorzystał kredyt bankowy niezgodnie z przeznaczeniem wskazanym w umowie kredytu,</w:t>
      </w:r>
    </w:p>
    <w:p w:rsidR="00014C29" w:rsidRPr="00014C29" w:rsidRDefault="00014C29" w:rsidP="00014C29">
      <w:pPr>
        <w:pStyle w:val="Akapitzlist"/>
        <w:numPr>
          <w:ilvl w:val="0"/>
          <w:numId w:val="13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 xml:space="preserve">nie udokumentował, w terminie 3 miesięcy od dnia pobrania środków finansowych </w:t>
      </w:r>
      <w:r w:rsidRPr="00014C29">
        <w:rPr>
          <w:szCs w:val="24"/>
        </w:rPr>
        <w:br/>
        <w:t>z rachunku kredytowego, wydatków poniesionych ze środków kredytu:</w:t>
      </w:r>
    </w:p>
    <w:p w:rsidR="00014C29" w:rsidRPr="00014C29" w:rsidRDefault="00014C29" w:rsidP="00014C29">
      <w:pPr>
        <w:pStyle w:val="Akapitzlist"/>
        <w:numPr>
          <w:ilvl w:val="0"/>
          <w:numId w:val="14"/>
        </w:numPr>
        <w:ind w:left="851" w:hanging="284"/>
        <w:contextualSpacing/>
        <w:jc w:val="both"/>
        <w:rPr>
          <w:szCs w:val="24"/>
        </w:rPr>
      </w:pPr>
      <w:r w:rsidRPr="00014C29">
        <w:rPr>
          <w:szCs w:val="24"/>
        </w:rPr>
        <w:t>fakturą,</w:t>
      </w:r>
    </w:p>
    <w:p w:rsidR="00014C29" w:rsidRPr="00014C29" w:rsidRDefault="00014C29" w:rsidP="00014C29">
      <w:pPr>
        <w:pStyle w:val="Akapitzlist"/>
        <w:numPr>
          <w:ilvl w:val="0"/>
          <w:numId w:val="14"/>
        </w:numPr>
        <w:ind w:left="851" w:hanging="284"/>
        <w:contextualSpacing/>
        <w:jc w:val="both"/>
        <w:rPr>
          <w:szCs w:val="24"/>
        </w:rPr>
      </w:pPr>
      <w:r w:rsidRPr="00014C29">
        <w:rPr>
          <w:szCs w:val="24"/>
        </w:rPr>
        <w:t>rachunkiem wystawionym zgodnie z odrębnymi przepisami,</w:t>
      </w:r>
    </w:p>
    <w:p w:rsidR="00014C29" w:rsidRPr="00014C29" w:rsidRDefault="00014C29" w:rsidP="00014C29">
      <w:pPr>
        <w:pStyle w:val="Akapitzlist"/>
        <w:numPr>
          <w:ilvl w:val="0"/>
          <w:numId w:val="14"/>
        </w:numPr>
        <w:ind w:left="851" w:hanging="284"/>
        <w:contextualSpacing/>
        <w:jc w:val="both"/>
        <w:rPr>
          <w:szCs w:val="24"/>
        </w:rPr>
      </w:pPr>
      <w:r w:rsidRPr="00014C29">
        <w:rPr>
          <w:szCs w:val="24"/>
        </w:rPr>
        <w:t>innymi dowodami wpłaty, w tym dokonanymi na podstawie umowy sprzedaży.</w:t>
      </w:r>
    </w:p>
    <w:p w:rsidR="00014C29" w:rsidRPr="00014C29" w:rsidRDefault="00014C29" w:rsidP="00014C29">
      <w:pPr>
        <w:pStyle w:val="Akapitzlist"/>
        <w:ind w:left="100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Dopłaty nie przysługują a już udzielone nie podlegają zwrotowi od dnia trwałego zaprzestania przez kredytobiorcę działalności rolniczej przed upływem okresu kredytowania lub trwałego zaprzestania spłaty kredytu bankowego i odsetek.</w:t>
      </w:r>
    </w:p>
    <w:p w:rsidR="00014C29" w:rsidRPr="00014C29" w:rsidRDefault="00014C29" w:rsidP="00014C29">
      <w:pPr>
        <w:jc w:val="both"/>
      </w:pPr>
    </w:p>
    <w:p w:rsidR="00014C29" w:rsidRPr="00014C29" w:rsidRDefault="00014C29" w:rsidP="00014C29">
      <w:pPr>
        <w:ind w:left="284" w:hanging="284"/>
        <w:jc w:val="both"/>
      </w:pPr>
      <w:r w:rsidRPr="00014C29">
        <w:t>4.</w:t>
      </w:r>
      <w:r w:rsidRPr="00014C29">
        <w:tab/>
        <w:t>W przypadku śmierci kredytobiorcy i przejęcia długu przez następcę prawnego, dopłaty w dotychczasowej wysokości mogą być nadal stosowane, z zastrzeżeniem ust. 5.</w:t>
      </w:r>
    </w:p>
    <w:p w:rsidR="00014C29" w:rsidRPr="00014C29" w:rsidRDefault="00014C29" w:rsidP="00014C29">
      <w:pPr>
        <w:jc w:val="both"/>
      </w:pPr>
    </w:p>
    <w:p w:rsidR="00014C29" w:rsidRPr="00014C29" w:rsidRDefault="00014C29" w:rsidP="00014C29">
      <w:pPr>
        <w:ind w:left="284" w:hanging="284"/>
        <w:jc w:val="both"/>
      </w:pPr>
      <w:r w:rsidRPr="00014C29">
        <w:t>5.</w:t>
      </w:r>
      <w:r w:rsidRPr="00014C29">
        <w:tab/>
        <w:t>Dopłaty za okres od dnia śmierci kredytobiorcy podlegają zwrotowi wraz z odsetkami w wysokości jak dla zaległości podatkowych, a dalsze dopłaty nie są stosowane, jeżeli następca prawny kredytobiorcy, w określonym przez bank terminie, z uwzględnieniem terminu wydania postanowienia przez sąd, nie przedłoży w banku prawomocnego postanowienia sądu o stwierdzeniu nabycia spadku lub wypisu zarejestrowanego aktu poświadczenia dziedziczenia. Odsetki w wysokości jak dla zaległości podatkowych od dopłat, o których mowa w zdaniu poprzednim, naliczone zostaną za okres od dnia wpływu tych dopłat do banku.</w:t>
      </w:r>
    </w:p>
    <w:p w:rsidR="00014C29" w:rsidRPr="00014C29" w:rsidRDefault="00014C29" w:rsidP="00014C29">
      <w:pPr>
        <w:jc w:val="both"/>
      </w:pP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Rozdział VIII. Pozostałe postanowienia</w:t>
      </w:r>
    </w:p>
    <w:p w:rsidR="00014C29" w:rsidRPr="00014C29" w:rsidRDefault="00014C29" w:rsidP="00014C29">
      <w:pPr>
        <w:jc w:val="center"/>
      </w:pPr>
    </w:p>
    <w:p w:rsidR="00014C29" w:rsidRPr="00014C29" w:rsidRDefault="00014C29" w:rsidP="00014C29">
      <w:pPr>
        <w:tabs>
          <w:tab w:val="left" w:pos="-709"/>
        </w:tabs>
        <w:jc w:val="both"/>
        <w:rPr>
          <w:szCs w:val="24"/>
        </w:rPr>
      </w:pPr>
      <w:r w:rsidRPr="00014C29">
        <w:rPr>
          <w:szCs w:val="24"/>
        </w:rPr>
        <w:t>Bank zobowiązany jest do zamieszczania na dokumentach potwierdzających wykorzystanie kredytu:</w:t>
      </w:r>
    </w:p>
    <w:p w:rsidR="00014C29" w:rsidRPr="00014C29" w:rsidRDefault="00014C29" w:rsidP="00014C29">
      <w:pPr>
        <w:tabs>
          <w:tab w:val="left" w:pos="-709"/>
        </w:tabs>
        <w:ind w:left="284" w:hanging="284"/>
        <w:jc w:val="both"/>
        <w:rPr>
          <w:szCs w:val="24"/>
        </w:rPr>
      </w:pPr>
      <w:r w:rsidRPr="00014C29">
        <w:rPr>
          <w:szCs w:val="24"/>
        </w:rPr>
        <w:t>1)</w:t>
      </w:r>
      <w:r w:rsidRPr="00014C29">
        <w:rPr>
          <w:szCs w:val="24"/>
        </w:rPr>
        <w:tab/>
        <w:t>daty wpływu dokumentu do banku,</w:t>
      </w:r>
    </w:p>
    <w:p w:rsidR="00014C29" w:rsidRPr="00014C29" w:rsidRDefault="00014C29" w:rsidP="00014C29">
      <w:pPr>
        <w:tabs>
          <w:tab w:val="left" w:pos="-709"/>
        </w:tabs>
        <w:ind w:left="284" w:hanging="284"/>
        <w:jc w:val="both"/>
        <w:rPr>
          <w:szCs w:val="24"/>
        </w:rPr>
      </w:pPr>
      <w:r w:rsidRPr="00014C29">
        <w:rPr>
          <w:szCs w:val="24"/>
        </w:rPr>
        <w:t>2)</w:t>
      </w:r>
      <w:r w:rsidRPr="00014C29">
        <w:rPr>
          <w:szCs w:val="24"/>
        </w:rPr>
        <w:tab/>
        <w:t>adnotacji: „Dokument został rozliczony w ramach kredytu z dopłatami ARiMR do oprocentowania udzielonego umową nr ...................... z dnia ......................” wraz z pieczęcią banku oraz podpisem osoby upoważnionej do sporządzenia adnotacji.</w:t>
      </w:r>
    </w:p>
    <w:p w:rsidR="00014C29" w:rsidRPr="00014C29" w:rsidRDefault="00014C29" w:rsidP="00014C29">
      <w:pPr>
        <w:jc w:val="both"/>
      </w:pPr>
    </w:p>
    <w:p w:rsidR="00014C29" w:rsidRPr="00014C29" w:rsidRDefault="00014C29" w:rsidP="00014C29">
      <w:pPr>
        <w:jc w:val="center"/>
        <w:rPr>
          <w:b/>
        </w:rPr>
      </w:pPr>
      <w:r w:rsidRPr="00014C29">
        <w:rPr>
          <w:b/>
        </w:rPr>
        <w:t>Rozdział IX. Procedura ubiegania się o kredyt</w:t>
      </w:r>
    </w:p>
    <w:p w:rsidR="00014C29" w:rsidRPr="00014C29" w:rsidRDefault="00014C29" w:rsidP="00014C29">
      <w:pPr>
        <w:jc w:val="center"/>
      </w:pPr>
    </w:p>
    <w:p w:rsidR="00014C29" w:rsidRPr="00014C29" w:rsidRDefault="00014C29" w:rsidP="00014C29">
      <w:pPr>
        <w:pStyle w:val="Akapitzlist"/>
        <w:numPr>
          <w:ilvl w:val="0"/>
          <w:numId w:val="15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Złożenie przez wnioskodawcę w banku wniosku o kredyt z następującymi załącznikami:</w:t>
      </w:r>
    </w:p>
    <w:p w:rsidR="00014C29" w:rsidRPr="00014C29" w:rsidRDefault="00014C29" w:rsidP="00014C29">
      <w:pPr>
        <w:pStyle w:val="Akapitzlist"/>
        <w:numPr>
          <w:ilvl w:val="0"/>
          <w:numId w:val="16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 xml:space="preserve">kopiami faktur VAT lub faktur VAT RR potwierdzającymi sprzedaż produktów rolnych </w:t>
      </w:r>
      <w:r w:rsidRPr="00014C29">
        <w:rPr>
          <w:szCs w:val="24"/>
        </w:rPr>
        <w:br/>
        <w:t>z gospodarstwa rolnego w roku poprzedzającym rok złożenia ww. wniosku, w wysokości co najmniej 10 000 zł,</w:t>
      </w:r>
    </w:p>
    <w:p w:rsidR="00014C29" w:rsidRPr="00014C29" w:rsidRDefault="00014C29" w:rsidP="00014C29">
      <w:pPr>
        <w:pStyle w:val="Akapitzlist"/>
        <w:numPr>
          <w:ilvl w:val="0"/>
          <w:numId w:val="16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>oświadczeniami sporządzonymi wg wzoru określonego w załączniku nr 8 i 26,</w:t>
      </w:r>
    </w:p>
    <w:p w:rsidR="00014C29" w:rsidRPr="00014C29" w:rsidRDefault="00014C29" w:rsidP="00014C29">
      <w:pPr>
        <w:pStyle w:val="Akapitzlist"/>
        <w:numPr>
          <w:ilvl w:val="0"/>
          <w:numId w:val="16"/>
        </w:numPr>
        <w:ind w:left="567" w:hanging="283"/>
        <w:contextualSpacing/>
        <w:jc w:val="both"/>
        <w:rPr>
          <w:i/>
          <w:szCs w:val="24"/>
        </w:rPr>
      </w:pPr>
      <w:r w:rsidRPr="00014C29">
        <w:rPr>
          <w:i/>
          <w:szCs w:val="24"/>
        </w:rPr>
        <w:t xml:space="preserve">Formularzem informacji przedstawianych przy ubieganiu się o pomoc de minimis </w:t>
      </w:r>
      <w:r w:rsidRPr="00014C29">
        <w:rPr>
          <w:i/>
          <w:szCs w:val="24"/>
        </w:rPr>
        <w:br/>
        <w:t>w rolnictwie lub rybołówstwie</w:t>
      </w:r>
      <w:r w:rsidRPr="00014C29">
        <w:rPr>
          <w:szCs w:val="24"/>
        </w:rPr>
        <w:t xml:space="preserve"> sporządzony wg wzoru określonego w załączniku nr 19,</w:t>
      </w:r>
    </w:p>
    <w:p w:rsidR="00014C29" w:rsidRPr="00014C29" w:rsidRDefault="00014C29" w:rsidP="00014C29">
      <w:pPr>
        <w:pStyle w:val="Akapitzlist"/>
        <w:numPr>
          <w:ilvl w:val="0"/>
          <w:numId w:val="16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>kompletem dokumentów wymaganych przez bank.</w:t>
      </w:r>
    </w:p>
    <w:p w:rsidR="00014C29" w:rsidRPr="00014C29" w:rsidRDefault="00014C29" w:rsidP="00014C29">
      <w:pPr>
        <w:pStyle w:val="Akapitzlist"/>
        <w:ind w:left="709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15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Wzór wniosku o kredyt, o którym mowa w ust. 1, określa bank.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15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>Bank na podstawie:</w:t>
      </w:r>
    </w:p>
    <w:p w:rsidR="00014C29" w:rsidRPr="00014C29" w:rsidRDefault="00014C29" w:rsidP="00014C29">
      <w:pPr>
        <w:pStyle w:val="Akapitzlist"/>
        <w:numPr>
          <w:ilvl w:val="0"/>
          <w:numId w:val="17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>oświadczenia wnioskodawcy, sporządzonego wg wzoru określonego w załączniku nr 8, ustala, czy łączna wysokość udzielonej jednemu przedsiębiorstwu w okresie trzech lat:</w:t>
      </w:r>
    </w:p>
    <w:p w:rsidR="00014C29" w:rsidRPr="00014C29" w:rsidRDefault="00014C29" w:rsidP="00014C29">
      <w:pPr>
        <w:pStyle w:val="Akapitzlist"/>
        <w:numPr>
          <w:ilvl w:val="0"/>
          <w:numId w:val="18"/>
        </w:numPr>
        <w:ind w:left="851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>w rolnictwie nie przekroczy równowartości 15000 EUR,</w:t>
      </w:r>
    </w:p>
    <w:p w:rsidR="00014C29" w:rsidRPr="00014C29" w:rsidRDefault="00014C29" w:rsidP="00014C29">
      <w:pPr>
        <w:pStyle w:val="Akapitzlist"/>
        <w:numPr>
          <w:ilvl w:val="0"/>
          <w:numId w:val="18"/>
        </w:numPr>
        <w:ind w:left="851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 xml:space="preserve">w rolnictwie i 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>w rybołówstwie nie przekroczy równowartości 30000 EUR,</w:t>
      </w:r>
    </w:p>
    <w:p w:rsidR="00014C29" w:rsidRPr="00014C29" w:rsidRDefault="00014C29" w:rsidP="00014C29">
      <w:pPr>
        <w:pStyle w:val="Akapitzlist"/>
        <w:numPr>
          <w:ilvl w:val="0"/>
          <w:numId w:val="18"/>
        </w:numPr>
        <w:ind w:left="851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 xml:space="preserve">w rolnictwie, 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 xml:space="preserve">w rybołówstwie i pomocy </w:t>
      </w:r>
      <w:r w:rsidRPr="00014C29">
        <w:rPr>
          <w:szCs w:val="24"/>
        </w:rPr>
        <w:br/>
      </w:r>
      <w:r w:rsidRPr="00014C29">
        <w:rPr>
          <w:i/>
          <w:szCs w:val="24"/>
        </w:rPr>
        <w:t xml:space="preserve">de minimis, </w:t>
      </w:r>
      <w:r w:rsidRPr="00014C29">
        <w:rPr>
          <w:szCs w:val="24"/>
        </w:rPr>
        <w:t>nie przekroczy równowartości 200000 EUR,</w:t>
      </w:r>
    </w:p>
    <w:p w:rsidR="00014C29" w:rsidRPr="00014C29" w:rsidRDefault="00014C29" w:rsidP="00014C29">
      <w:pPr>
        <w:pStyle w:val="Akapitzlist"/>
        <w:numPr>
          <w:ilvl w:val="0"/>
          <w:numId w:val="17"/>
        </w:numPr>
        <w:ind w:left="567" w:hanging="283"/>
        <w:contextualSpacing/>
        <w:jc w:val="both"/>
        <w:rPr>
          <w:szCs w:val="24"/>
        </w:rPr>
      </w:pPr>
      <w:r w:rsidRPr="00014C29">
        <w:rPr>
          <w:szCs w:val="24"/>
        </w:rPr>
        <w:t xml:space="preserve">informacji, o których mowa w ust. 1 pkt 3), ocenia spełnienie pozostałych warunków udzielania 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>w rolnictwie.</w:t>
      </w:r>
    </w:p>
    <w:p w:rsidR="00014C29" w:rsidRPr="00014C29" w:rsidRDefault="00014C29" w:rsidP="00014C29">
      <w:pPr>
        <w:pStyle w:val="Akapitzlist"/>
        <w:ind w:left="64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15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Bank w dniu zawarcia umowy kredytu i nie później niż do godziny 15.00 przesyła do Agencji drogą elektroniczną informację o 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 xml:space="preserve">udzielonej kredytobiorcy/współkredytobiorcy (plik </w:t>
      </w:r>
      <w:proofErr w:type="spellStart"/>
      <w:r w:rsidRPr="00014C29">
        <w:rPr>
          <w:szCs w:val="24"/>
        </w:rPr>
        <w:t>excel</w:t>
      </w:r>
      <w:proofErr w:type="spellEnd"/>
      <w:r w:rsidRPr="00014C29">
        <w:rPr>
          <w:szCs w:val="24"/>
        </w:rPr>
        <w:t xml:space="preserve"> wg wzoru określonego w załączniku nr 23, który w przypadku </w:t>
      </w:r>
      <w:proofErr w:type="spellStart"/>
      <w:r w:rsidRPr="00014C29">
        <w:rPr>
          <w:szCs w:val="24"/>
        </w:rPr>
        <w:t>współkredytobiorców</w:t>
      </w:r>
      <w:proofErr w:type="spellEnd"/>
      <w:r w:rsidRPr="00014C29">
        <w:rPr>
          <w:szCs w:val="24"/>
        </w:rPr>
        <w:t xml:space="preserve"> należy sporządzić wypełniając osobne arkusze dla każdego z nich).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15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Agencja wydaje kredytobiorcy zaświadczenie o 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 xml:space="preserve">w rolnictwie </w:t>
      </w:r>
      <w:r w:rsidRPr="00014C29">
        <w:rPr>
          <w:szCs w:val="24"/>
        </w:rPr>
        <w:br/>
        <w:t>lub rybołówstwie sporządzone zgodnie ze wzorem określonym w załączniku nr 10, które do kredytobiorcy przesyłane jest pocztą.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014C29" w:rsidRPr="00014C29" w:rsidRDefault="00014C29" w:rsidP="00014C29">
      <w:pPr>
        <w:pStyle w:val="Akapitzlist"/>
        <w:numPr>
          <w:ilvl w:val="0"/>
          <w:numId w:val="15"/>
        </w:numPr>
        <w:ind w:left="284" w:hanging="284"/>
        <w:contextualSpacing/>
        <w:jc w:val="both"/>
        <w:rPr>
          <w:szCs w:val="24"/>
        </w:rPr>
      </w:pPr>
      <w:r w:rsidRPr="00014C29">
        <w:rPr>
          <w:szCs w:val="24"/>
        </w:rPr>
        <w:t xml:space="preserve">Agencja przeprowadza kontrolę administracyjną wybranych losowo kredytów, na podstawie przekazanych przez bank na żądanie Agencji potwierdzonych za zgodność z oryginałem dokumentów, o których mowa w ust. 1 pkt </w:t>
      </w:r>
      <w:proofErr w:type="gramStart"/>
      <w:r w:rsidRPr="00014C29">
        <w:rPr>
          <w:szCs w:val="24"/>
        </w:rPr>
        <w:t>1)-</w:t>
      </w:r>
      <w:proofErr w:type="gramEnd"/>
      <w:r w:rsidRPr="00014C29">
        <w:rPr>
          <w:szCs w:val="24"/>
        </w:rPr>
        <w:t>3).</w:t>
      </w:r>
    </w:p>
    <w:p w:rsidR="00014C29" w:rsidRPr="00014C29" w:rsidRDefault="00014C29" w:rsidP="00014C29">
      <w:pPr>
        <w:pStyle w:val="Akapitzlist"/>
        <w:ind w:left="284"/>
        <w:jc w:val="both"/>
        <w:rPr>
          <w:szCs w:val="24"/>
        </w:rPr>
      </w:pPr>
    </w:p>
    <w:p w:rsidR="00C3793A" w:rsidRPr="00014C29" w:rsidRDefault="00014C29" w:rsidP="00014C29">
      <w:pPr>
        <w:pStyle w:val="Akapitzlist"/>
        <w:numPr>
          <w:ilvl w:val="0"/>
          <w:numId w:val="15"/>
        </w:numPr>
        <w:ind w:left="284" w:hanging="284"/>
        <w:contextualSpacing/>
        <w:jc w:val="both"/>
      </w:pPr>
      <w:r w:rsidRPr="00014C29">
        <w:rPr>
          <w:szCs w:val="24"/>
        </w:rPr>
        <w:t xml:space="preserve">W przypadku, gdy wartość faktycznie udzielonej pomocy </w:t>
      </w:r>
      <w:r w:rsidRPr="00014C29">
        <w:rPr>
          <w:i/>
          <w:szCs w:val="24"/>
        </w:rPr>
        <w:t xml:space="preserve">de minimis </w:t>
      </w:r>
      <w:r w:rsidRPr="00014C29">
        <w:rPr>
          <w:szCs w:val="24"/>
        </w:rPr>
        <w:t xml:space="preserve">w rolnictwie jest inna niż wartość pomocy wskazana w wydanym zaświadczeniu, o którym mowa w ust. 5, Agencja w terminie 14 dni od dnia stwierdzenia tego faktu, wydaje nowe zaświadczenie, </w:t>
      </w:r>
      <w:r w:rsidRPr="00014C29">
        <w:rPr>
          <w:szCs w:val="24"/>
        </w:rPr>
        <w:br/>
        <w:t>w którym wskazuje właściwą wartość pomocy oraz stwierdza utratę ważności poprzedniego zaświadczenia.</w:t>
      </w:r>
    </w:p>
    <w:sectPr w:rsidR="00C3793A" w:rsidRPr="0001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FDC"/>
    <w:multiLevelType w:val="hybridMultilevel"/>
    <w:tmpl w:val="2F4E3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C11"/>
    <w:multiLevelType w:val="hybridMultilevel"/>
    <w:tmpl w:val="5274A8D0"/>
    <w:lvl w:ilvl="0" w:tplc="CB9EE1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72449D"/>
    <w:multiLevelType w:val="hybridMultilevel"/>
    <w:tmpl w:val="9D16EF26"/>
    <w:lvl w:ilvl="0" w:tplc="42007CF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F0337E"/>
    <w:multiLevelType w:val="hybridMultilevel"/>
    <w:tmpl w:val="0AB4EB6E"/>
    <w:lvl w:ilvl="0" w:tplc="67746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E25C3E"/>
    <w:multiLevelType w:val="hybridMultilevel"/>
    <w:tmpl w:val="4D201C0E"/>
    <w:lvl w:ilvl="0" w:tplc="6256DCC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5357F4"/>
    <w:multiLevelType w:val="hybridMultilevel"/>
    <w:tmpl w:val="5F00D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7998"/>
    <w:multiLevelType w:val="hybridMultilevel"/>
    <w:tmpl w:val="1CBA508C"/>
    <w:lvl w:ilvl="0" w:tplc="C1B01E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5B3284"/>
    <w:multiLevelType w:val="hybridMultilevel"/>
    <w:tmpl w:val="8BDCFEB6"/>
    <w:lvl w:ilvl="0" w:tplc="5CA232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1C19AD"/>
    <w:multiLevelType w:val="hybridMultilevel"/>
    <w:tmpl w:val="68FE47FE"/>
    <w:lvl w:ilvl="0" w:tplc="34D0A1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E733CE"/>
    <w:multiLevelType w:val="hybridMultilevel"/>
    <w:tmpl w:val="C63809C4"/>
    <w:lvl w:ilvl="0" w:tplc="A6743C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935BD3"/>
    <w:multiLevelType w:val="hybridMultilevel"/>
    <w:tmpl w:val="B7FE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27C74"/>
    <w:multiLevelType w:val="hybridMultilevel"/>
    <w:tmpl w:val="AACA9230"/>
    <w:lvl w:ilvl="0" w:tplc="362EF5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525FEC"/>
    <w:multiLevelType w:val="hybridMultilevel"/>
    <w:tmpl w:val="3B686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96062"/>
    <w:multiLevelType w:val="hybridMultilevel"/>
    <w:tmpl w:val="84308DDC"/>
    <w:lvl w:ilvl="0" w:tplc="313AD4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3B6DB0"/>
    <w:multiLevelType w:val="hybridMultilevel"/>
    <w:tmpl w:val="8648F8EA"/>
    <w:lvl w:ilvl="0" w:tplc="E8CC8F1C">
      <w:start w:val="1"/>
      <w:numFmt w:val="decimal"/>
      <w:lvlText w:val="%1)"/>
      <w:lvlJc w:val="left"/>
      <w:pPr>
        <w:ind w:left="644" w:hanging="360"/>
      </w:pPr>
      <w:rPr>
        <w:rFonts w:hint="default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CE3644"/>
    <w:multiLevelType w:val="hybridMultilevel"/>
    <w:tmpl w:val="EC9C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F0939"/>
    <w:multiLevelType w:val="hybridMultilevel"/>
    <w:tmpl w:val="BB6EE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D76CD"/>
    <w:multiLevelType w:val="hybridMultilevel"/>
    <w:tmpl w:val="664C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B5247"/>
    <w:multiLevelType w:val="hybridMultilevel"/>
    <w:tmpl w:val="BE80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6"/>
  </w:num>
  <w:num w:numId="5">
    <w:abstractNumId w:val="18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17"/>
  </w:num>
  <w:num w:numId="16">
    <w:abstractNumId w:val="2"/>
  </w:num>
  <w:num w:numId="17">
    <w:abstractNumId w:val="1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29"/>
    <w:rsid w:val="00014C29"/>
    <w:rsid w:val="00C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C94F9-1A94-4A73-B62A-67BED21C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C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14C29"/>
    <w:pPr>
      <w:jc w:val="both"/>
    </w:pPr>
    <w:rPr>
      <w:b/>
      <w:bCs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014C29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4C29"/>
    <w:pPr>
      <w:ind w:left="708"/>
    </w:pPr>
  </w:style>
  <w:style w:type="character" w:customStyle="1" w:styleId="AkapitzlistZnak">
    <w:name w:val="Akapit z listą Znak"/>
    <w:link w:val="Akapitzlist"/>
    <w:uiPriority w:val="34"/>
    <w:rsid w:val="00014C2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1683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Szarek Piotr</dc:creator>
  <cp:keywords/>
  <dc:description/>
  <cp:lastModifiedBy>Szarek Piotr</cp:lastModifiedBy>
  <cp:revision>1</cp:revision>
  <dcterms:created xsi:type="dcterms:W3CDTF">2019-01-11T09:20:00Z</dcterms:created>
  <dcterms:modified xsi:type="dcterms:W3CDTF">2019-01-11T09:23:00Z</dcterms:modified>
</cp:coreProperties>
</file>