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Pr="002759FF" w:rsidRDefault="00BD2BA1" w:rsidP="002759FF">
      <w:pPr>
        <w:pStyle w:val="NormalnyWeb"/>
        <w:spacing w:before="0" w:beforeAutospacing="0" w:after="0"/>
      </w:pPr>
      <w:r w:rsidRPr="002759FF"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95350805" r:id="rId9"/>
        </w:object>
      </w:r>
    </w:p>
    <w:p w14:paraId="518ABE2C" w14:textId="577AC167" w:rsidR="002759FF" w:rsidRPr="00F37717" w:rsidRDefault="00E263A9" w:rsidP="002759FF">
      <w:pPr>
        <w:rPr>
          <w:sz w:val="28"/>
        </w:rPr>
      </w:pPr>
      <w:r w:rsidRPr="00F37717">
        <w:rPr>
          <w:sz w:val="28"/>
        </w:rPr>
        <w:t xml:space="preserve">Warszawa, </w:t>
      </w:r>
      <w:r w:rsidR="005B357F">
        <w:rPr>
          <w:sz w:val="28"/>
        </w:rPr>
        <w:t>6 grudnia 2024 r.</w:t>
      </w:r>
    </w:p>
    <w:p w14:paraId="52AE7427" w14:textId="291C7D9D" w:rsidR="002759FF" w:rsidRPr="00F37717" w:rsidRDefault="00FF22F2" w:rsidP="002759FF">
      <w:pPr>
        <w:rPr>
          <w:sz w:val="28"/>
        </w:rPr>
      </w:pPr>
      <w:r w:rsidRPr="00F37717">
        <w:rPr>
          <w:sz w:val="28"/>
        </w:rPr>
        <w:t>DOOŚ-</w:t>
      </w:r>
      <w:r w:rsidR="005B357F">
        <w:rPr>
          <w:sz w:val="28"/>
        </w:rPr>
        <w:t>WDŚ/ZOO.4233.2.2018.AS.EW.KN.MRO.80</w:t>
      </w:r>
    </w:p>
    <w:p w14:paraId="6338DAE8" w14:textId="1D2FAA36" w:rsidR="00E263A9" w:rsidRPr="00E263A9" w:rsidRDefault="00E263A9" w:rsidP="00E263A9">
      <w:pPr>
        <w:spacing w:after="240" w:line="312" w:lineRule="auto"/>
        <w:rPr>
          <w:color w:val="000000"/>
          <w:sz w:val="28"/>
          <w:szCs w:val="28"/>
        </w:rPr>
      </w:pPr>
    </w:p>
    <w:p w14:paraId="4C08984F" w14:textId="77777777" w:rsidR="005B357F" w:rsidRDefault="005B357F" w:rsidP="005B357F">
      <w:pPr>
        <w:jc w:val="both"/>
      </w:pPr>
    </w:p>
    <w:p w14:paraId="00C7E94B" w14:textId="77777777" w:rsidR="005B357F" w:rsidRPr="005B357F" w:rsidRDefault="005B357F" w:rsidP="005B357F">
      <w:pPr>
        <w:spacing w:line="312" w:lineRule="auto"/>
        <w:rPr>
          <w:sz w:val="28"/>
          <w:szCs w:val="28"/>
        </w:rPr>
      </w:pPr>
      <w:r w:rsidRPr="005B357F">
        <w:rPr>
          <w:sz w:val="28"/>
          <w:szCs w:val="28"/>
        </w:rPr>
        <w:t>DECYZJA</w:t>
      </w:r>
      <w:bookmarkStart w:id="0" w:name="_GoBack"/>
      <w:bookmarkEnd w:id="0"/>
    </w:p>
    <w:p w14:paraId="104D8684" w14:textId="77777777" w:rsidR="005B357F" w:rsidRPr="005B357F" w:rsidRDefault="005B357F" w:rsidP="005B357F">
      <w:pPr>
        <w:pStyle w:val="Tekstpodstawowy"/>
        <w:spacing w:line="312" w:lineRule="auto"/>
        <w:rPr>
          <w:sz w:val="28"/>
          <w:szCs w:val="28"/>
        </w:rPr>
      </w:pPr>
      <w:bookmarkStart w:id="1" w:name="_Hlk129945569"/>
      <w:r w:rsidRPr="005B357F">
        <w:rPr>
          <w:color w:val="000000"/>
          <w:sz w:val="28"/>
          <w:szCs w:val="28"/>
        </w:rPr>
        <w:t xml:space="preserve">Generalny Dyrektor Ochrony Środowiska, </w:t>
      </w:r>
      <w:bookmarkEnd w:id="1"/>
      <w:r w:rsidRPr="005B357F">
        <w:rPr>
          <w:bCs/>
          <w:sz w:val="28"/>
          <w:szCs w:val="28"/>
        </w:rPr>
        <w:t xml:space="preserve">w związku z </w:t>
      </w:r>
      <w:r w:rsidRPr="005B357F">
        <w:rPr>
          <w:sz w:val="28"/>
          <w:szCs w:val="28"/>
        </w:rPr>
        <w:t xml:space="preserve">wnioskiem Państwowego Gospodarstwa Wodnego Wody Polskie, dalej PGW Wody Polskie, z 17 września 2024 r., znak: R.RPI.542.5.6.2024, dotyczącym wycofania wniosku o wydanie decyzji o środowiskowych uwarunkowaniach dla przedsięwzięcia pn.: „Zabezpieczenie przed powodzią obszarów położonych w km rzeki Wisłoki 113+350 – 119+000 na terenie miasta Jasło, gm. Jasło oraz gm. Dębowiec, woj. Podkarpackie”, </w:t>
      </w:r>
      <w:r w:rsidRPr="005B357F">
        <w:rPr>
          <w:color w:val="000000"/>
          <w:sz w:val="28"/>
          <w:szCs w:val="28"/>
        </w:rPr>
        <w:t xml:space="preserve">na </w:t>
      </w:r>
      <w:r w:rsidRPr="005B357F">
        <w:rPr>
          <w:sz w:val="28"/>
          <w:szCs w:val="28"/>
        </w:rPr>
        <w:t>podstawie art. 138 § 1 pkt 2 w zw. z art. 105 § 1 ustawy z dnia 14 czerwca 1960 r. – Kodeks postępowania administracyjnego (</w:t>
      </w:r>
      <w:r w:rsidRPr="005B357F">
        <w:rPr>
          <w:color w:val="000000"/>
          <w:sz w:val="28"/>
          <w:szCs w:val="28"/>
        </w:rPr>
        <w:t>Dz. U. z 2024 r. poz. 572)</w:t>
      </w:r>
      <w:r w:rsidRPr="005B357F">
        <w:rPr>
          <w:sz w:val="28"/>
          <w:szCs w:val="28"/>
        </w:rPr>
        <w:t>, dalej k.p.a.,</w:t>
      </w:r>
    </w:p>
    <w:p w14:paraId="092E2623" w14:textId="77777777" w:rsidR="005B357F" w:rsidRPr="005B357F" w:rsidRDefault="005B357F" w:rsidP="005B357F">
      <w:pPr>
        <w:spacing w:before="120" w:line="312" w:lineRule="auto"/>
        <w:rPr>
          <w:sz w:val="28"/>
          <w:szCs w:val="28"/>
        </w:rPr>
      </w:pPr>
      <w:r w:rsidRPr="005B357F">
        <w:rPr>
          <w:sz w:val="28"/>
          <w:szCs w:val="28"/>
        </w:rPr>
        <w:t xml:space="preserve">uchyla decyzję Regionalnego Dyrektora Ochrony Środowiska w Rzeszowie </w:t>
      </w:r>
    </w:p>
    <w:p w14:paraId="4A79C3D3" w14:textId="77777777" w:rsidR="005B357F" w:rsidRPr="005B357F" w:rsidRDefault="005B357F" w:rsidP="005B357F">
      <w:pPr>
        <w:spacing w:line="312" w:lineRule="auto"/>
        <w:rPr>
          <w:sz w:val="28"/>
          <w:szCs w:val="28"/>
        </w:rPr>
      </w:pPr>
      <w:r w:rsidRPr="005B357F">
        <w:rPr>
          <w:sz w:val="28"/>
          <w:szCs w:val="28"/>
        </w:rPr>
        <w:t xml:space="preserve">z 7 grudnia 2017 r., znak: WOOŚ.4233.26.2013.MG.183, w całości </w:t>
      </w:r>
    </w:p>
    <w:p w14:paraId="3C5A5333" w14:textId="68339D97" w:rsidR="005B357F" w:rsidRDefault="005B357F" w:rsidP="005B357F">
      <w:pPr>
        <w:spacing w:line="312" w:lineRule="auto"/>
        <w:rPr>
          <w:sz w:val="28"/>
          <w:szCs w:val="28"/>
        </w:rPr>
      </w:pPr>
      <w:r w:rsidRPr="005B357F">
        <w:rPr>
          <w:sz w:val="28"/>
          <w:szCs w:val="28"/>
        </w:rPr>
        <w:t xml:space="preserve">i umarza postępowanie pierwszej instancji w całości. </w:t>
      </w:r>
    </w:p>
    <w:p w14:paraId="1F318A24" w14:textId="77777777" w:rsidR="005B357F" w:rsidRPr="005B357F" w:rsidRDefault="005B357F" w:rsidP="005B357F">
      <w:pPr>
        <w:rPr>
          <w:sz w:val="28"/>
          <w:szCs w:val="28"/>
        </w:rPr>
      </w:pPr>
    </w:p>
    <w:p w14:paraId="1E6CBDC6" w14:textId="77777777" w:rsidR="00E263A9" w:rsidRPr="00E263A9" w:rsidRDefault="00E263A9" w:rsidP="00E263A9">
      <w:pPr>
        <w:keepNext/>
        <w:spacing w:after="120" w:line="312" w:lineRule="auto"/>
        <w:rPr>
          <w:color w:val="000000"/>
          <w:sz w:val="28"/>
          <w:szCs w:val="28"/>
        </w:rPr>
      </w:pPr>
      <w:r w:rsidRPr="00E263A9">
        <w:rPr>
          <w:color w:val="000000"/>
          <w:sz w:val="28"/>
          <w:szCs w:val="28"/>
        </w:rPr>
        <w:t>Uzasadnienie</w:t>
      </w:r>
    </w:p>
    <w:p w14:paraId="630A4E72" w14:textId="77777777" w:rsidR="005B357F" w:rsidRPr="005B357F" w:rsidRDefault="005B357F" w:rsidP="005B357F">
      <w:pPr>
        <w:spacing w:line="312" w:lineRule="auto"/>
        <w:rPr>
          <w:sz w:val="28"/>
        </w:rPr>
      </w:pPr>
      <w:bookmarkStart w:id="2" w:name="_Hlk118803213"/>
      <w:r w:rsidRPr="005B357F">
        <w:rPr>
          <w:sz w:val="28"/>
        </w:rPr>
        <w:t>Wnioskiem z 7 czerwca 2013 r. Marszałek Województwa Podkarpackiego, reprezentowany przez Dyrektora Podkarpackiego Zarządu Melioracji i Urządzeń Wodnych w Rzeszowie, zwrócił się do Regionalnego Dyrektora Ochrony Środowiska w Rzeszowie o wydanie decyzji o środowiskowych uwarunkowań dla przedmiotowego przedsięwzięcia.</w:t>
      </w:r>
    </w:p>
    <w:p w14:paraId="1D706374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t>Postanowieniem z 16 lipca 2013 r., znak: WOOŚ.4233.26.2013.MG-11, RDOŚ w Rzeszowie stwierdził obowiązek przeprowadzenia oceny oddziaływania na środowisko oraz określił zakres raportu dla planowanego przedsięwzięcia.</w:t>
      </w:r>
    </w:p>
    <w:p w14:paraId="7BA40C2A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t>Decyzją z 7 grudnia 2017 r.,</w:t>
      </w:r>
      <w:r w:rsidRPr="005B357F">
        <w:rPr>
          <w:b/>
          <w:sz w:val="28"/>
        </w:rPr>
        <w:t xml:space="preserve"> </w:t>
      </w:r>
      <w:r w:rsidRPr="005B357F">
        <w:rPr>
          <w:sz w:val="28"/>
        </w:rPr>
        <w:t>znak: WOOŚ.4233.26.2013.MG.183, RDOŚ w Rzeszowie określił środowiskowe uwarunkowania dla przedmiotowej inwestycji.</w:t>
      </w:r>
    </w:p>
    <w:p w14:paraId="5F739BD8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lastRenderedPageBreak/>
        <w:t>Od ww. decyzji RDOŚ w Rzeszowie odwołanie złożyła Fundacja Greenmind - pismem z 8 stycznia 2018 r. oraz Klub Przyrodników - pismem z 8 stycznia 2018 r.</w:t>
      </w:r>
    </w:p>
    <w:p w14:paraId="712E9F95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bCs/>
          <w:iCs/>
          <w:sz w:val="28"/>
        </w:rPr>
        <w:t>W trakcie postępowania odwoławczego, GDOŚ korzystając z uprawnień wynikających z treści art. 136 k.p.a. i mając na uwadze obowiązki wynikające z art. 7, art. 77 § 1 oraz art. 80 k.p.a., czterokrotne wezwał PGW Wody Polskie do uzupełnienia raportu:</w:t>
      </w:r>
    </w:p>
    <w:p w14:paraId="24AD0979" w14:textId="77777777" w:rsidR="005B357F" w:rsidRPr="005B357F" w:rsidRDefault="005B357F" w:rsidP="005B357F">
      <w:pPr>
        <w:pStyle w:val="Akapitzlist"/>
        <w:numPr>
          <w:ilvl w:val="0"/>
          <w:numId w:val="26"/>
        </w:numPr>
        <w:spacing w:line="312" w:lineRule="auto"/>
        <w:rPr>
          <w:sz w:val="28"/>
        </w:rPr>
      </w:pPr>
      <w:r w:rsidRPr="005B357F">
        <w:rPr>
          <w:sz w:val="28"/>
        </w:rPr>
        <w:t>wezwanie GDOŚ z 12 marca 2019 r., znak: DOOŚ-DWŚ/ZOO.4233.2.2018.AS/EW.6;</w:t>
      </w:r>
    </w:p>
    <w:p w14:paraId="1D5121A1" w14:textId="77777777" w:rsidR="005B357F" w:rsidRPr="005B357F" w:rsidRDefault="005B357F" w:rsidP="005B357F">
      <w:pPr>
        <w:pStyle w:val="Akapitzlist"/>
        <w:numPr>
          <w:ilvl w:val="0"/>
          <w:numId w:val="26"/>
        </w:numPr>
        <w:spacing w:line="312" w:lineRule="auto"/>
        <w:rPr>
          <w:sz w:val="28"/>
        </w:rPr>
      </w:pPr>
      <w:r w:rsidRPr="005B357F">
        <w:rPr>
          <w:sz w:val="28"/>
        </w:rPr>
        <w:t>wezwanie GDOŚ z 23 listopada 2021 r., znak: DOOŚ-WDŚ/ZOO.4233.2.2018.AS/EW/KN.39;</w:t>
      </w:r>
    </w:p>
    <w:p w14:paraId="4C83D995" w14:textId="77777777" w:rsidR="005B357F" w:rsidRPr="005B357F" w:rsidRDefault="005B357F" w:rsidP="005B357F">
      <w:pPr>
        <w:pStyle w:val="Akapitzlist"/>
        <w:numPr>
          <w:ilvl w:val="0"/>
          <w:numId w:val="26"/>
        </w:numPr>
        <w:spacing w:line="312" w:lineRule="auto"/>
        <w:rPr>
          <w:sz w:val="28"/>
        </w:rPr>
      </w:pPr>
      <w:r w:rsidRPr="005B357F">
        <w:rPr>
          <w:sz w:val="28"/>
        </w:rPr>
        <w:t>wezwanie GDOŚ z 20 marca 2023 r., znak: DOOŚ-WDŚ/ZOO.4233.2.2018.AS.EW.KN.MRO.55;</w:t>
      </w:r>
    </w:p>
    <w:p w14:paraId="793EF687" w14:textId="77777777" w:rsidR="005B357F" w:rsidRPr="005B357F" w:rsidRDefault="005B357F" w:rsidP="005B357F">
      <w:pPr>
        <w:pStyle w:val="Akapitzlist"/>
        <w:numPr>
          <w:ilvl w:val="0"/>
          <w:numId w:val="26"/>
        </w:numPr>
        <w:spacing w:line="312" w:lineRule="auto"/>
        <w:rPr>
          <w:sz w:val="28"/>
        </w:rPr>
      </w:pPr>
      <w:r w:rsidRPr="005B357F">
        <w:rPr>
          <w:sz w:val="28"/>
        </w:rPr>
        <w:t>wezwanie GDOŚ z 23 stycznia 2024 r., znak: DOOŚ-WDŚ/ZOO.4233.2.2018.AS.EW.KN.MRO.65.</w:t>
      </w:r>
    </w:p>
    <w:p w14:paraId="7F848B3B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t>W toku postępowania drugoinstancyjnego do GDOŚ wpłynął wniosek Regionalnego Zarządu Gospodarki Wodnej w Rzeszowie, dalej RZGW w Rzeszowie, z 17 września 2024 r., stanowiący prośbę „o umorzenie postępowania odwoławczego”.</w:t>
      </w:r>
    </w:p>
    <w:p w14:paraId="1ADE4FBF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t>Pismem z 10 października 2024 r., znak: R.RPI.542.5.6.2024.2, RZGW w Rzeszowie sprostowało pismo z 17 września 2024 r., dodając, że „zwracają się z prośbą o wycofanie wniosku w związku z toczącym się postępowaniem odwoławczym”.</w:t>
      </w:r>
    </w:p>
    <w:p w14:paraId="5DA608DC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t xml:space="preserve">Z uwagi na niejasność żądania, GDOŚ pismem z 21 października </w:t>
      </w:r>
      <w:r w:rsidRPr="005B357F">
        <w:rPr>
          <w:sz w:val="28"/>
        </w:rPr>
        <w:br/>
        <w:t>2024 r., znak: DOOŚ-WDŚ/ZOO.4233.2.2018.AS.EW.KN.MRO.76, wezwał RZGW w Rzeszowie o doprecyzowanie żądania zawartego w ww. podaniach i jednoznacznego wskazania, czy należy je traktować jako wycofanie wniosku o wydanie decyzji o środowiskowych uwarunkowaniach dla przedmiotowego przedsięwzięcia, mającego skutkować umorzeniem tego postępowania w trybie art. 105 § 1 k.p.a.</w:t>
      </w:r>
    </w:p>
    <w:p w14:paraId="45AEBBC9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t>Pismem z 7 listopada 2024 r., znak: R.RPI.542.5.6.2024.3, RZGW w Rzeszowie doprecyzowało żądanie zawarte w ww. podaniach, wskazując że pisma należy traktować jako wycofanie wniosku o wydanie decyzji o środowiskowych uwarunkowaniach dla przedmiotowego przedsięwzięcia.</w:t>
      </w:r>
    </w:p>
    <w:p w14:paraId="5B66DC05" w14:textId="77777777" w:rsidR="005B357F" w:rsidRPr="005B357F" w:rsidRDefault="005B357F" w:rsidP="005B357F">
      <w:pPr>
        <w:keepNext/>
        <w:spacing w:before="120" w:after="120"/>
        <w:rPr>
          <w:bCs/>
          <w:sz w:val="28"/>
        </w:rPr>
      </w:pPr>
      <w:bookmarkStart w:id="3" w:name="_Hlk126135712"/>
      <w:r w:rsidRPr="005B357F">
        <w:rPr>
          <w:bCs/>
          <w:sz w:val="28"/>
        </w:rPr>
        <w:lastRenderedPageBreak/>
        <w:t>GDOŚ ustalił i zważył, co następuje.</w:t>
      </w:r>
    </w:p>
    <w:bookmarkEnd w:id="2"/>
    <w:bookmarkEnd w:id="3"/>
    <w:p w14:paraId="14138908" w14:textId="77777777" w:rsidR="005B357F" w:rsidRPr="005B357F" w:rsidRDefault="005B357F" w:rsidP="005B357F">
      <w:pPr>
        <w:pStyle w:val="Teksttreci0"/>
        <w:shd w:val="clear" w:color="auto" w:fill="auto"/>
        <w:spacing w:line="312" w:lineRule="auto"/>
        <w:ind w:firstLine="0"/>
        <w:rPr>
          <w:rStyle w:val="info-list-value-uzasadnienie"/>
          <w:rFonts w:ascii="Times New Roman" w:hAnsi="Times New Roman" w:cs="Times New Roman"/>
          <w:sz w:val="28"/>
          <w:szCs w:val="24"/>
        </w:rPr>
      </w:pPr>
      <w:r w:rsidRPr="005B35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Na wstępie wyjaśnienia wymaga kwestia przejęcia przez PGW Wody Polskie zadań marszałków województw związanych m.in. z inwestycjami w gospodarce wodnej. </w:t>
      </w:r>
      <w:r w:rsidRPr="005B357F">
        <w:rPr>
          <w:rStyle w:val="info-list-value-uzasadnienie"/>
          <w:rFonts w:ascii="Times New Roman" w:hAnsi="Times New Roman" w:cs="Times New Roman"/>
          <w:sz w:val="28"/>
          <w:szCs w:val="24"/>
        </w:rPr>
        <w:t>Na podstawie art. 573 ustawy</w:t>
      </w:r>
      <w:r w:rsidRPr="005B35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z dnia 20 lipca 2017 r. – Prawo wodne (Dz. U. z 2024 r. poz. 1087, ze zm.)</w:t>
      </w:r>
      <w:r w:rsidRPr="005B357F">
        <w:rPr>
          <w:rStyle w:val="info-list-value-uzasadnienie"/>
          <w:rFonts w:ascii="Times New Roman" w:hAnsi="Times New Roman" w:cs="Times New Roman"/>
          <w:sz w:val="28"/>
          <w:szCs w:val="24"/>
        </w:rPr>
        <w:t xml:space="preserve">, dalej u.p.w., która weszła w życie z dniem 1 stycznia 2018 roku, utraciła moc dawna ustawa z dnia 18 lipca 2001 r. Prawo wodne (Dz. U. z 2017 r. poz. 1121)  i z tym dniem na podstawie art. 525 ust. 2 u.p.w. zostało utworzone Państwowe Gospodarstwo Wodne Wody Polskie. Zgodnie z art. 526 u.p.w. podmiot ten  reprezentuje Skarb Państwa oraz wykonuje uprawnienia właścicielskie Skarbu Państwa m.in. w stosunku do wód stanowiących własność Skarbu Państwa, co do których stosowne obowiązki i prawa właścicielskie uprzednio w imieniu Skarbu Państwa wykonywał marszałek województwa. Stanowisko takie znajduje także potwierdzenie w orzecznictwie sądowoadministracyjnym (patrz wyrok </w:t>
      </w:r>
      <w:r w:rsidRPr="005B35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Wojewódzkiego Sądu Administracyjnego w Warszawie z 6 lipca 2021 r., sygn. akt: I SA/Wa 2807/20). Mając na uwadze powyższe dysponentem wniosku z 7 czerwca 2013 r. o wydanie decyzji o środowiskowych uwarunkowaniach </w:t>
      </w:r>
      <w:r w:rsidRPr="005B357F">
        <w:rPr>
          <w:rFonts w:ascii="Times New Roman" w:hAnsi="Times New Roman" w:cs="Times New Roman"/>
          <w:sz w:val="28"/>
          <w:szCs w:val="24"/>
        </w:rPr>
        <w:t xml:space="preserve">dla przedsięwzięcia pn.: „Zabezpieczenie przed powodzią obszarów położonych w km rzeki Wisłoki 113+350 – 119+000 na terenie miasta Jasło, gm. Jasło oraz gm. Dębowiec, woj. Podkarpackie”, stało się </w:t>
      </w:r>
      <w:r w:rsidRPr="005B357F">
        <w:rPr>
          <w:rFonts w:ascii="Times New Roman" w:hAnsi="Times New Roman"/>
          <w:sz w:val="28"/>
          <w:szCs w:val="24"/>
        </w:rPr>
        <w:t>PGW Wody Polskie. Pismem z 12 lipca 2022 r., znak: KRO.0120.7.3.2022.ASF, Prezes PGW Wody Polskie udzielił pełnomocnictwa Pani Annie Sowie – Dyrektor Regionalnego Zarządu Gospodarki Wodnej w Rzeszowie do reprezentowania PGW Wody Polskie w przedmiotowym postępowaniu.</w:t>
      </w:r>
    </w:p>
    <w:p w14:paraId="4C7CA9E2" w14:textId="77777777" w:rsidR="005B357F" w:rsidRPr="005B357F" w:rsidRDefault="005B357F" w:rsidP="005B357F">
      <w:pPr>
        <w:pStyle w:val="Teksttreci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5B357F">
        <w:rPr>
          <w:rFonts w:ascii="Times New Roman" w:hAnsi="Times New Roman" w:cs="Times New Roman"/>
          <w:sz w:val="28"/>
          <w:szCs w:val="24"/>
        </w:rPr>
        <w:t xml:space="preserve">W myśl art. 73 ust. 1 </w:t>
      </w:r>
      <w:r w:rsidRPr="005B357F">
        <w:rPr>
          <w:rFonts w:ascii="Times New Roman" w:hAnsi="Times New Roman" w:cs="Times New Roman"/>
          <w:bCs/>
          <w:sz w:val="28"/>
          <w:szCs w:val="20"/>
        </w:rPr>
        <w:t>ustawy z dnia 3 października 2008 r. o udostępnianiu informacji o środowisku i jego ochronie, udziale społeczeństwa w ochronie środowiska oraz o ocenach oddziaływania na środowisko (Dz. U. z 2024 r. poz. 1112)</w:t>
      </w:r>
      <w:r w:rsidRPr="005B357F">
        <w:rPr>
          <w:rFonts w:ascii="Times New Roman" w:hAnsi="Times New Roman" w:cs="Times New Roman"/>
          <w:sz w:val="28"/>
          <w:szCs w:val="20"/>
        </w:rPr>
        <w:t>, dalej u.o.o.ś.,</w:t>
      </w:r>
      <w:r w:rsidRPr="005B357F">
        <w:rPr>
          <w:rFonts w:ascii="Times New Roman" w:hAnsi="Times New Roman" w:cs="Times New Roman"/>
          <w:sz w:val="28"/>
          <w:szCs w:val="24"/>
        </w:rPr>
        <w:t xml:space="preserve"> postępowanie w sprawie wydania decyzji o środowiskowych uwarunkowaniach wszczyna się na wniosek podmiotu planującego podjęcie realizacji przedsięwzięcia. Opisana powyżej wykładania przepisu art. 73 ust. 1 u.o.o.ś. poparta jest orzeczeniami sądowoadministracyjnymi m.in. wyrokiem Naczelnego Sądu Administracyjnego z 15 stycznia 2020 r., o sygn. akt: II OSK 2356/17: </w:t>
      </w:r>
      <w:r w:rsidRPr="005B357F">
        <w:rPr>
          <w:rFonts w:ascii="Times New Roman" w:hAnsi="Times New Roman" w:cs="Times New Roman"/>
          <w:i/>
          <w:sz w:val="28"/>
          <w:szCs w:val="24"/>
        </w:rPr>
        <w:t xml:space="preserve">„wskazać należy, że zgodnie z art. 73 ust. 1 u.u.i.ś., postępowanie w sprawie wydania decyzji o </w:t>
      </w:r>
      <w:r w:rsidRPr="005B357F">
        <w:rPr>
          <w:rFonts w:ascii="Times New Roman" w:hAnsi="Times New Roman" w:cs="Times New Roman"/>
          <w:i/>
          <w:sz w:val="28"/>
          <w:szCs w:val="24"/>
        </w:rPr>
        <w:lastRenderedPageBreak/>
        <w:t>środowiskowych uwarunkowaniach wszczyna się na wniosek podmiotu planującego podjęcie realizacji przedsięwzięcia. Podkreślenia wobec tego wymaga, że zakres inwestycji określa inwestor we wniosku. Organ jest związany zakresem wniosku i nie jest uprawniony do jego modyfikacji”</w:t>
      </w:r>
      <w:r w:rsidRPr="005B357F">
        <w:rPr>
          <w:rFonts w:ascii="Times New Roman" w:hAnsi="Times New Roman" w:cs="Times New Roman"/>
          <w:sz w:val="28"/>
          <w:szCs w:val="24"/>
        </w:rPr>
        <w:t xml:space="preserve">. </w:t>
      </w:r>
      <w:r w:rsidRPr="005B35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Z racji wpłynięcia do GDOŚ podania dotyczącego wycofania wniosku o wydanie decyzji o środowiskowych uwarunkowaniach dla planowanej inwestycji, został utracony podmiotowy aspekt postępowania. W związku z powyższym, organ drugiej instancji zobligowany był do zastosowania </w:t>
      </w:r>
      <w:r w:rsidRPr="005B357F">
        <w:rPr>
          <w:rFonts w:ascii="Times New Roman" w:hAnsi="Times New Roman" w:cs="Times New Roman"/>
          <w:sz w:val="28"/>
          <w:szCs w:val="24"/>
        </w:rPr>
        <w:t>art. 105 § 1 k.p.a. zgodnie z którym, umorzenie postępowania administracyjnego następuje w sytuacji, gdy postępowanie z jakiejkolwiek przyczyny stało się bezprzedmiotowe w całości albo w części, wówczas organ administracji publicznej wydaje decyzję o umorzeniu postępowania odpowiednio w całości albo w części.</w:t>
      </w:r>
    </w:p>
    <w:p w14:paraId="658E22DC" w14:textId="77777777" w:rsidR="005B357F" w:rsidRPr="005B357F" w:rsidRDefault="005B357F" w:rsidP="005B357F">
      <w:pPr>
        <w:spacing w:line="312" w:lineRule="auto"/>
        <w:ind w:right="-2"/>
        <w:rPr>
          <w:sz w:val="28"/>
        </w:rPr>
      </w:pPr>
      <w:r w:rsidRPr="005B357F">
        <w:rPr>
          <w:sz w:val="28"/>
        </w:rPr>
        <w:t xml:space="preserve">Jak wynika z orzecznictwa sądów administracyjnych, w sytuacji, w której inwestor na którego wniosek zostało wszczęte postępowanie w sprawie wydania decyzji o środowiskowych uwarunkowaniach wycofa swoje żądanie uzyskania tejże decyzji, postępowanie staje się bezprzedmiotowe i organ prowadzący je, zobligowany jest do umorzenia w całości prowadzonego postępowania. Stanowisko takie zawarte jest m.in. w wyroku Naczelnego Sądu Administracyjnego z 14 września 2011 r., sygn. akt: II OSK 1339/10:  </w:t>
      </w:r>
      <w:r w:rsidRPr="005B357F">
        <w:rPr>
          <w:i/>
          <w:sz w:val="28"/>
        </w:rPr>
        <w:t>„skoro zatem w niniejszej sprawie inwestor wycofał wniosek o wydanie decyzji o środowiskowych uwarunkowaniach, przy czym był on jedynym wnioskodawcą w sprawie, a postępowanie w tym przedmiocie może zostać wszczęte i prowadzone wyłącznie na wniosek podmiotu zainteresowanego realizacją przedsięwzięcia, to nastąpiła obiektywna przeszkoda w dalszym prowadzeniu przedmiotowego postępowania, polegająca na braku wniosku uprawnionego podmiotu. Wycofanie więc przez stronę wniosku o wydanie decyzji i wszczęcie postępowania, a tym samym cofnięcie zgody na jego prowadzenie skutkuje jego bezprzedmiotowością, to zaś wymaga umorzenia postępowania na podstawie art. 105 § 1 k.p.a.</w:t>
      </w:r>
      <w:r w:rsidRPr="005B357F">
        <w:rPr>
          <w:sz w:val="28"/>
        </w:rPr>
        <w:t>”.</w:t>
      </w:r>
    </w:p>
    <w:p w14:paraId="18DC3102" w14:textId="77777777" w:rsidR="005B357F" w:rsidRPr="005B357F" w:rsidRDefault="005B357F" w:rsidP="005B357F">
      <w:pPr>
        <w:pStyle w:val="Teksttreci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5B357F">
        <w:rPr>
          <w:rFonts w:ascii="Times New Roman" w:hAnsi="Times New Roman" w:cs="Times New Roman"/>
          <w:sz w:val="28"/>
          <w:szCs w:val="24"/>
        </w:rPr>
        <w:t xml:space="preserve">Zgodnie z art. 138 § 1 pkt 2 k.p.a. organ odwoławczy uchyla zaskarżoną decyzję w całości albo w części i w tym zakresie orzeka co do istoty sprawy albo uchylając tę decyzję – umarza postępowanie pierwszej instancji w całości albo w części. Przepis ten nie określa przesłanek stanowiących podstawę do uchylenia zaskarżonej decyzji i umorzenia postępowania pierwszej instancji, </w:t>
      </w:r>
      <w:r w:rsidRPr="005B357F">
        <w:rPr>
          <w:rFonts w:ascii="Times New Roman" w:hAnsi="Times New Roman" w:cs="Times New Roman"/>
          <w:sz w:val="28"/>
          <w:szCs w:val="24"/>
        </w:rPr>
        <w:lastRenderedPageBreak/>
        <w:t>dlatego też przesłanek tych należy poszukiwać w treści art. 105 § 1 k.p.a. (por. wyrok NSA z 19 stycznia 2010 r., sygn. akt: II GSK 301/09). Z uwagi na fakt, że RZGW w Rzeszowie, jako pełnomocnik dysponenta wniosku z 7 czerwca 2013 r., o wydanie decyzji o środowiskowych uwarunkowaniach dla przedmiotowej inwestycji wniosło do GDOŚ podanie w przedmiocie jego wycofania, organ drugiej instancji zobligowany jest do uchylenia zaskarżonej decyzji w całości i umorzenia postępowania pierwszej instancji w całości zgodnie z dyspozycją zawartą w art. 138 § 1 pkt 2 w zw. z art. 105 § 1 k.p.a.</w:t>
      </w:r>
    </w:p>
    <w:p w14:paraId="5250E075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t>Wobec powyższego GDOŚ orzekł, jak w sentencji.</w:t>
      </w:r>
    </w:p>
    <w:p w14:paraId="635B53D5" w14:textId="19428577" w:rsidR="00E263A9" w:rsidRPr="00BB4CC5" w:rsidRDefault="00E263A9" w:rsidP="00E263A9">
      <w:pPr>
        <w:spacing w:after="120" w:line="312" w:lineRule="auto"/>
        <w:rPr>
          <w:color w:val="000000"/>
          <w:sz w:val="28"/>
          <w:szCs w:val="28"/>
        </w:rPr>
      </w:pPr>
      <w:r w:rsidRPr="00E263A9">
        <w:rPr>
          <w:color w:val="000000"/>
          <w:sz w:val="28"/>
          <w:szCs w:val="28"/>
        </w:rPr>
        <w:t>Pouczenie</w:t>
      </w:r>
    </w:p>
    <w:p w14:paraId="5A3AB81A" w14:textId="77777777" w:rsidR="005B357F" w:rsidRPr="005B357F" w:rsidRDefault="005B357F" w:rsidP="005B357F">
      <w:pPr>
        <w:spacing w:line="312" w:lineRule="auto"/>
        <w:rPr>
          <w:sz w:val="28"/>
        </w:rPr>
      </w:pPr>
      <w:r w:rsidRPr="005B357F">
        <w:rPr>
          <w:sz w:val="28"/>
        </w:rPr>
        <w:t xml:space="preserve">Niniejsza decyzja jest ostateczna w administracyjnym toku instancji. Na decyzję, zgodnie z art. 50 § 1 w związku z art. 3 § 2 pkt 1 ustawy z dnia 30 sierpnia 2002 r. – </w:t>
      </w:r>
      <w:r w:rsidRPr="005B357F">
        <w:rPr>
          <w:iCs/>
          <w:sz w:val="28"/>
        </w:rPr>
        <w:t>Prawo o postępowaniu przed sądami administracyjnymi</w:t>
      </w:r>
      <w:r w:rsidRPr="005B357F">
        <w:rPr>
          <w:i/>
          <w:sz w:val="28"/>
        </w:rPr>
        <w:t xml:space="preserve"> </w:t>
      </w:r>
      <w:r w:rsidRPr="005B357F">
        <w:rPr>
          <w:sz w:val="28"/>
        </w:rPr>
        <w:t xml:space="preserve">(Dz. U. z 2024 r. poz. 935), dalej p.p.s.a., służy skarga do Wojewódzkiego Sądu Administracyjnego w Warszawie. Zgodnie z art. 54 § 1 oraz art. 53 § 1 p.p.s.a. skargę wnosi się za pośrednictwem GDOŚ </w:t>
      </w:r>
      <w:bookmarkStart w:id="4" w:name="_Hlk182296914"/>
      <w:r w:rsidRPr="005B357F">
        <w:rPr>
          <w:sz w:val="28"/>
        </w:rPr>
        <w:t>(Generalna Dyrekcja Ochrony Środowiska, Al. Jerozolimskie 136, 02-305 Warszawa; ePUAP: /gdosgovpl/SkrytkaESP)</w:t>
      </w:r>
      <w:bookmarkEnd w:id="4"/>
      <w:r w:rsidRPr="005B357F">
        <w:rPr>
          <w:sz w:val="28"/>
        </w:rPr>
        <w:t xml:space="preserve"> w terminie trzydziestu dni od dnia doręczenia skarżącemu decyzji.</w:t>
      </w:r>
    </w:p>
    <w:p w14:paraId="7623E646" w14:textId="7E4C6946" w:rsidR="00E263A9" w:rsidRDefault="00E263A9" w:rsidP="00E263A9">
      <w:pPr>
        <w:spacing w:line="300" w:lineRule="auto"/>
        <w:rPr>
          <w:sz w:val="28"/>
          <w:szCs w:val="28"/>
        </w:rPr>
      </w:pPr>
    </w:p>
    <w:p w14:paraId="546F99DD" w14:textId="54026453" w:rsidR="00E263A9" w:rsidRPr="005B357F" w:rsidRDefault="005B357F" w:rsidP="00FF22F2">
      <w:pPr>
        <w:spacing w:line="300" w:lineRule="auto"/>
        <w:rPr>
          <w:sz w:val="28"/>
          <w:szCs w:val="28"/>
        </w:rPr>
      </w:pPr>
      <w:r w:rsidRPr="005B357F">
        <w:rPr>
          <w:sz w:val="28"/>
          <w:szCs w:val="28"/>
        </w:rPr>
        <w:t>PIOTR OTAWSKI</w:t>
      </w:r>
    </w:p>
    <w:p w14:paraId="7ACFA1A9" w14:textId="76E43653" w:rsidR="005B357F" w:rsidRPr="005B357F" w:rsidRDefault="005B357F" w:rsidP="00FF22F2">
      <w:pPr>
        <w:spacing w:line="300" w:lineRule="auto"/>
        <w:rPr>
          <w:sz w:val="28"/>
          <w:szCs w:val="28"/>
        </w:rPr>
      </w:pPr>
      <w:r w:rsidRPr="005B357F">
        <w:rPr>
          <w:sz w:val="28"/>
          <w:szCs w:val="28"/>
        </w:rPr>
        <w:t>GENERALNY DYREKTOR OCHRONY ŚRODOWISKA</w:t>
      </w:r>
    </w:p>
    <w:p w14:paraId="2C0505AA" w14:textId="6DDED160" w:rsidR="005B357F" w:rsidRPr="005B357F" w:rsidRDefault="005B357F" w:rsidP="00FF22F2">
      <w:pPr>
        <w:spacing w:line="300" w:lineRule="auto"/>
        <w:rPr>
          <w:sz w:val="28"/>
          <w:szCs w:val="28"/>
        </w:rPr>
      </w:pPr>
      <w:r w:rsidRPr="005B357F">
        <w:rPr>
          <w:sz w:val="28"/>
          <w:szCs w:val="28"/>
        </w:rPr>
        <w:t>/podpis elektroniczny/</w:t>
      </w:r>
    </w:p>
    <w:p w14:paraId="20D90EFA" w14:textId="77777777" w:rsidR="005B357F" w:rsidRPr="005B357F" w:rsidRDefault="005B357F" w:rsidP="005B357F">
      <w:pPr>
        <w:spacing w:after="60"/>
        <w:rPr>
          <w:sz w:val="28"/>
          <w:szCs w:val="28"/>
        </w:rPr>
      </w:pPr>
    </w:p>
    <w:p w14:paraId="2D22CB60" w14:textId="1B798B13" w:rsidR="005F62D2" w:rsidRPr="005B357F" w:rsidRDefault="005F62D2" w:rsidP="005B357F">
      <w:pPr>
        <w:spacing w:after="60"/>
        <w:rPr>
          <w:color w:val="000000"/>
          <w:sz w:val="28"/>
          <w:szCs w:val="28"/>
        </w:rPr>
      </w:pPr>
      <w:r w:rsidRPr="005B357F">
        <w:rPr>
          <w:sz w:val="28"/>
          <w:szCs w:val="28"/>
        </w:rPr>
        <w:t xml:space="preserve">Otrzymują: </w:t>
      </w:r>
    </w:p>
    <w:p w14:paraId="7B2A7526" w14:textId="77777777" w:rsidR="005B357F" w:rsidRPr="005B357F" w:rsidRDefault="005B357F" w:rsidP="005B357F">
      <w:pPr>
        <w:pStyle w:val="Tekstpodstawowy"/>
        <w:numPr>
          <w:ilvl w:val="0"/>
          <w:numId w:val="28"/>
        </w:numPr>
        <w:spacing w:line="312" w:lineRule="auto"/>
        <w:rPr>
          <w:sz w:val="28"/>
          <w:szCs w:val="28"/>
        </w:rPr>
      </w:pPr>
      <w:r w:rsidRPr="005B357F">
        <w:rPr>
          <w:sz w:val="28"/>
          <w:szCs w:val="28"/>
        </w:rPr>
        <w:t>Anna Sowa, dyrektor RZGW w Rzeszowie – pełnomocnik PGW Wody Polskie, ul. Hanasiewicza 17B, 35-103 Rzeszów;</w:t>
      </w:r>
    </w:p>
    <w:p w14:paraId="26DD1EA1" w14:textId="77777777" w:rsidR="005B357F" w:rsidRPr="005B357F" w:rsidRDefault="005B357F" w:rsidP="005B357F">
      <w:pPr>
        <w:pStyle w:val="Tekstpodstawowy"/>
        <w:numPr>
          <w:ilvl w:val="0"/>
          <w:numId w:val="28"/>
        </w:numPr>
        <w:spacing w:line="312" w:lineRule="auto"/>
        <w:rPr>
          <w:sz w:val="28"/>
          <w:szCs w:val="28"/>
        </w:rPr>
      </w:pPr>
      <w:bookmarkStart w:id="5" w:name="_Hlk129934688"/>
      <w:r w:rsidRPr="005B357F">
        <w:rPr>
          <w:sz w:val="28"/>
          <w:szCs w:val="28"/>
        </w:rPr>
        <w:t>Fundacja Greenmind, ul. Kaleńska 7/33, 04-367 Warszawa;</w:t>
      </w:r>
    </w:p>
    <w:p w14:paraId="0BECC8A7" w14:textId="77777777" w:rsidR="005B357F" w:rsidRPr="005B357F" w:rsidRDefault="005B357F" w:rsidP="005B357F">
      <w:pPr>
        <w:pStyle w:val="Tekstpodstawowy"/>
        <w:numPr>
          <w:ilvl w:val="0"/>
          <w:numId w:val="28"/>
        </w:numPr>
        <w:spacing w:line="312" w:lineRule="auto"/>
        <w:rPr>
          <w:sz w:val="28"/>
          <w:szCs w:val="28"/>
        </w:rPr>
      </w:pPr>
      <w:r w:rsidRPr="005B357F">
        <w:rPr>
          <w:sz w:val="28"/>
          <w:szCs w:val="28"/>
        </w:rPr>
        <w:t>Klub Przyrodników, Owczary 17, 69-113 Górzyca;</w:t>
      </w:r>
    </w:p>
    <w:p w14:paraId="15DA710F" w14:textId="77777777" w:rsidR="005B357F" w:rsidRPr="005B357F" w:rsidRDefault="005B357F" w:rsidP="005B357F">
      <w:pPr>
        <w:pStyle w:val="Akapitzlist"/>
        <w:numPr>
          <w:ilvl w:val="0"/>
          <w:numId w:val="28"/>
        </w:numPr>
        <w:suppressAutoHyphens/>
        <w:spacing w:after="240" w:line="312" w:lineRule="auto"/>
        <w:ind w:left="714" w:right="-6" w:hanging="357"/>
        <w:contextualSpacing w:val="0"/>
        <w:rPr>
          <w:sz w:val="28"/>
          <w:szCs w:val="28"/>
        </w:rPr>
      </w:pPr>
      <w:bookmarkStart w:id="6" w:name="_Hlk126647643"/>
      <w:bookmarkEnd w:id="5"/>
      <w:r w:rsidRPr="005B357F">
        <w:rPr>
          <w:color w:val="000000"/>
          <w:sz w:val="28"/>
          <w:szCs w:val="28"/>
        </w:rPr>
        <w:t xml:space="preserve">pozostałe strony postępowania na podstawie art. 49 k.p.a. w związku z art. 16 ustawy z dnia 7 kwietnia 2017 r. o zmianie ustawy – kodeks postępowania administracyjnego oraz niektórych innych ustaw (Dz. U. poz. 935) oraz </w:t>
      </w:r>
      <w:r w:rsidRPr="005B357F">
        <w:rPr>
          <w:sz w:val="28"/>
          <w:szCs w:val="28"/>
        </w:rPr>
        <w:t xml:space="preserve">art. 74 ust. 3 u.o.o.ś. w związku z art. 6 ust. 2 ustawy z dnia 9 października 2015 r. o zmianie ustawy o udostępnianiu informacji o </w:t>
      </w:r>
      <w:r w:rsidRPr="005B357F">
        <w:rPr>
          <w:sz w:val="28"/>
          <w:szCs w:val="28"/>
        </w:rPr>
        <w:lastRenderedPageBreak/>
        <w:t xml:space="preserve">środowisku i jego ochronie, udziale społeczeństwa w ochronie środowiska oraz o ocenach oddziaływania na środowisko oraz niektórych innych ustaw (Dz. U. poz. 1936) oraz art. 4 ust. 1 ustawy z dnia 19 lipca 2019 r. </w:t>
      </w:r>
      <w:r w:rsidRPr="005B357F">
        <w:rPr>
          <w:bCs/>
          <w:sz w:val="28"/>
          <w:szCs w:val="28"/>
          <w:shd w:val="clear" w:color="auto" w:fill="FFFFFF"/>
        </w:rPr>
        <w:t>o zmianie ustawy o udostępnianiu informacji o środowisku i jego ochronie, udziale społeczeństwa w ochronie środowiska oraz o ocenach oddziaływania na środowisko oraz niektórych innych ustaw</w:t>
      </w:r>
      <w:r w:rsidRPr="005B357F">
        <w:rPr>
          <w:sz w:val="28"/>
          <w:szCs w:val="28"/>
        </w:rPr>
        <w:t xml:space="preserve"> (Dz. U. poz. 1712, ze zm.) oraz art. 15 ust. 1 ustawy z dnia 13 lipca 2023 r. o zmianie ustawy </w:t>
      </w:r>
      <w:r w:rsidRPr="005B357F">
        <w:rPr>
          <w:iCs/>
          <w:sz w:val="28"/>
          <w:szCs w:val="28"/>
        </w:rPr>
        <w:t>o udostępnianiu informacji o środowisku i jego ochronie, udziale społeczeństwa w ochronie środowiska oraz o ocenach oddziaływania na środowisko oraz niektórych innych ustaw (Dz. U. poz. 1890).</w:t>
      </w:r>
    </w:p>
    <w:bookmarkEnd w:id="6"/>
    <w:p w14:paraId="782FFD60" w14:textId="77777777" w:rsidR="005B357F" w:rsidRPr="005B357F" w:rsidRDefault="005B357F" w:rsidP="005B357F">
      <w:pPr>
        <w:rPr>
          <w:color w:val="000000"/>
          <w:sz w:val="28"/>
          <w:szCs w:val="28"/>
        </w:rPr>
      </w:pPr>
      <w:r w:rsidRPr="005B357F">
        <w:rPr>
          <w:color w:val="000000"/>
          <w:sz w:val="28"/>
          <w:szCs w:val="28"/>
        </w:rPr>
        <w:t>Do wiadomości:</w:t>
      </w:r>
    </w:p>
    <w:p w14:paraId="64183D2A" w14:textId="77777777" w:rsidR="005B357F" w:rsidRPr="005B357F" w:rsidRDefault="005B357F" w:rsidP="005B357F">
      <w:pPr>
        <w:pStyle w:val="Akapitzlist"/>
        <w:numPr>
          <w:ilvl w:val="0"/>
          <w:numId w:val="27"/>
        </w:numPr>
        <w:suppressAutoHyphens/>
        <w:spacing w:line="312" w:lineRule="auto"/>
        <w:ind w:left="714" w:right="-6" w:hanging="357"/>
        <w:rPr>
          <w:sz w:val="28"/>
          <w:szCs w:val="28"/>
        </w:rPr>
      </w:pPr>
      <w:bookmarkStart w:id="7" w:name="_Hlk112056986"/>
      <w:r w:rsidRPr="005B357F">
        <w:rPr>
          <w:sz w:val="28"/>
          <w:szCs w:val="28"/>
        </w:rPr>
        <w:t xml:space="preserve">Regionalny Dyrektor Ochrony Środowiska </w:t>
      </w:r>
      <w:bookmarkEnd w:id="7"/>
      <w:r w:rsidRPr="005B357F">
        <w:rPr>
          <w:sz w:val="28"/>
          <w:szCs w:val="28"/>
        </w:rPr>
        <w:t>w Rzeszowie, al. Józefa Piłsudskiego 38, 35-001 Rzeszów.</w:t>
      </w:r>
    </w:p>
    <w:p w14:paraId="2C816669" w14:textId="225242C8" w:rsidR="00D64852" w:rsidRPr="00E263A9" w:rsidRDefault="00D64852" w:rsidP="00E263A9">
      <w:pPr>
        <w:spacing w:after="240" w:line="312" w:lineRule="auto"/>
        <w:rPr>
          <w:sz w:val="28"/>
          <w:szCs w:val="28"/>
        </w:rPr>
      </w:pPr>
    </w:p>
    <w:sectPr w:rsidR="00D64852" w:rsidRPr="00E263A9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EBD4" w14:textId="77777777" w:rsidR="008A4E54" w:rsidRDefault="008A4E54">
      <w:r>
        <w:separator/>
      </w:r>
    </w:p>
  </w:endnote>
  <w:endnote w:type="continuationSeparator" w:id="0">
    <w:p w14:paraId="64B91324" w14:textId="77777777" w:rsidR="008A4E54" w:rsidRDefault="008A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16B575CF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5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143E" w14:textId="77777777" w:rsidR="008A4E54" w:rsidRDefault="008A4E54">
      <w:r>
        <w:separator/>
      </w:r>
    </w:p>
  </w:footnote>
  <w:footnote w:type="continuationSeparator" w:id="0">
    <w:p w14:paraId="3FE6B60F" w14:textId="77777777" w:rsidR="008A4E54" w:rsidRDefault="008A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A44FA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3DB"/>
    <w:multiLevelType w:val="hybridMultilevel"/>
    <w:tmpl w:val="38E61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CC140D"/>
    <w:multiLevelType w:val="hybridMultilevel"/>
    <w:tmpl w:val="4D7873D2"/>
    <w:lvl w:ilvl="0" w:tplc="CF242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104FD"/>
    <w:multiLevelType w:val="hybridMultilevel"/>
    <w:tmpl w:val="B900DC02"/>
    <w:lvl w:ilvl="0" w:tplc="D07E17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07739"/>
    <w:multiLevelType w:val="hybridMultilevel"/>
    <w:tmpl w:val="8F8EC8BC"/>
    <w:lvl w:ilvl="0" w:tplc="2D6268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F10030E" w:tentative="1">
      <w:start w:val="1"/>
      <w:numFmt w:val="lowerLetter"/>
      <w:lvlText w:val="%2."/>
      <w:lvlJc w:val="left"/>
      <w:pPr>
        <w:ind w:left="1440" w:hanging="360"/>
      </w:pPr>
    </w:lvl>
    <w:lvl w:ilvl="2" w:tplc="78362992" w:tentative="1">
      <w:start w:val="1"/>
      <w:numFmt w:val="lowerRoman"/>
      <w:lvlText w:val="%3."/>
      <w:lvlJc w:val="right"/>
      <w:pPr>
        <w:ind w:left="2160" w:hanging="180"/>
      </w:pPr>
    </w:lvl>
    <w:lvl w:ilvl="3" w:tplc="33046BF2" w:tentative="1">
      <w:start w:val="1"/>
      <w:numFmt w:val="decimal"/>
      <w:lvlText w:val="%4."/>
      <w:lvlJc w:val="left"/>
      <w:pPr>
        <w:ind w:left="2880" w:hanging="360"/>
      </w:pPr>
    </w:lvl>
    <w:lvl w:ilvl="4" w:tplc="9B68952C" w:tentative="1">
      <w:start w:val="1"/>
      <w:numFmt w:val="lowerLetter"/>
      <w:lvlText w:val="%5."/>
      <w:lvlJc w:val="left"/>
      <w:pPr>
        <w:ind w:left="3600" w:hanging="360"/>
      </w:pPr>
    </w:lvl>
    <w:lvl w:ilvl="5" w:tplc="4D58847C" w:tentative="1">
      <w:start w:val="1"/>
      <w:numFmt w:val="lowerRoman"/>
      <w:lvlText w:val="%6."/>
      <w:lvlJc w:val="right"/>
      <w:pPr>
        <w:ind w:left="4320" w:hanging="180"/>
      </w:pPr>
    </w:lvl>
    <w:lvl w:ilvl="6" w:tplc="20048DA4" w:tentative="1">
      <w:start w:val="1"/>
      <w:numFmt w:val="decimal"/>
      <w:lvlText w:val="%7."/>
      <w:lvlJc w:val="left"/>
      <w:pPr>
        <w:ind w:left="5040" w:hanging="360"/>
      </w:pPr>
    </w:lvl>
    <w:lvl w:ilvl="7" w:tplc="3800E2E6" w:tentative="1">
      <w:start w:val="1"/>
      <w:numFmt w:val="lowerLetter"/>
      <w:lvlText w:val="%8."/>
      <w:lvlJc w:val="left"/>
      <w:pPr>
        <w:ind w:left="5760" w:hanging="360"/>
      </w:pPr>
    </w:lvl>
    <w:lvl w:ilvl="8" w:tplc="0DA49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46D98"/>
    <w:multiLevelType w:val="hybridMultilevel"/>
    <w:tmpl w:val="D7FC926A"/>
    <w:lvl w:ilvl="0" w:tplc="8F4836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D4449AE" w:tentative="1">
      <w:start w:val="1"/>
      <w:numFmt w:val="lowerLetter"/>
      <w:lvlText w:val="%2."/>
      <w:lvlJc w:val="left"/>
      <w:pPr>
        <w:ind w:left="1440" w:hanging="360"/>
      </w:pPr>
    </w:lvl>
    <w:lvl w:ilvl="2" w:tplc="ED0EB4BE" w:tentative="1">
      <w:start w:val="1"/>
      <w:numFmt w:val="lowerRoman"/>
      <w:lvlText w:val="%3."/>
      <w:lvlJc w:val="right"/>
      <w:pPr>
        <w:ind w:left="2160" w:hanging="180"/>
      </w:pPr>
    </w:lvl>
    <w:lvl w:ilvl="3" w:tplc="5DDAEFA4" w:tentative="1">
      <w:start w:val="1"/>
      <w:numFmt w:val="decimal"/>
      <w:lvlText w:val="%4."/>
      <w:lvlJc w:val="left"/>
      <w:pPr>
        <w:ind w:left="2880" w:hanging="360"/>
      </w:pPr>
    </w:lvl>
    <w:lvl w:ilvl="4" w:tplc="08AC0148" w:tentative="1">
      <w:start w:val="1"/>
      <w:numFmt w:val="lowerLetter"/>
      <w:lvlText w:val="%5."/>
      <w:lvlJc w:val="left"/>
      <w:pPr>
        <w:ind w:left="3600" w:hanging="360"/>
      </w:pPr>
    </w:lvl>
    <w:lvl w:ilvl="5" w:tplc="996C67EE" w:tentative="1">
      <w:start w:val="1"/>
      <w:numFmt w:val="lowerRoman"/>
      <w:lvlText w:val="%6."/>
      <w:lvlJc w:val="right"/>
      <w:pPr>
        <w:ind w:left="4320" w:hanging="180"/>
      </w:pPr>
    </w:lvl>
    <w:lvl w:ilvl="6" w:tplc="7C16CBC0" w:tentative="1">
      <w:start w:val="1"/>
      <w:numFmt w:val="decimal"/>
      <w:lvlText w:val="%7."/>
      <w:lvlJc w:val="left"/>
      <w:pPr>
        <w:ind w:left="5040" w:hanging="360"/>
      </w:pPr>
    </w:lvl>
    <w:lvl w:ilvl="7" w:tplc="0CDA7D98" w:tentative="1">
      <w:start w:val="1"/>
      <w:numFmt w:val="lowerLetter"/>
      <w:lvlText w:val="%8."/>
      <w:lvlJc w:val="left"/>
      <w:pPr>
        <w:ind w:left="5760" w:hanging="360"/>
      </w:pPr>
    </w:lvl>
    <w:lvl w:ilvl="8" w:tplc="A906F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6D75"/>
    <w:multiLevelType w:val="hybridMultilevel"/>
    <w:tmpl w:val="13E6DC54"/>
    <w:lvl w:ilvl="0" w:tplc="4314B9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4314B964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08D5FEC"/>
    <w:multiLevelType w:val="hybridMultilevel"/>
    <w:tmpl w:val="8A462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4486"/>
    <w:multiLevelType w:val="hybridMultilevel"/>
    <w:tmpl w:val="0B680D5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02B43"/>
    <w:multiLevelType w:val="hybridMultilevel"/>
    <w:tmpl w:val="A754DD98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5384F"/>
    <w:multiLevelType w:val="hybridMultilevel"/>
    <w:tmpl w:val="290E7AD0"/>
    <w:lvl w:ilvl="0" w:tplc="A1FE3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7D2F7B"/>
    <w:multiLevelType w:val="hybridMultilevel"/>
    <w:tmpl w:val="872A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02CEE"/>
    <w:multiLevelType w:val="hybridMultilevel"/>
    <w:tmpl w:val="AD04EDC0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C4E45"/>
    <w:multiLevelType w:val="hybridMultilevel"/>
    <w:tmpl w:val="EFC285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18515E"/>
    <w:multiLevelType w:val="hybridMultilevel"/>
    <w:tmpl w:val="912852AA"/>
    <w:lvl w:ilvl="0" w:tplc="9392D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311BC"/>
    <w:multiLevelType w:val="hybridMultilevel"/>
    <w:tmpl w:val="83F4A676"/>
    <w:lvl w:ilvl="0" w:tplc="00C24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A17D20"/>
    <w:multiLevelType w:val="hybridMultilevel"/>
    <w:tmpl w:val="299A5EB2"/>
    <w:lvl w:ilvl="0" w:tplc="EB40A932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93964DC6" w:tentative="1">
      <w:start w:val="1"/>
      <w:numFmt w:val="lowerLetter"/>
      <w:lvlText w:val="%2."/>
      <w:lvlJc w:val="left"/>
      <w:pPr>
        <w:ind w:left="1789" w:hanging="360"/>
      </w:pPr>
    </w:lvl>
    <w:lvl w:ilvl="2" w:tplc="39CCCFF2" w:tentative="1">
      <w:start w:val="1"/>
      <w:numFmt w:val="lowerRoman"/>
      <w:lvlText w:val="%3."/>
      <w:lvlJc w:val="right"/>
      <w:pPr>
        <w:ind w:left="2509" w:hanging="180"/>
      </w:pPr>
    </w:lvl>
    <w:lvl w:ilvl="3" w:tplc="F43C6576" w:tentative="1">
      <w:start w:val="1"/>
      <w:numFmt w:val="decimal"/>
      <w:lvlText w:val="%4."/>
      <w:lvlJc w:val="left"/>
      <w:pPr>
        <w:ind w:left="3229" w:hanging="360"/>
      </w:pPr>
    </w:lvl>
    <w:lvl w:ilvl="4" w:tplc="BCB4F4CC" w:tentative="1">
      <w:start w:val="1"/>
      <w:numFmt w:val="lowerLetter"/>
      <w:lvlText w:val="%5."/>
      <w:lvlJc w:val="left"/>
      <w:pPr>
        <w:ind w:left="3949" w:hanging="360"/>
      </w:pPr>
    </w:lvl>
    <w:lvl w:ilvl="5" w:tplc="D78CAF38" w:tentative="1">
      <w:start w:val="1"/>
      <w:numFmt w:val="lowerRoman"/>
      <w:lvlText w:val="%6."/>
      <w:lvlJc w:val="right"/>
      <w:pPr>
        <w:ind w:left="4669" w:hanging="180"/>
      </w:pPr>
    </w:lvl>
    <w:lvl w:ilvl="6" w:tplc="AE5EDDBA" w:tentative="1">
      <w:start w:val="1"/>
      <w:numFmt w:val="decimal"/>
      <w:lvlText w:val="%7."/>
      <w:lvlJc w:val="left"/>
      <w:pPr>
        <w:ind w:left="5389" w:hanging="360"/>
      </w:pPr>
    </w:lvl>
    <w:lvl w:ilvl="7" w:tplc="A60A39AE" w:tentative="1">
      <w:start w:val="1"/>
      <w:numFmt w:val="lowerLetter"/>
      <w:lvlText w:val="%8."/>
      <w:lvlJc w:val="left"/>
      <w:pPr>
        <w:ind w:left="6109" w:hanging="360"/>
      </w:pPr>
    </w:lvl>
    <w:lvl w:ilvl="8" w:tplc="45D6A60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A23039"/>
    <w:multiLevelType w:val="hybridMultilevel"/>
    <w:tmpl w:val="6C3A8E6A"/>
    <w:lvl w:ilvl="0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B6AAB"/>
    <w:multiLevelType w:val="hybridMultilevel"/>
    <w:tmpl w:val="011E4976"/>
    <w:lvl w:ilvl="0" w:tplc="9392DF9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21DA8"/>
    <w:multiLevelType w:val="hybridMultilevel"/>
    <w:tmpl w:val="F01641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235146"/>
    <w:multiLevelType w:val="hybridMultilevel"/>
    <w:tmpl w:val="4930191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B6F1CEB"/>
    <w:multiLevelType w:val="hybridMultilevel"/>
    <w:tmpl w:val="FF004C04"/>
    <w:lvl w:ilvl="0" w:tplc="8F20266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4419A"/>
    <w:multiLevelType w:val="hybridMultilevel"/>
    <w:tmpl w:val="853A6FA2"/>
    <w:lvl w:ilvl="0" w:tplc="9392DF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DA6370"/>
    <w:multiLevelType w:val="hybridMultilevel"/>
    <w:tmpl w:val="F4B6A9B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9"/>
  </w:num>
  <w:num w:numId="5">
    <w:abstractNumId w:val="7"/>
  </w:num>
  <w:num w:numId="6">
    <w:abstractNumId w:val="21"/>
  </w:num>
  <w:num w:numId="7">
    <w:abstractNumId w:val="12"/>
  </w:num>
  <w:num w:numId="8">
    <w:abstractNumId w:val="14"/>
  </w:num>
  <w:num w:numId="9">
    <w:abstractNumId w:val="11"/>
  </w:num>
  <w:num w:numId="10">
    <w:abstractNumId w:val="15"/>
  </w:num>
  <w:num w:numId="11">
    <w:abstractNumId w:val="28"/>
  </w:num>
  <w:num w:numId="12">
    <w:abstractNumId w:val="2"/>
  </w:num>
  <w:num w:numId="13">
    <w:abstractNumId w:val="8"/>
  </w:num>
  <w:num w:numId="14">
    <w:abstractNumId w:val="20"/>
  </w:num>
  <w:num w:numId="15">
    <w:abstractNumId w:val="24"/>
  </w:num>
  <w:num w:numId="16">
    <w:abstractNumId w:val="18"/>
  </w:num>
  <w:num w:numId="17">
    <w:abstractNumId w:val="3"/>
  </w:num>
  <w:num w:numId="18">
    <w:abstractNumId w:val="13"/>
  </w:num>
  <w:num w:numId="19">
    <w:abstractNumId w:val="26"/>
  </w:num>
  <w:num w:numId="20">
    <w:abstractNumId w:val="10"/>
  </w:num>
  <w:num w:numId="21">
    <w:abstractNumId w:val="27"/>
  </w:num>
  <w:num w:numId="22">
    <w:abstractNumId w:val="16"/>
  </w:num>
  <w:num w:numId="23">
    <w:abstractNumId w:val="17"/>
  </w:num>
  <w:num w:numId="24">
    <w:abstractNumId w:val="22"/>
  </w:num>
  <w:num w:numId="25">
    <w:abstractNumId w:val="25"/>
  </w:num>
  <w:num w:numId="26">
    <w:abstractNumId w:val="19"/>
  </w:num>
  <w:num w:numId="27">
    <w:abstractNumId w:val="5"/>
  </w:num>
  <w:num w:numId="2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759FF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5304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0328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17391"/>
    <w:rsid w:val="004211C6"/>
    <w:rsid w:val="0042355D"/>
    <w:rsid w:val="004276A7"/>
    <w:rsid w:val="0043119E"/>
    <w:rsid w:val="00433EB3"/>
    <w:rsid w:val="00437BEF"/>
    <w:rsid w:val="00440FE8"/>
    <w:rsid w:val="00442D09"/>
    <w:rsid w:val="00445691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328C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357F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62D2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3673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1546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A4E54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4CC5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1F92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63A9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556D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3B7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37717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22F2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759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59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759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link w:val="TekstprzypisudolnegoZnak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,Nagłówek_JP,normalny tekst,Akapit z listą4,Akapit z listą31,Numerowanie,BulletC,Akapit z listą11,Bullets,Kolorowa lista — akcent 11,normalny,Wypunktowanie,EST_akapit z listą,test ciągły,List Paragraph_0"/>
    <w:basedOn w:val="Normalny"/>
    <w:link w:val="AkapitzlistZnak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Akapit z listą11 Znak,Bullets Znak,Kolorowa lista — akcent 11 Znak"/>
    <w:link w:val="Akapitzlist"/>
    <w:qFormat/>
    <w:rsid w:val="00360A84"/>
    <w:rPr>
      <w:sz w:val="24"/>
      <w:szCs w:val="24"/>
    </w:rPr>
  </w:style>
  <w:style w:type="table" w:styleId="Tabela-Siatka">
    <w:name w:val="Table Grid"/>
    <w:basedOn w:val="Standardowy"/>
    <w:uiPriority w:val="59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uiPriority w:val="99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759FF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759FF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759F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759FF"/>
    <w:rPr>
      <w:b/>
    </w:rPr>
  </w:style>
  <w:style w:type="paragraph" w:customStyle="1" w:styleId="menfont">
    <w:name w:val="men font"/>
    <w:basedOn w:val="Normalny"/>
    <w:rsid w:val="002759FF"/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2759FF"/>
    <w:pPr>
      <w:suppressAutoHyphens/>
      <w:ind w:left="720"/>
      <w:contextualSpacing/>
    </w:pPr>
  </w:style>
  <w:style w:type="character" w:customStyle="1" w:styleId="alb">
    <w:name w:val="a_lb"/>
    <w:basedOn w:val="Domylnaczcionkaakapitu"/>
    <w:rsid w:val="002759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59FF"/>
  </w:style>
  <w:style w:type="character" w:customStyle="1" w:styleId="MapadokumentuZnak">
    <w:name w:val="Mapa dokumentu Znak"/>
    <w:basedOn w:val="Domylnaczcionkaakapitu"/>
    <w:link w:val="Mapadokumentu"/>
    <w:semiHidden/>
    <w:rsid w:val="002759FF"/>
    <w:rPr>
      <w:rFonts w:ascii="Tahoma" w:hAnsi="Tahoma" w:cs="Tahoma"/>
      <w:shd w:val="clear" w:color="auto" w:fill="000080"/>
    </w:rPr>
  </w:style>
  <w:style w:type="paragraph" w:customStyle="1" w:styleId="ListParagraph1">
    <w:name w:val="List Paragraph1"/>
    <w:basedOn w:val="Normalny"/>
    <w:uiPriority w:val="34"/>
    <w:qFormat/>
    <w:rsid w:val="002759FF"/>
    <w:pPr>
      <w:ind w:left="720"/>
      <w:contextualSpacing/>
    </w:pPr>
  </w:style>
  <w:style w:type="character" w:customStyle="1" w:styleId="luchili">
    <w:name w:val="luc_hili"/>
    <w:basedOn w:val="Domylnaczcionkaakapitu"/>
    <w:rsid w:val="002759FF"/>
  </w:style>
  <w:style w:type="character" w:customStyle="1" w:styleId="tabulatory">
    <w:name w:val="tabulatory"/>
    <w:basedOn w:val="Domylnaczcionkaakapitu"/>
    <w:rsid w:val="002759FF"/>
  </w:style>
  <w:style w:type="paragraph" w:styleId="Tekstprzypisukocowego">
    <w:name w:val="endnote text"/>
    <w:basedOn w:val="Normalny"/>
    <w:link w:val="TekstprzypisukocowegoZnak"/>
    <w:rsid w:val="002759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59FF"/>
  </w:style>
  <w:style w:type="character" w:styleId="Odwoanieprzypisukocowego">
    <w:name w:val="endnote reference"/>
    <w:basedOn w:val="Domylnaczcionkaakapitu"/>
    <w:rsid w:val="002759FF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2759FF"/>
  </w:style>
  <w:style w:type="character" w:customStyle="1" w:styleId="warheader">
    <w:name w:val="war_header"/>
    <w:basedOn w:val="Domylnaczcionkaakapitu"/>
    <w:rsid w:val="002759FF"/>
  </w:style>
  <w:style w:type="character" w:customStyle="1" w:styleId="highlight">
    <w:name w:val="highlight"/>
    <w:basedOn w:val="Domylnaczcionkaakapitu"/>
    <w:rsid w:val="002759FF"/>
  </w:style>
  <w:style w:type="paragraph" w:styleId="Lista2">
    <w:name w:val="List 2"/>
    <w:basedOn w:val="Normalny"/>
    <w:rsid w:val="002759FF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2759FF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75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9F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759FF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759FF"/>
    <w:rPr>
      <w:sz w:val="24"/>
      <w:szCs w:val="24"/>
      <w:lang w:val="pl-PL" w:eastAsia="pl-PL" w:bidi="ar-SA"/>
    </w:rPr>
  </w:style>
  <w:style w:type="paragraph" w:customStyle="1" w:styleId="ListParagraph2">
    <w:name w:val="List Paragraph2"/>
    <w:basedOn w:val="Normalny"/>
    <w:uiPriority w:val="34"/>
    <w:qFormat/>
    <w:rsid w:val="002759FF"/>
    <w:pPr>
      <w:ind w:left="720"/>
      <w:contextualSpacing/>
    </w:pPr>
  </w:style>
  <w:style w:type="character" w:customStyle="1" w:styleId="st">
    <w:name w:val="st"/>
    <w:basedOn w:val="Domylnaczcionkaakapitu"/>
    <w:rsid w:val="002759FF"/>
  </w:style>
  <w:style w:type="character" w:styleId="Uwydatnienie">
    <w:name w:val="Emphasis"/>
    <w:basedOn w:val="Domylnaczcionkaakapitu"/>
    <w:uiPriority w:val="20"/>
    <w:qFormat/>
    <w:rsid w:val="002759FF"/>
    <w:rPr>
      <w:i/>
      <w:iCs/>
    </w:rPr>
  </w:style>
  <w:style w:type="paragraph" w:customStyle="1" w:styleId="Default">
    <w:name w:val="Default"/>
    <w:qFormat/>
    <w:rsid w:val="002759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275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2759FF"/>
    <w:pPr>
      <w:ind w:left="720"/>
      <w:contextualSpacing/>
    </w:pPr>
  </w:style>
  <w:style w:type="character" w:customStyle="1" w:styleId="txt-new">
    <w:name w:val="txt-new"/>
    <w:basedOn w:val="Domylnaczcionkaakapitu"/>
    <w:rsid w:val="002759FF"/>
  </w:style>
  <w:style w:type="character" w:styleId="HTML-cytat">
    <w:name w:val="HTML Cite"/>
    <w:basedOn w:val="Domylnaczcionkaakapitu"/>
    <w:uiPriority w:val="99"/>
    <w:unhideWhenUsed/>
    <w:rsid w:val="002759FF"/>
    <w:rPr>
      <w:i/>
      <w:iCs/>
    </w:rPr>
  </w:style>
  <w:style w:type="paragraph" w:customStyle="1" w:styleId="rysunkiZnakZnakZnak">
    <w:name w:val="rysunki Znak Znak Znak"/>
    <w:basedOn w:val="Normalny"/>
    <w:rsid w:val="002759FF"/>
    <w:rPr>
      <w:i/>
    </w:rPr>
  </w:style>
  <w:style w:type="character" w:customStyle="1" w:styleId="item-fieldvalue">
    <w:name w:val="item-fieldvalue"/>
    <w:basedOn w:val="Domylnaczcionkaakapitu"/>
    <w:rsid w:val="002759FF"/>
  </w:style>
  <w:style w:type="character" w:customStyle="1" w:styleId="fn-ref">
    <w:name w:val="fn-ref"/>
    <w:basedOn w:val="Domylnaczcionkaakapitu"/>
    <w:rsid w:val="002759FF"/>
  </w:style>
  <w:style w:type="character" w:customStyle="1" w:styleId="text-center">
    <w:name w:val="text-center"/>
    <w:basedOn w:val="Domylnaczcionkaakapitu"/>
    <w:rsid w:val="002759FF"/>
  </w:style>
  <w:style w:type="paragraph" w:customStyle="1" w:styleId="punktory">
    <w:name w:val="punktory"/>
    <w:basedOn w:val="Tekstpodstawowy"/>
    <w:link w:val="punktoryZnak"/>
    <w:qFormat/>
    <w:rsid w:val="002759FF"/>
    <w:pPr>
      <w:numPr>
        <w:numId w:val="4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2759FF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2759FF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759FF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2759FF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2759FF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2759FF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759FF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Ansee">
    <w:name w:val="Ansee"/>
    <w:basedOn w:val="Normalny"/>
    <w:link w:val="AnseeZnak"/>
    <w:qFormat/>
    <w:rsid w:val="002759FF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line="360" w:lineRule="auto"/>
      <w:ind w:firstLine="708"/>
      <w:jc w:val="both"/>
    </w:pPr>
    <w:rPr>
      <w:rFonts w:eastAsia="MS Mincho" w:cs="Calibri"/>
      <w:kern w:val="1"/>
      <w:lang w:eastAsia="hi-IN" w:bidi="hi-IN"/>
    </w:rPr>
  </w:style>
  <w:style w:type="character" w:customStyle="1" w:styleId="AnseeZnak">
    <w:name w:val="Ansee Znak"/>
    <w:link w:val="Ansee"/>
    <w:rsid w:val="002759FF"/>
    <w:rPr>
      <w:rFonts w:eastAsia="MS Mincho" w:cs="Calibri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2759FF"/>
  </w:style>
  <w:style w:type="character" w:customStyle="1" w:styleId="justification-selected-thesis">
    <w:name w:val="justification-selected-thesis"/>
    <w:basedOn w:val="Domylnaczcionkaakapitu"/>
    <w:rsid w:val="00E263A9"/>
  </w:style>
  <w:style w:type="character" w:customStyle="1" w:styleId="Teksttreci">
    <w:name w:val="Tekst treści_"/>
    <w:basedOn w:val="Domylnaczcionkaakapitu"/>
    <w:link w:val="Teksttreci0"/>
    <w:rsid w:val="005B357F"/>
    <w:rPr>
      <w:rFonts w:ascii="Garamond" w:eastAsia="Garamond" w:hAnsi="Garamond" w:cs="Garamond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357F"/>
    <w:pPr>
      <w:widowControl w:val="0"/>
      <w:shd w:val="clear" w:color="auto" w:fill="FFFFFF"/>
      <w:spacing w:line="341" w:lineRule="auto"/>
      <w:ind w:firstLine="400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D441-343E-47E0-A1D2-CB930A72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1560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16</cp:revision>
  <cp:lastPrinted>2023-01-27T08:01:00Z</cp:lastPrinted>
  <dcterms:created xsi:type="dcterms:W3CDTF">2023-01-27T11:19:00Z</dcterms:created>
  <dcterms:modified xsi:type="dcterms:W3CDTF">2024-12-10T14:47:00Z</dcterms:modified>
</cp:coreProperties>
</file>