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E06" w:rsidRDefault="00180E06" w:rsidP="00180E06">
      <w:pPr>
        <w:keepNext/>
        <w:spacing w:before="240" w:after="60"/>
        <w:ind w:left="5529"/>
        <w:jc w:val="right"/>
        <w:outlineLvl w:val="0"/>
        <w:rPr>
          <w:b/>
          <w:bCs/>
          <w:kern w:val="32"/>
          <w:sz w:val="32"/>
          <w:szCs w:val="32"/>
          <w:lang w:eastAsia="x-none"/>
        </w:rPr>
      </w:pPr>
      <w:bookmarkStart w:id="0" w:name="_Toc514150455"/>
      <w:bookmarkStart w:id="1" w:name="_Toc514149143"/>
      <w:r>
        <w:rPr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>
        <w:rPr>
          <w:b/>
          <w:bCs/>
          <w:kern w:val="32"/>
          <w:sz w:val="32"/>
          <w:szCs w:val="32"/>
          <w:lang w:eastAsia="x-none"/>
        </w:rPr>
        <w:t>1 część „B</w:t>
      </w:r>
      <w:bookmarkStart w:id="2" w:name="_GoBack"/>
      <w:bookmarkEnd w:id="2"/>
      <w:r>
        <w:rPr>
          <w:b/>
          <w:bCs/>
          <w:kern w:val="32"/>
          <w:sz w:val="32"/>
          <w:szCs w:val="32"/>
          <w:lang w:eastAsia="x-none"/>
        </w:rPr>
        <w:t>”- do SWZ</w:t>
      </w:r>
    </w:p>
    <w:p w:rsidR="00180E06" w:rsidRDefault="00180E06" w:rsidP="00C654C5">
      <w:pPr>
        <w:spacing w:line="360" w:lineRule="auto"/>
        <w:jc w:val="center"/>
      </w:pPr>
    </w:p>
    <w:p w:rsidR="00180E06" w:rsidRDefault="00180E06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Default="00C654C5" w:rsidP="00385A6D">
      <w:pPr>
        <w:jc w:val="center"/>
        <w:rPr>
          <w:b/>
        </w:rPr>
      </w:pPr>
      <w:r w:rsidRPr="00F71E30">
        <w:rPr>
          <w:b/>
          <w:sz w:val="20"/>
          <w:szCs w:val="20"/>
        </w:rPr>
        <w:t>„</w:t>
      </w:r>
      <w:r w:rsidR="00397273">
        <w:rPr>
          <w:b/>
        </w:rPr>
        <w:t>CIĘŻKI</w:t>
      </w:r>
      <w:r w:rsidR="00FC7B38" w:rsidRPr="00F71E30">
        <w:rPr>
          <w:b/>
        </w:rPr>
        <w:t xml:space="preserve"> SAMOCHÓD </w:t>
      </w:r>
      <w:r w:rsidR="001F4DE5">
        <w:rPr>
          <w:b/>
        </w:rPr>
        <w:t>RATOWNICZO-GAŚNICZY</w:t>
      </w:r>
      <w:r w:rsidR="00385A6D">
        <w:rPr>
          <w:b/>
        </w:rPr>
        <w:t xml:space="preserve"> </w:t>
      </w:r>
    </w:p>
    <w:p w:rsidR="00385A6D" w:rsidRPr="00385A6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71E30" w:rsidRPr="00F71E30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B363C5">
        <w:trPr>
          <w:trHeight w:val="928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  <w:jc w:val="both"/>
            </w:pPr>
            <w:r w:rsidRPr="00385A6D"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(t.j. Dz. U. z 2016 r. poz. 2022</w:t>
            </w:r>
            <w:r w:rsidR="003A6F5A">
              <w:t xml:space="preserve"> z późn. zm.</w:t>
            </w:r>
            <w:r w:rsidRPr="00385A6D">
              <w:t>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385A6D" w:rsidP="00B363C5">
            <w:pPr>
              <w:pStyle w:val="Tekstpodstawowy"/>
              <w:spacing w:after="0"/>
            </w:pPr>
            <w:r w:rsidRPr="00385A6D">
              <w:rPr>
                <w:iCs/>
              </w:rPr>
              <w:t>Pojazd musi posiadać świadectwo dopuszczenia do stosowania w ochronie przeciwpożarowej na terenie Polski zgodnie z art. 7 Ustawy z dnia 24 sierpnia 1991 roku o ochronie przeciwpożarowej (tekst jednolity: Dz</w:t>
            </w:r>
            <w:r>
              <w:rPr>
                <w:iCs/>
              </w:rPr>
              <w:t>.U. 2021 poz. 869 z późn. zm.).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C654C5" w:rsidRPr="00780F3C" w:rsidRDefault="00C654C5" w:rsidP="00B363C5">
            <w:pPr>
              <w:pStyle w:val="Tekstpodstawowy"/>
              <w:spacing w:after="0"/>
            </w:pPr>
            <w:r w:rsidRPr="00780F3C">
              <w:t>Pojazd musi spełniać wymagania Polskiej Normy PN-EN 1846-1, PN-EN 1846-2 oraz PN-EN 1846-3</w:t>
            </w:r>
            <w:r w:rsidR="006B6358">
              <w:t xml:space="preserve"> „lub równoważny”.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086763" w:rsidRDefault="00086763" w:rsidP="0008676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86763">
              <w:rPr>
                <w:sz w:val="20"/>
                <w:szCs w:val="20"/>
              </w:rPr>
              <w:t xml:space="preserve"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</w:t>
            </w:r>
          </w:p>
          <w:p w:rsidR="00C654C5" w:rsidRPr="00780F3C" w:rsidRDefault="00086763" w:rsidP="00086763">
            <w:pPr>
              <w:pStyle w:val="Tekstpodstawowy"/>
              <w:spacing w:after="0"/>
              <w:rPr>
                <w:spacing w:val="-1"/>
              </w:rPr>
            </w:pPr>
            <w:r w:rsidRPr="00086763">
              <w:lastRenderedPageBreak/>
              <w:t>Potwierdzeniem spełnienia ww. wymagań będzie przedłożenie najpóźniej w dniu odbioru końcowego przedmiotu zamówienia aktualnego świadectwa dopuszczenia dla tego pojazdu wraz ze sprawozdaniem z badań oraz świadectwa dopuszczenia dla wyposażenia dostarczonego z pojazdem dla, którego jest ono wymagane.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086763" w:rsidRPr="00780F3C" w:rsidRDefault="00C654C5" w:rsidP="00440D5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80F3C">
              <w:rPr>
                <w:sz w:val="20"/>
                <w:szCs w:val="20"/>
              </w:rPr>
              <w:t>3</w:t>
            </w:r>
            <w:r w:rsidRPr="00780F3C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80F3C">
              <w:rPr>
                <w:sz w:val="20"/>
                <w:szCs w:val="20"/>
              </w:rPr>
              <w:t>nia 9 marca 2021</w:t>
            </w:r>
            <w:r w:rsidRPr="00780F3C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80F3C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B363C5">
        <w:trPr>
          <w:jc w:val="center"/>
        </w:trPr>
        <w:tc>
          <w:tcPr>
            <w:tcW w:w="880" w:type="dxa"/>
          </w:tcPr>
          <w:p w:rsidR="003373EF" w:rsidRPr="00780F3C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373EF" w:rsidRPr="00780F3C" w:rsidRDefault="003A6F5A" w:rsidP="00440D5F">
            <w:pPr>
              <w:jc w:val="both"/>
              <w:rPr>
                <w:sz w:val="20"/>
                <w:szCs w:val="20"/>
              </w:rPr>
            </w:pPr>
            <w:r w:rsidRPr="003A6F5A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6D33B0">
              <w:rPr>
                <w:rFonts w:cs="Arial"/>
                <w:sz w:val="20"/>
                <w:szCs w:val="20"/>
              </w:rPr>
              <w:t>Tabliczki</w:t>
            </w:r>
            <w:r w:rsidRPr="003A6F5A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5 szt. tabliczek umożliwiających samodzielne ich naklejanie.</w:t>
            </w:r>
          </w:p>
        </w:tc>
        <w:tc>
          <w:tcPr>
            <w:tcW w:w="1559" w:type="dxa"/>
          </w:tcPr>
          <w:p w:rsidR="003373EF" w:rsidRPr="00780F3C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A3DF0" w:rsidRDefault="003A3DF0" w:rsidP="00B363C5">
            <w:pPr>
              <w:pStyle w:val="Tekstpodstawowy"/>
              <w:spacing w:after="0"/>
              <w:jc w:val="both"/>
            </w:pPr>
            <w:r w:rsidRPr="003A3DF0">
              <w:t>Konstrukcja i poszycie zewnętrzne, wykonane w całości z materiałów niekorodujących /stal nierdzewna, aluminium, kompozyt/, jako konstrukcja samonośna o nieograniczonej odporności na korozję. Wewnętrzne poszycia bocznych skrytek wyłożone anodowaną gładką blachą aluminiową, spody schowków- blachą  nierdzewną gładką bez progu, z możliwością łatwego odprowadzenia wody na zewnątrz. Balustrady ochronne boczne - dachu wykonane z materiałów kompozytowych lub aluminiowych. Rama pośrednia stal gatunkowa zabezpieczona w procesie produkcji przed korozją (malowanie + konserwacja).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 obu stronach pojazdu, wzdłuż zabudowy, należy zamontować stopnie (podesty) robocze ułatwiające ratownikom zdejmowanie wyposażenia z pojazdu.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80F3C">
                <w:t>140 kg</w:t>
              </w:r>
            </w:smartTag>
            <w:r w:rsidRPr="00780F3C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80F3C">
                <w:t>550 mm</w:t>
              </w:r>
            </w:smartTag>
            <w:r w:rsidRPr="00780F3C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80F3C">
                <w:t>280 kg</w:t>
              </w:r>
            </w:smartTag>
            <w:r w:rsidRPr="00780F3C">
              <w:t>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Podesty zabezpieczone przed przypadkowym otwarciem, zamkiem oraz dwoma siłownikami hydraulicznymi przed gwałtownym opadaniem.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Zamki (systemy zamykania) podestów umożliwiających dostęp do skrytek, wzmocnione w sposób zabezpieczający je przed uszkodzeniami spowodowanymi niekontrolowanym ich zatrzaśnięciem.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lastRenderedPageBreak/>
              <w:t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uszkodzenia, podczas normalnej eksploatacji pojazdu.</w:t>
            </w:r>
          </w:p>
          <w:p w:rsidR="00C654C5" w:rsidRPr="00780F3C" w:rsidRDefault="00086763" w:rsidP="00B363C5">
            <w:pPr>
              <w:pStyle w:val="Tekstpodstawowy"/>
              <w:spacing w:after="0"/>
              <w:jc w:val="both"/>
            </w:pPr>
            <w:r w:rsidRPr="00086763">
              <w:t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późn.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D60669" w:rsidP="00D60669">
            <w:pPr>
              <w:pStyle w:val="Tekstpodstawowy"/>
              <w:spacing w:after="0"/>
              <w:jc w:val="both"/>
            </w:pPr>
            <w:r w:rsidRPr="00780F3C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C654C5" w:rsidRPr="00780F3C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C654C5" w:rsidRPr="00780F3C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E47A33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80F3C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80F3C">
              <w:rPr>
                <w:kern w:val="24"/>
                <w:lang w:eastAsia="pl-PL"/>
              </w:rPr>
              <w:t xml:space="preserve"> starszy</w:t>
            </w:r>
            <w:r w:rsidR="00E47A33" w:rsidRPr="00780F3C">
              <w:rPr>
                <w:kern w:val="24"/>
                <w:lang w:eastAsia="pl-PL"/>
              </w:rPr>
              <w:t xml:space="preserve"> </w:t>
            </w:r>
            <w:r w:rsidR="00854CD5">
              <w:rPr>
                <w:kern w:val="24"/>
                <w:lang w:eastAsia="pl-PL"/>
              </w:rPr>
              <w:t>niż 2020, silnik</w:t>
            </w:r>
            <w:r w:rsidRPr="00780F3C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80F3C">
              <w:t xml:space="preserve">. </w:t>
            </w:r>
            <w:r w:rsidRPr="00780F3C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780A1D" w:rsidRPr="00F71E30" w:rsidTr="00B363C5">
        <w:trPr>
          <w:jc w:val="center"/>
        </w:trPr>
        <w:tc>
          <w:tcPr>
            <w:tcW w:w="880" w:type="dxa"/>
          </w:tcPr>
          <w:p w:rsidR="00780A1D" w:rsidRPr="00780F3C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780A1D" w:rsidRPr="00780F3C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80F3C">
              <w:rPr>
                <w:rFonts w:cs="Arial"/>
              </w:rPr>
              <w:t xml:space="preserve">Klasa pojazdu (wg PN-EN 1846-1 </w:t>
            </w:r>
            <w:r w:rsidR="006B6358">
              <w:t>„lub równoważny</w:t>
            </w:r>
            <w:r w:rsidRPr="00780F3C">
              <w:t>”</w:t>
            </w:r>
            <w:r w:rsidR="005955EF" w:rsidRPr="00780F3C">
              <w:rPr>
                <w:rFonts w:cs="Arial"/>
              </w:rPr>
              <w:t>): S (ciężka</w:t>
            </w:r>
            <w:r w:rsidRPr="00780F3C">
              <w:rPr>
                <w:rFonts w:cs="Arial"/>
              </w:rPr>
              <w:t>).</w:t>
            </w:r>
            <w:r w:rsidRPr="00780F3C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780F3C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81B60" w:rsidRPr="00780F3C" w:rsidRDefault="0042058F" w:rsidP="00B363C5">
            <w:pPr>
              <w:pStyle w:val="Tekstpodstawowy"/>
              <w:spacing w:after="0"/>
              <w:jc w:val="both"/>
            </w:pPr>
            <w:r w:rsidRPr="00780F3C">
              <w:t xml:space="preserve">Kategoria pojazdu </w:t>
            </w:r>
            <w:r w:rsidR="00D40FF9" w:rsidRPr="00780F3C">
              <w:t>(</w:t>
            </w:r>
            <w:r w:rsidR="006B6358">
              <w:t>wg PN-EN 1846-1 „lub równoważny</w:t>
            </w:r>
            <w:r w:rsidR="00D40FF9" w:rsidRPr="00780F3C">
              <w:t xml:space="preserve">”): 2 (uterenowiona). 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80F3C">
              <w:t xml:space="preserve">Układ napędowy </w:t>
            </w:r>
            <w:r w:rsidRPr="00780F3C">
              <w:rPr>
                <w:spacing w:val="-1"/>
              </w:rPr>
              <w:t>4 x 4 (Zamawiający dopuszcza stały napęd na wszystkie osie lub rozłączany).</w:t>
            </w:r>
          </w:p>
          <w:p w:rsidR="00C81B60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Blokady mechanizmów różnicowych w mostach napędowych, wzmocnione zawieszenie w związku ze stałym obciążeniem pojazdu.</w:t>
            </w:r>
          </w:p>
          <w:p w:rsidR="00C654C5" w:rsidRPr="00780F3C" w:rsidRDefault="00C81B60" w:rsidP="00C81B60">
            <w:pPr>
              <w:pStyle w:val="Tekstpodstawowy"/>
              <w:spacing w:after="0"/>
              <w:jc w:val="both"/>
            </w:pPr>
            <w:r w:rsidRPr="00780F3C">
              <w:t>Oś tylna z kołami bliźniaczymi.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Ogumienie z bieżnikiem dostosowanym do różnych warunków terenowych i atmosferycznych rok produkcji nie</w:t>
            </w:r>
            <w:r w:rsidR="00027BED" w:rsidRPr="00780F3C">
              <w:t xml:space="preserve"> starsze</w:t>
            </w:r>
            <w:r w:rsidRPr="00780F3C">
              <w:t xml:space="preserve"> niż </w:t>
            </w:r>
            <w:r w:rsidR="00D60669" w:rsidRPr="00780F3C">
              <w:t>2020</w:t>
            </w:r>
            <w:r w:rsidRPr="00780F3C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Pełnowymiarowe koło zapasowe</w:t>
            </w:r>
            <w:r w:rsidR="00E47A33" w:rsidRPr="00780F3C">
              <w:t xml:space="preserve"> bez stałego zamocowania na pojeździe.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Silnik z zapłonem samoczynnym, z turbodoładowaniem, spełniający normy emisji spalin nie gorsze niż Euro 6. </w:t>
            </w:r>
            <w:r w:rsidR="0042058F" w:rsidRPr="00780F3C">
              <w:t>Mo</w:t>
            </w:r>
            <w:r w:rsidR="002E7E08">
              <w:t xml:space="preserve">c </w:t>
            </w:r>
            <w:r w:rsidR="002E7E08">
              <w:lastRenderedPageBreak/>
              <w:t>maksymalna silnika minimum 230</w:t>
            </w:r>
            <w:r w:rsidRPr="00780F3C">
              <w:t xml:space="preserve"> kW.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80F3C">
              <w:rPr>
                <w:iCs/>
                <w:lang w:eastAsia="pl-PL"/>
              </w:rPr>
              <w:t>W przypadku stosowania</w:t>
            </w:r>
            <w:r w:rsidRPr="00780F3C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780F3C">
              <w:t xml:space="preserve"> 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E47A33" w:rsidP="00B363C5">
            <w:pPr>
              <w:pStyle w:val="Tekstpodstawowy"/>
              <w:spacing w:after="0"/>
              <w:jc w:val="both"/>
            </w:pPr>
            <w:bookmarkStart w:id="3" w:name="OLE_LINK1"/>
            <w:r w:rsidRPr="00780F3C">
              <w:t>Automatyczna skrzynia biegów z hydrokinetycznym zmiennikiem momentu obrotowego</w:t>
            </w:r>
            <w:bookmarkEnd w:id="3"/>
            <w:r w:rsidRPr="00780F3C">
              <w:t>, skrzynia biegów zautomatyzowana bez pedału sprzęgła.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trHeight w:val="51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80F3C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CA5CBE">
        <w:trPr>
          <w:trHeight w:val="1301"/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7E10A7" w:rsidP="00B363C5">
            <w:pPr>
              <w:pStyle w:val="Tekstpodstawowy"/>
              <w:spacing w:after="0"/>
              <w:jc w:val="both"/>
            </w:pPr>
            <w:r w:rsidRPr="00780F3C">
              <w:t>Pojazd wyposażony w</w:t>
            </w:r>
            <w:r w:rsidR="00C654C5" w:rsidRPr="00780F3C">
              <w:t xml:space="preserve"> dwa zaczepy typu „szekla” z przodu i </w:t>
            </w:r>
            <w:r w:rsidRPr="00780F3C">
              <w:t xml:space="preserve">dwa zaczepy typu „szekla” z </w:t>
            </w:r>
            <w:r w:rsidR="00C654C5" w:rsidRPr="00780F3C">
              <w:t xml:space="preserve">tyłu. Każdy zaczep musi wytrzymać obciążenie minimum 100 kN.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Z tyłu, pojazd wyposażony w zaczep holowniczy paszczowy typu 40, wg PN-92/S-48023 posiadający homologację lub znak bezpieczeństwa, instalację </w:t>
            </w:r>
            <w:r w:rsidRPr="00780F3C">
              <w:rPr>
                <w:spacing w:val="1"/>
              </w:rPr>
              <w:t xml:space="preserve">elektryczną i pneumatyczną do holowania przyczepy o minimalnej DMC 8,0 ton, </w:t>
            </w:r>
            <w:r w:rsidRPr="00780F3C">
              <w:rPr>
                <w:bCs/>
              </w:rPr>
              <w:t>wyposażonej w system ABS.</w:t>
            </w:r>
            <w:r w:rsidRPr="00780F3C">
              <w:t xml:space="preserve">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Pojazd wyposażony w zaczep holowniczy z przodu.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Prędkość maksymalna pojazdu, ogranicz</w:t>
            </w:r>
            <w:r w:rsidR="00A7786F">
              <w:t>ona elektronicznie do minimum 100</w:t>
            </w:r>
            <w:r w:rsidRPr="00780F3C">
              <w:t xml:space="preserve"> km/h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Kabina</w:t>
            </w:r>
            <w:r w:rsidR="00C81B60" w:rsidRPr="00780F3C">
              <w:t xml:space="preserve"> jednomodułowa </w:t>
            </w:r>
            <w:r w:rsidR="00667210" w:rsidRPr="00780F3C">
              <w:t>6</w:t>
            </w:r>
            <w:r w:rsidR="00D40FF9" w:rsidRPr="00780F3C">
              <w:t>-osobowa</w:t>
            </w:r>
            <w:r w:rsidR="00C81B60" w:rsidRPr="00780F3C">
              <w:t xml:space="preserve"> (1+1+4)</w:t>
            </w:r>
            <w:r w:rsidRPr="00780F3C">
              <w:t>,</w:t>
            </w:r>
            <w:r w:rsidR="00C81B60" w:rsidRPr="00780F3C">
              <w:t xml:space="preserve"> 4 drzwiowa,</w:t>
            </w:r>
            <w:r w:rsidRPr="00780F3C">
              <w:t xml:space="preserve"> </w:t>
            </w:r>
            <w:r w:rsidR="00086763" w:rsidRPr="00086763">
              <w:t>pochodząca od tego samego producenta</w:t>
            </w:r>
            <w:r w:rsidR="00086763">
              <w:t>,</w:t>
            </w:r>
            <w:r w:rsidR="00086763" w:rsidRPr="00086763">
              <w:t xml:space="preserve"> </w:t>
            </w:r>
            <w:r w:rsidRPr="00780F3C">
              <w:t xml:space="preserve">wyposażona w klimatyzację producenta pojazdu oraz niezależny układ ogrzewania i wentylacji, umożliwiający ogrzewanie kabiny przy wyłączonym silniku, </w:t>
            </w:r>
            <w:r w:rsidRPr="00780F3C">
              <w:rPr>
                <w:spacing w:val="1"/>
              </w:rPr>
              <w:t>niezależnie od wartości temperatury zewnętrznej.</w:t>
            </w:r>
            <w:r w:rsidRPr="00780F3C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E47A33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 fotelami załogi mocowanie na 4 aparaty powietrzne umożliwiające: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- jednoczesne przewożenie aparatów z butlami powietrznymi różnego rodzaju,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lastRenderedPageBreak/>
              <w:t xml:space="preserve">- odblokowanie każdego aparatu indywidualnie (dźwignia </w:t>
            </w:r>
            <w:r w:rsidR="00854CD5">
              <w:t>odblokowująca o konstrukcji nie</w:t>
            </w:r>
            <w:r w:rsidRPr="00780F3C">
              <w:t>umożliwiającej przypadkowe odblokowanie np. w czasie hamowania pojazdu).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Zamontowane aparaty powietrzne nie mogą zajmować przestrzeni siedzenia dla załogi.</w:t>
            </w:r>
          </w:p>
          <w:p w:rsidR="00E47A33" w:rsidRPr="00780F3C" w:rsidRDefault="00E47A33" w:rsidP="00E47A33">
            <w:pPr>
              <w:pStyle w:val="Tekstpodstawowy"/>
              <w:spacing w:after="0"/>
              <w:jc w:val="both"/>
            </w:pPr>
            <w:r w:rsidRPr="00780F3C">
              <w:t>Uchwyt (uchwyty) do trzymania się podczas jazdy dla tylnego przedziału załogi.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B363C5">
        <w:trPr>
          <w:jc w:val="center"/>
        </w:trPr>
        <w:tc>
          <w:tcPr>
            <w:tcW w:w="880" w:type="dxa"/>
          </w:tcPr>
          <w:p w:rsidR="00121EB3" w:rsidRPr="00780F3C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121EB3" w:rsidRPr="00780F3C" w:rsidRDefault="00121EB3" w:rsidP="00B363C5">
            <w:pPr>
              <w:pStyle w:val="Tekstpodstawowy"/>
              <w:spacing w:after="0"/>
              <w:jc w:val="both"/>
            </w:pPr>
            <w:r w:rsidRPr="00780F3C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:rsidR="00121EB3" w:rsidRPr="00780F3C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C81B60" w:rsidRPr="00F71E30" w:rsidTr="00B363C5">
        <w:trPr>
          <w:jc w:val="center"/>
        </w:trPr>
        <w:tc>
          <w:tcPr>
            <w:tcW w:w="880" w:type="dxa"/>
          </w:tcPr>
          <w:p w:rsidR="00C81B60" w:rsidRPr="00780F3C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3D39C1" w:rsidRPr="002829B2" w:rsidRDefault="00C81B60" w:rsidP="00C81B60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Wymiary:</w:t>
            </w:r>
          </w:p>
          <w:p w:rsidR="00C81B60" w:rsidRDefault="00E47A33" w:rsidP="002829B2">
            <w:pPr>
              <w:jc w:val="both"/>
              <w:rPr>
                <w:sz w:val="20"/>
              </w:rPr>
            </w:pPr>
            <w:r w:rsidRPr="002829B2">
              <w:rPr>
                <w:sz w:val="20"/>
              </w:rPr>
              <w:t>Wysokość całkowita</w:t>
            </w:r>
            <w:r w:rsidR="00086763" w:rsidRPr="002829B2">
              <w:rPr>
                <w:sz w:val="20"/>
              </w:rPr>
              <w:t xml:space="preserve"> pojazdu</w:t>
            </w:r>
            <w:r w:rsidRPr="002829B2">
              <w:rPr>
                <w:sz w:val="20"/>
              </w:rPr>
              <w:t xml:space="preserve"> max. </w:t>
            </w:r>
            <w:r w:rsidR="006D33B0">
              <w:rPr>
                <w:sz w:val="20"/>
              </w:rPr>
              <w:t>340</w:t>
            </w:r>
            <w:r w:rsidR="00604BA1">
              <w:rPr>
                <w:sz w:val="20"/>
              </w:rPr>
              <w:t xml:space="preserve">0 mm, </w:t>
            </w:r>
            <w:r w:rsidR="00604BA1" w:rsidRPr="00604BA1">
              <w:rPr>
                <w:sz w:val="20"/>
              </w:rPr>
              <w:t>(do wysokości całkowitej nie wlicza się anten oraz ich mocowań).</w:t>
            </w:r>
          </w:p>
          <w:p w:rsidR="00604BA1" w:rsidRPr="002829B2" w:rsidRDefault="00604BA1" w:rsidP="002829B2">
            <w:pPr>
              <w:jc w:val="both"/>
              <w:rPr>
                <w:sz w:val="20"/>
              </w:rPr>
            </w:pPr>
            <w:r w:rsidRPr="00604BA1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C81B60" w:rsidRPr="00780F3C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81B60" w:rsidRPr="00F71E30" w:rsidRDefault="00C81B60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5236B1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radio samochodowe z odtwarzaczem mp3,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:rsidR="00C654C5" w:rsidRPr="00780F3C" w:rsidRDefault="00C654C5" w:rsidP="00B363C5">
            <w:pPr>
              <w:pStyle w:val="Tekstpodstawowy"/>
              <w:spacing w:after="0"/>
              <w:jc w:val="both"/>
            </w:pPr>
            <w:r w:rsidRPr="00780F3C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B363C5">
        <w:trPr>
          <w:jc w:val="center"/>
        </w:trPr>
        <w:tc>
          <w:tcPr>
            <w:tcW w:w="880" w:type="dxa"/>
          </w:tcPr>
          <w:p w:rsidR="00C654C5" w:rsidRPr="00780F3C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C654C5" w:rsidRPr="00780F3C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54C5" w:rsidRPr="00780F3C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7B6C8D" w:rsidRPr="00780F3C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7B6C8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:rsidR="00C654C5" w:rsidRPr="00854CD5" w:rsidRDefault="00854CD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54CD5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F425FC">
        <w:trPr>
          <w:trHeight w:val="316"/>
          <w:jc w:val="center"/>
        </w:trPr>
        <w:tc>
          <w:tcPr>
            <w:tcW w:w="880" w:type="dxa"/>
          </w:tcPr>
          <w:p w:rsidR="00C654C5" w:rsidRPr="00780F3C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 xml:space="preserve">Wszystkie podzespoły zestawu jednego producenta lub równoważne zaakceptowane przez producenta oferowanego </w:t>
            </w:r>
            <w:r>
              <w:lastRenderedPageBreak/>
              <w:t>radiotelefonu z wyjątkiem anteny.</w:t>
            </w:r>
          </w:p>
          <w:p w:rsidR="00CE2A7A" w:rsidRPr="00780F3C" w:rsidRDefault="009E5D28" w:rsidP="009E5D28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780F3C" w:rsidRDefault="00C654C5" w:rsidP="00B363C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975F4F" w:rsidRDefault="00C654C5" w:rsidP="00B363C5">
            <w:pPr>
              <w:rPr>
                <w:sz w:val="20"/>
                <w:szCs w:val="20"/>
              </w:rPr>
            </w:pPr>
          </w:p>
        </w:tc>
      </w:tr>
      <w:tr w:rsidR="00286A04" w:rsidRPr="00F71E30" w:rsidTr="00F425FC">
        <w:trPr>
          <w:trHeight w:val="635"/>
          <w:jc w:val="center"/>
        </w:trPr>
        <w:tc>
          <w:tcPr>
            <w:tcW w:w="880" w:type="dxa"/>
          </w:tcPr>
          <w:p w:rsidR="00286A04" w:rsidRPr="00545C61" w:rsidRDefault="006B6358" w:rsidP="00286A04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2.17</w:t>
            </w:r>
            <w:r w:rsidR="00286A04" w:rsidRPr="00545C61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9E5D28" w:rsidRDefault="009E5D28" w:rsidP="009E5D28">
            <w:pPr>
              <w:pStyle w:val="Tekstpodstawowy"/>
              <w:jc w:val="both"/>
            </w:pPr>
            <w: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E5D28" w:rsidRDefault="009E5D28" w:rsidP="009E5D28">
            <w:pPr>
              <w:pStyle w:val="Tekstpodstawowy"/>
              <w:jc w:val="both"/>
            </w:pPr>
            <w:r>
              <w:t xml:space="preserve">Dedykowana samochodowa ładowarka 2 pozycyjna </w:t>
            </w:r>
            <w:r w:rsidR="00803994">
              <w:t xml:space="preserve">lub 2 ładowarki jednopozycyjne </w:t>
            </w:r>
            <w:r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780F3C" w:rsidRDefault="009E5D28" w:rsidP="009E5D28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286A04" w:rsidRPr="00780F3C" w:rsidRDefault="00286A04" w:rsidP="00160C7F">
            <w:pPr>
              <w:rPr>
                <w:strike/>
                <w:sz w:val="20"/>
                <w:szCs w:val="20"/>
              </w:rPr>
            </w:pPr>
          </w:p>
          <w:p w:rsidR="008B5184" w:rsidRPr="00780F3C" w:rsidRDefault="000E3437" w:rsidP="00286A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B5184" w:rsidRPr="00780F3C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286A04" w:rsidRPr="00F71E30" w:rsidRDefault="00286A04" w:rsidP="00286A04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9E5D28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</w:t>
            </w: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0B5EB1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B5EB1">
              <w:rPr>
                <w:rFonts w:ascii="Times New Roman" w:hAnsi="Times New Roman" w:cs="Times New Roman"/>
                <w:b w:val="0"/>
                <w:sz w:val="20"/>
                <w:szCs w:val="20"/>
              </w:rPr>
              <w:t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80F3C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80F3C">
                <w:rPr>
                  <w:sz w:val="20"/>
                  <w:szCs w:val="20"/>
                </w:rPr>
                <w:t>2 cale</w:t>
              </w:r>
            </w:smartTag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rozdzielczość nagrywania – Full HD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osiowy sensor przeciążeń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obsługa kart pamięci minimum 64GB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kąt widzenia kamery minimum 130 stopni.</w:t>
            </w:r>
          </w:p>
          <w:p w:rsidR="006B6358" w:rsidRPr="00780F3C" w:rsidRDefault="006B635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W kabinie załogi pojazdu umieszczone i zamocowane 2 szt. ładowarek z ręcznymi latarkami elektrycznymi </w:t>
            </w:r>
            <w:r w:rsidRPr="00780F3C">
              <w:rPr>
                <w:spacing w:val="1"/>
              </w:rPr>
              <w:lastRenderedPageBreak/>
              <w:t>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2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Na dachu pojazdu zamontowane urządzenie sygnalizacyjno – ostrzegawcze, akustyczne i świetlne wykonane w technologii LED. Belka świetlna montowana na dachu kabiny. Długość belki nie mniejsza niż 1400mm, pokrywa górna belki wykonana w kolorze niebieskim. 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puszcza się n</w:t>
            </w:r>
            <w:r w:rsidRPr="00780F3C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Oświetlenie typu LED nad drzwiami po obu stronach kabiny.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80F3C">
                <w:rPr>
                  <w:sz w:val="20"/>
                  <w:szCs w:val="20"/>
                </w:rPr>
                <w:t>7 metrów</w:t>
              </w:r>
            </w:smartTag>
            <w:r w:rsidRPr="00780F3C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80F3C">
                <w:rPr>
                  <w:sz w:val="20"/>
                  <w:szCs w:val="20"/>
                </w:rPr>
                <w:t>1 metra</w:t>
              </w:r>
            </w:smartTag>
            <w:r w:rsidRPr="00780F3C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B6358" w:rsidRPr="000E3437" w:rsidRDefault="006B6358" w:rsidP="000E3437">
            <w:pPr>
              <w:pStyle w:val="Tekstkomentarza"/>
              <w:rPr>
                <w:strike/>
              </w:rPr>
            </w:pPr>
            <w:r w:rsidRPr="00780F3C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ledy. 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:rsidR="006B6358" w:rsidRPr="00780F3C" w:rsidRDefault="006B635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Minimum jedna lampa błyskowa w kolorze niebieskim  wykonana w technologii LED po lewej stronie z tyłu pojazdu. Pojazd musi być wyposażony w wyłącznik, tylnej niebieskiej lampy alarmowej w przypadku jazdy w kolumnie</w:t>
            </w:r>
          </w:p>
          <w:p w:rsidR="006B6358" w:rsidRPr="00780F3C" w:rsidRDefault="006B635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561C2C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561C2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="006B6358" w:rsidRPr="00561C2C">
              <w:rPr>
                <w:sz w:val="20"/>
                <w:szCs w:val="20"/>
              </w:rPr>
              <w:t>szt.</w:t>
            </w:r>
            <w:r w:rsidR="006B6358" w:rsidRPr="00780F3C">
              <w:rPr>
                <w:sz w:val="20"/>
                <w:szCs w:val="20"/>
              </w:rPr>
              <w:t xml:space="preserve"> reflektorów LED zamontowanych na orurowaniu dedykowanym do danej marki samochodu zamontowanej na dachu pojazdu lub z przodu na masce pojazdu uruchamianych oddzielnym włącznikiem.</w:t>
            </w:r>
            <w:r w:rsidR="006B6358" w:rsidRPr="00780F3C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80F3C">
                <w:rPr>
                  <w:sz w:val="20"/>
                  <w:szCs w:val="20"/>
                </w:rPr>
                <w:t>60 cm</w:t>
              </w:r>
            </w:smartTag>
            <w:r w:rsidRPr="00780F3C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:rsidR="006B6358" w:rsidRPr="00780F3C" w:rsidRDefault="006B6358" w:rsidP="00622F25">
            <w:pPr>
              <w:rPr>
                <w:sz w:val="20"/>
                <w:szCs w:val="20"/>
              </w:rPr>
            </w:pPr>
            <w:r w:rsidRPr="00780F3C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80F3C">
              <w:rPr>
                <w:spacing w:val="-1"/>
                <w:sz w:val="20"/>
                <w:szCs w:val="20"/>
              </w:rPr>
              <w:t xml:space="preserve">antypoślizgowym, </w:t>
            </w:r>
            <w:r w:rsidRPr="00780F3C">
              <w:rPr>
                <w:sz w:val="20"/>
                <w:szCs w:val="20"/>
              </w:rPr>
              <w:t>w</w:t>
            </w:r>
            <w:r w:rsidRPr="00780F3C">
              <w:rPr>
                <w:bCs/>
                <w:sz w:val="20"/>
                <w:szCs w:val="20"/>
              </w:rPr>
              <w:t>yposażony w oświetlenie przestrzeni roboczej</w:t>
            </w:r>
            <w:r w:rsidRPr="00780F3C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80F3C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80F3C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rPr>
                <w:spacing w:val="4"/>
              </w:rPr>
              <w:t xml:space="preserve">Instalacja elektryczna 24V, jednoprzewodowa. </w:t>
            </w:r>
            <w:r w:rsidRPr="00780F3C">
              <w:rPr>
                <w:spacing w:val="2"/>
              </w:rPr>
              <w:t xml:space="preserve">Moc alternatora </w:t>
            </w:r>
            <w:r w:rsidRPr="00780F3C">
              <w:t>musi zapewniać pełne zapotrzebowanie na energię elektryczną przy jej maksymalnym obciążeniu.</w:t>
            </w:r>
          </w:p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Pojazd powinien być wyposażony w integralny układ prostowniczy do ładowania akumulatorów 24 V </w:t>
            </w:r>
            <w:r w:rsidRPr="00780F3C">
              <w:rPr>
                <w:kern w:val="24"/>
                <w:lang w:eastAsia="pl-PL"/>
              </w:rPr>
              <w:t>dostosowany do pojemności akumulatorów pojazdu</w:t>
            </w:r>
            <w:r w:rsidRPr="00780F3C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10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:rsidR="006B6358" w:rsidRPr="00780F3C" w:rsidRDefault="006B6358" w:rsidP="00622F25">
            <w:pPr>
              <w:pStyle w:val="Tekstpodstawowy"/>
              <w:spacing w:after="0"/>
              <w:jc w:val="both"/>
            </w:pPr>
            <w:r w:rsidRPr="00780F3C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80F3C">
                <w:t>20 A</w:t>
              </w:r>
            </w:smartTag>
            <w:r w:rsidRPr="00780F3C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76319">
            <w:pPr>
              <w:pStyle w:val="Tekstpodstawowy"/>
              <w:spacing w:after="0"/>
              <w:ind w:right="-34"/>
              <w:jc w:val="both"/>
            </w:pPr>
            <w:r w:rsidRPr="00780F3C">
              <w:t>Pojazd musi być wyposażony w sygnalizację włączonego biegu wstecznego dźwiękową (brzęczyk – sygnał przerywany), świetlną (dodatkowy reflektor halogenowy o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80F3C">
                <w:rPr>
                  <w:sz w:val="20"/>
                  <w:szCs w:val="20"/>
                </w:rPr>
                <w:t>250 mm</w:t>
              </w:r>
            </w:smartTag>
            <w:r w:rsidRPr="00780F3C">
              <w:rPr>
                <w:sz w:val="20"/>
                <w:szCs w:val="20"/>
              </w:rPr>
              <w:t xml:space="preserve"> poza </w:t>
            </w:r>
            <w:r w:rsidRPr="00780F3C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B6358" w:rsidRPr="00780F3C" w:rsidRDefault="006B6358" w:rsidP="000E3437">
            <w:pPr>
              <w:jc w:val="both"/>
            </w:pPr>
            <w:r w:rsidRPr="00780F3C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80F3C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pStyle w:val="Tekstpodstawowy"/>
              <w:spacing w:after="0"/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numPr>
                <w:ilvl w:val="1"/>
                <w:numId w:val="1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1"/>
              </w:rPr>
              <w:t xml:space="preserve">Skrytki na sprzęt i wyposażenie zamykane </w:t>
            </w:r>
            <w:r w:rsidRPr="00780F3C">
              <w:rPr>
                <w:spacing w:val="2"/>
              </w:rPr>
              <w:t xml:space="preserve">żaluzjami kroplo i pyłoszczelnymi wspomaganymi systemem </w:t>
            </w:r>
            <w:r w:rsidRPr="00780F3C">
              <w:rPr>
                <w:spacing w:val="1"/>
              </w:rPr>
              <w:t xml:space="preserve">sprężynowym wykonane z materiałów odpornych na korozję, </w:t>
            </w:r>
            <w:r w:rsidRPr="00780F3C">
              <w:t xml:space="preserve">wyposażone w rurowe uchwyty oraz zamki zamykane na klucz, jeden </w:t>
            </w:r>
            <w:r w:rsidRPr="00780F3C">
              <w:rPr>
                <w:spacing w:val="1"/>
              </w:rPr>
              <w:t>klucz powinien pasować do wszystkich zamków, skrytek</w:t>
            </w:r>
            <w:r w:rsidRPr="00780F3C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 (listwy LED po obu stronach skrytki na całej wysokości żaluzji), włączane automatycznie po otwarciu skrytki</w:t>
            </w:r>
            <w:r w:rsidRPr="00780F3C">
              <w:rPr>
                <w:spacing w:val="1"/>
              </w:rPr>
              <w:t>, jednak nie później niż po otwarciu ¼ wysokości skrytki</w:t>
            </w:r>
            <w:r w:rsidRPr="00780F3C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80F3C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rPr>
                <w:spacing w:val="-1"/>
              </w:rPr>
              <w:t xml:space="preserve">Uchwyty, klamki wszystkich urządzeń samochodu, drzwi żaluzjowych, </w:t>
            </w:r>
            <w:r w:rsidRPr="00780F3C">
              <w:t>szuflad, podestów, tac, muszą być tak skonstruowane, aby umożliwiały ich obsługę w rękawicach.</w:t>
            </w:r>
          </w:p>
          <w:p w:rsidR="006B6358" w:rsidRPr="00780F3C" w:rsidRDefault="006B6358" w:rsidP="00622F25">
            <w:pPr>
              <w:pStyle w:val="Tekstpodstawowy"/>
              <w:jc w:val="both"/>
            </w:pPr>
            <w:r w:rsidRPr="00780F3C">
              <w:t xml:space="preserve">Zamki (systemy zamykania) szuflad, tac i podestów umożliwiających dostęp do skrytek, wzmocnione w sposób </w:t>
            </w:r>
            <w:r w:rsidRPr="00780F3C">
              <w:lastRenderedPageBreak/>
              <w:t>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3E14FA">
            <w:pPr>
              <w:pStyle w:val="Tekstpodstawowy"/>
              <w:spacing w:after="0"/>
              <w:jc w:val="center"/>
            </w:pPr>
            <w:r>
              <w:t>2.32</w:t>
            </w:r>
            <w:r w:rsidRPr="00780F3C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spacing w:after="0"/>
            </w:pPr>
            <w:r w:rsidRPr="00780F3C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4" w:name="_Hlk420789678"/>
            <w:r w:rsidRPr="00780F3C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:rsidR="006B6358" w:rsidRPr="00780F3C" w:rsidRDefault="006B6358" w:rsidP="004E5774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 wody o pojemności min 5000</w:t>
            </w:r>
            <w:r w:rsidRPr="00780F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, jednak nie większej niż 6000 d</w:t>
            </w:r>
            <w:r w:rsidRPr="00780F3C">
              <w:rPr>
                <w:sz w:val="20"/>
                <w:szCs w:val="20"/>
              </w:rPr>
              <w:t>m</w:t>
            </w:r>
            <w:r w:rsidRPr="00780F3C">
              <w:rPr>
                <w:sz w:val="20"/>
                <w:szCs w:val="20"/>
                <w:vertAlign w:val="superscript"/>
              </w:rPr>
              <w:t>3</w:t>
            </w:r>
            <w:r w:rsidRPr="00780F3C">
              <w:rPr>
                <w:sz w:val="20"/>
                <w:szCs w:val="20"/>
              </w:rPr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80F3C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bookmarkEnd w:id="4"/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:rsidR="006B6358" w:rsidRPr="00780F3C" w:rsidRDefault="006B6358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B6358" w:rsidRPr="00780F3C" w:rsidRDefault="006B6358" w:rsidP="00E72510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80F3C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:rsidR="006B6358" w:rsidRPr="00780F3C" w:rsidRDefault="006B6358" w:rsidP="00D366DB">
            <w:pPr>
              <w:pStyle w:val="Tekstpodstawowy"/>
              <w:spacing w:after="0"/>
              <w:jc w:val="both"/>
            </w:pPr>
            <w:r w:rsidRPr="00780F3C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B6358" w:rsidRPr="00780F3C" w:rsidRDefault="006B635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B6358" w:rsidRPr="00F71E30" w:rsidRDefault="006B635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pożarnicza wraz z układem wodno-pianowym</w:t>
            </w:r>
            <w:r w:rsidRPr="00780F3C">
              <w:rPr>
                <w:rFonts w:cs="Arial"/>
                <w:sz w:val="20"/>
                <w:szCs w:val="20"/>
              </w:rPr>
              <w:t xml:space="preserve">. </w:t>
            </w:r>
          </w:p>
          <w:p w:rsidR="006B6358" w:rsidRPr="00780F3C" w:rsidRDefault="006B635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 xml:space="preserve">Autopompa musi być wyposażona w automatyczny układ utrzymywania stałego ciśnienia tłoczenia, przy czym konstrukcja urządzenia powinna zapewniać automatyczne przełączanie na sterowanie ręczne i sygnalizację w </w:t>
            </w:r>
            <w:r w:rsidRPr="00780F3C">
              <w:rPr>
                <w:rFonts w:cs="Arial"/>
                <w:kern w:val="1"/>
                <w:sz w:val="20"/>
                <w:szCs w:val="20"/>
              </w:rPr>
              <w:lastRenderedPageBreak/>
              <w:t>przypadku powstania awarii.</w:t>
            </w:r>
          </w:p>
          <w:p w:rsidR="006B6358" w:rsidRPr="00780F3C" w:rsidRDefault="006B6358" w:rsidP="00E72510">
            <w:pPr>
              <w:pStyle w:val="Tekstpodstawowy"/>
              <w:spacing w:after="0"/>
            </w:pPr>
            <w:r w:rsidRPr="00780F3C">
              <w:t>Autopompa musi posiadać min. jeden punkt serwisowy na terenie Polski.</w:t>
            </w:r>
          </w:p>
        </w:tc>
        <w:tc>
          <w:tcPr>
            <w:tcW w:w="1559" w:type="dxa"/>
          </w:tcPr>
          <w:p w:rsidR="006B6358" w:rsidRPr="00780F3C" w:rsidRDefault="006B6358" w:rsidP="00C06288">
            <w:pPr>
              <w:pStyle w:val="Tekstpodstawowy"/>
              <w:rPr>
                <w:strike/>
              </w:rPr>
            </w:pPr>
            <w:r w:rsidRPr="00780F3C">
              <w:rPr>
                <w:strike/>
              </w:rPr>
              <w:lastRenderedPageBreak/>
              <w:t xml:space="preserve"> </w:t>
            </w:r>
          </w:p>
          <w:p w:rsidR="006B6358" w:rsidRPr="00780F3C" w:rsidRDefault="006B6358" w:rsidP="00C06288">
            <w:pPr>
              <w:pStyle w:val="Tekstpodstawowy"/>
              <w:ind w:left="737" w:hanging="624"/>
            </w:pPr>
            <w:r w:rsidRPr="00780F3C">
              <w:t>A 50/8</w:t>
            </w:r>
          </w:p>
          <w:p w:rsidR="006B6358" w:rsidRPr="00780F3C" w:rsidRDefault="006B6358" w:rsidP="00D366DB">
            <w:pPr>
              <w:pStyle w:val="Tekstpodstawowy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Działko wodno-pianowe </w:t>
            </w:r>
            <w:r>
              <w:rPr>
                <w:sz w:val="20"/>
                <w:szCs w:val="20"/>
              </w:rPr>
              <w:t xml:space="preserve">min. </w:t>
            </w:r>
            <w:r w:rsidRPr="00780F3C">
              <w:rPr>
                <w:sz w:val="20"/>
                <w:szCs w:val="20"/>
              </w:rPr>
              <w:t xml:space="preserve">DWP </w:t>
            </w:r>
            <w:r>
              <w:rPr>
                <w:sz w:val="20"/>
                <w:szCs w:val="20"/>
              </w:rPr>
              <w:t>32</w:t>
            </w:r>
            <w:r w:rsidRPr="00780F3C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:rsidR="006B6358" w:rsidRPr="00780F3C" w:rsidRDefault="006B6358" w:rsidP="00E72510">
            <w:pPr>
              <w:pStyle w:val="Tekstpodstawowy"/>
              <w:spacing w:after="0"/>
              <w:rPr>
                <w:highlight w:val="yellow"/>
              </w:rPr>
            </w:pPr>
            <w:r w:rsidRPr="00780F3C">
              <w:t>Przy podstawie działka powinien być zamontowany zawór odcinający kulowy ręczny. Zakres obrotu działka w płaszczyźnie pionowej - od kąta limitow</w:t>
            </w:r>
            <w:r>
              <w:t>anego obrysem pojazdu do min. 80</w:t>
            </w:r>
            <w:r w:rsidRPr="00780F3C">
              <w:rPr>
                <w:vertAlign w:val="superscript"/>
              </w:rPr>
              <w:t>o</w:t>
            </w:r>
            <w:r w:rsidRPr="00780F3C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80F3C">
              <w:rPr>
                <w:vertAlign w:val="superscript"/>
              </w:rPr>
              <w:t>3</w:t>
            </w:r>
            <w:r w:rsidRPr="00780F3C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:rsidR="006B6358" w:rsidRPr="00780F3C" w:rsidRDefault="006B6358" w:rsidP="00E72510">
            <w:pPr>
              <w:pStyle w:val="Tekstpodstawowy"/>
              <w:spacing w:after="0"/>
              <w:jc w:val="both"/>
            </w:pPr>
            <w:r w:rsidRPr="00780F3C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czterech nasad tłocznych  75,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wysokociśnieniowej linii szybkiego natarcia,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działka wodno–pianowego,</w:t>
            </w:r>
          </w:p>
          <w:p w:rsidR="006B6358" w:rsidRPr="00780F3C" w:rsidRDefault="006B6358" w:rsidP="00E72510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:rsidR="006B6358" w:rsidRPr="00780F3C" w:rsidRDefault="006B635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6B6358" w:rsidRPr="00780F3C" w:rsidRDefault="006B6358" w:rsidP="00D402F1">
            <w:pPr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B6358" w:rsidRPr="00780F3C" w:rsidRDefault="006B6358" w:rsidP="00E72510">
            <w:pPr>
              <w:pStyle w:val="Tekstpodstawowy"/>
              <w:spacing w:after="0"/>
              <w:ind w:left="72"/>
              <w:jc w:val="both"/>
            </w:pPr>
            <w:r w:rsidRPr="00780F3C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6B6358" w:rsidRPr="00780F3C" w:rsidRDefault="006B6358" w:rsidP="00D402F1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z głębokości 1,5 m  w czasie do 30 s.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lastRenderedPageBreak/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80F3C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80F3C">
              <w:rPr>
                <w:rFonts w:cs="Arial"/>
                <w:sz w:val="20"/>
                <w:szCs w:val="20"/>
              </w:rPr>
              <w:t xml:space="preserve">, </w:t>
            </w:r>
            <w:r w:rsidRPr="00780F3C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80F3C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wyłącznik silnika pojazdu,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6B6358" w:rsidRPr="00780F3C" w:rsidRDefault="006B635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6B6358" w:rsidRPr="00780F3C" w:rsidRDefault="006B635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manometr,</w:t>
            </w:r>
          </w:p>
          <w:p w:rsidR="006B6358" w:rsidRPr="00780F3C" w:rsidRDefault="006B6358" w:rsidP="0062739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- wskaźnik poziomu wody w zbiorniku,</w:t>
            </w:r>
          </w:p>
          <w:p w:rsidR="006B6358" w:rsidRPr="00780F3C" w:rsidRDefault="006B635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</w:rPr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Zbiornik wody musi być wyposażony w min. dwie nasady 75 (po 1 z każdej strony tylnej części pojazdu) 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ind w:left="113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 xml:space="preserve">Układ wodno-pianowy wyposażony w automatyczny dozownik środka pianotwórczego zapewniający uzyskiwanie minimum stężeń 3% i 6% (tolerancja </w:t>
            </w:r>
            <w:r w:rsidRPr="00780F3C">
              <w:rPr>
                <w:rFonts w:ascii="Colonna MT" w:hAnsi="Colonna MT" w:cs="Colonna MT"/>
                <w:vertAlign w:val="superscript"/>
              </w:rPr>
              <w:t>±</w:t>
            </w:r>
            <w:r w:rsidRPr="00780F3C">
              <w:t>0,5%) w pełnym zakresie wydajności pompy. Układ automatycznego dozownika, w którym zmiana przepływu spowodowana np. otwarciem kolejnej linii gaśniczej, nie wymaga zmian nastawu dla utrzymania pierwotnego stężenia. 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Konstrukcja układu wodno–pianowego powinna umożliwić jego całkowite odwodnienie przy użyciu co najwyżej dwóch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3B400C">
            <w:pPr>
              <w:pStyle w:val="Tekstpodstawowy"/>
              <w:spacing w:after="0"/>
            </w:pPr>
            <w:r w:rsidRPr="00780F3C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80F3C">
              <w:rPr>
                <w:vertAlign w:val="superscript"/>
              </w:rPr>
              <w:t>0</w:t>
            </w:r>
            <w:r w:rsidRPr="00780F3C">
              <w:t>C .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6B6358"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Pr="00780F3C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1</w:t>
            </w:r>
            <w:r w:rsidRPr="00780F3C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</w:pPr>
            <w:r w:rsidRPr="00780F3C">
              <w:rPr>
                <w:rFonts w:cs="Arial"/>
              </w:rPr>
              <w:t>Samochód wyposażony w instalację zraszaczową</w:t>
            </w:r>
            <w:r w:rsidRPr="00780F3C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80F3C">
              <w:rPr>
                <w:rFonts w:ascii="Symbol" w:hAnsi="Symbol" w:cs="Symbol"/>
                <w:bCs/>
              </w:rPr>
              <w:t></w:t>
            </w:r>
            <w:r w:rsidRPr="00780F3C">
              <w:rPr>
                <w:rFonts w:cs="Arial"/>
                <w:bCs/>
              </w:rPr>
              <w:t>100 dm</w:t>
            </w:r>
            <w:r w:rsidRPr="00780F3C">
              <w:rPr>
                <w:rFonts w:cs="Arial"/>
                <w:bCs/>
                <w:vertAlign w:val="superscript"/>
              </w:rPr>
              <w:t>3</w:t>
            </w:r>
            <w:r w:rsidRPr="00780F3C">
              <w:rPr>
                <w:rFonts w:cs="Arial"/>
                <w:bCs/>
              </w:rPr>
              <w:t xml:space="preserve"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</w:t>
            </w:r>
            <w:r w:rsidRPr="00780F3C">
              <w:rPr>
                <w:rFonts w:cs="Arial"/>
                <w:bCs/>
              </w:rPr>
              <w:lastRenderedPageBreak/>
              <w:t>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CA75D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3.22</w:t>
            </w:r>
            <w:r w:rsidR="006B6358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>Maszt do oświetlenia pola pracy, wysuwany pneumatycznie lub hydraulicznie na wysokość min. 5 m od podłoża. W przypadku masztu pneumatycznego, maszt ten powinien być zasilany z układu pneumatycznego pojazdu. Zabudowany w przedziale sprzętowym. Sterowanie masztem i najaśnicami za pomocą sterownika – pilota z przewodem o długości min 2 m. Maszt wyposażony w min. 2 najaśnice o łącznej wielkości strumienia świetlnego min. 30 000 lm. Stopień ochrony masztu i reflektorów minimum IP 55. Reflektory wykonane w  technologii LED. Każda lampa z systemem optycznym do oświetlenia optycznego dalekosiężnego szerokokątnego oraz pod masztem. Możliwość regulacji obrotu o 360o i pochylania najaśnic.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</w:p>
          <w:p w:rsidR="006B6358" w:rsidRPr="00FA20CD" w:rsidRDefault="006B6358" w:rsidP="00FA20CD">
            <w:pPr>
              <w:pStyle w:val="Tekstpodstawowy"/>
              <w:rPr>
                <w:rFonts w:cs="Arial"/>
              </w:rPr>
            </w:pPr>
            <w:r w:rsidRPr="00FA20CD">
              <w:rPr>
                <w:rFonts w:cs="Arial"/>
              </w:rPr>
              <w:t xml:space="preserve">Składanie masztu automatyczne, z dowolnego położenia do pozycji transportowej, realizowane jednym przyciskiem. </w:t>
            </w:r>
          </w:p>
          <w:p w:rsidR="006B6358" w:rsidRPr="00780F3C" w:rsidRDefault="006B6358" w:rsidP="00FA20CD">
            <w:pPr>
              <w:pStyle w:val="Tekstpodstawowy"/>
              <w:spacing w:after="0"/>
              <w:rPr>
                <w:rFonts w:cs="Arial"/>
              </w:rPr>
            </w:pPr>
            <w:r w:rsidRPr="00FA20CD">
              <w:rPr>
                <w:rFonts w:cs="Arial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780F3C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Samochód wyposażony we wciągarkę zgodną z normą PN EN 14492-1 „lub równoważną”</w:t>
            </w:r>
            <w:r>
              <w:rPr>
                <w:rFonts w:cs="Arial"/>
              </w:rPr>
              <w:t xml:space="preserve"> o maksymalnej sile uciągu min 7</w:t>
            </w:r>
            <w:r w:rsidRPr="00385A6D">
              <w:rPr>
                <w:rFonts w:cs="Arial"/>
              </w:rPr>
              <w:t>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:rsidR="006B6358" w:rsidRDefault="006B6358" w:rsidP="00CA75DD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  <w:r w:rsidR="00CA75D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6B6358" w:rsidRPr="00385A6D" w:rsidRDefault="006B6358" w:rsidP="00D402F1">
            <w:pPr>
              <w:pStyle w:val="Tekstpodstawowy"/>
              <w:spacing w:after="0"/>
              <w:rPr>
                <w:rFonts w:cs="Arial"/>
              </w:rPr>
            </w:pPr>
            <w:r w:rsidRPr="00385A6D">
              <w:rPr>
                <w:rFonts w:cs="Arial"/>
              </w:rPr>
              <w:t>Hol sztywny dostosowany do pojazdu będącego przedmiotem zamówienia</w:t>
            </w:r>
            <w:r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B6358" w:rsidRPr="00780F3C" w:rsidRDefault="006B6358" w:rsidP="00622F25">
            <w:pPr>
              <w:pStyle w:val="Tekstpodstawowy"/>
              <w:ind w:left="737" w:hanging="624"/>
              <w:jc w:val="center"/>
            </w:pPr>
            <w:r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B6358" w:rsidRPr="00F71E30" w:rsidRDefault="006B6358" w:rsidP="00622F25">
            <w:pPr>
              <w:rPr>
                <w:sz w:val="20"/>
                <w:szCs w:val="20"/>
              </w:rPr>
            </w:pPr>
          </w:p>
        </w:tc>
      </w:tr>
      <w:tr w:rsidR="006B6358" w:rsidRPr="00F71E30" w:rsidTr="0062739E">
        <w:trPr>
          <w:jc w:val="center"/>
        </w:trPr>
        <w:tc>
          <w:tcPr>
            <w:tcW w:w="880" w:type="dxa"/>
            <w:shd w:val="clear" w:color="auto" w:fill="D9D9D9"/>
          </w:tcPr>
          <w:p w:rsidR="006B6358" w:rsidRPr="00780F3C" w:rsidRDefault="006B6358" w:rsidP="00622F25">
            <w:pPr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:rsidR="006B6358" w:rsidRPr="00780F3C" w:rsidRDefault="006B635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B6358" w:rsidRPr="00F71E30" w:rsidTr="0088057F">
        <w:trPr>
          <w:trHeight w:val="922"/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W samochodzie należy zapewnić miejsce na wyposażenie ratown</w:t>
            </w:r>
            <w:r w:rsidR="00CA75DD">
              <w:rPr>
                <w:sz w:val="20"/>
                <w:szCs w:val="20"/>
              </w:rPr>
              <w:t>icze określone w punktach od 4.2</w:t>
            </w:r>
            <w:r w:rsidRPr="00780F3C">
              <w:rPr>
                <w:sz w:val="20"/>
                <w:szCs w:val="20"/>
              </w:rPr>
              <w:t xml:space="preserve">. do 4.45. oraz wykonać jego mocowania (Zamawiający/Użytkownik dostarczy posiadane wyposażenie ratownicze i ustali jego rozmieszczenie z Wykonawcą w trakcie inspekcji produkcyjnej). </w:t>
            </w:r>
          </w:p>
          <w:p w:rsidR="006B6358" w:rsidRPr="00780F3C" w:rsidRDefault="006B6358" w:rsidP="0088057F">
            <w:pPr>
              <w:jc w:val="both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CA75DD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trike/>
                <w:sz w:val="20"/>
                <w:szCs w:val="20"/>
              </w:rPr>
            </w:pPr>
          </w:p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6A6CF3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:rsidR="006B6358" w:rsidRPr="00780F3C" w:rsidRDefault="006B635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:rsidR="006B6358" w:rsidRPr="00780F3C" w:rsidRDefault="006B6358" w:rsidP="00622F25">
            <w:pPr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Pompa strumieniowa (wysysacz) lub Pompa z napędem turbinowym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80F3C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Zasysacz liniowy z wężykiem co najmniej typu Z-4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4.19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Działko wodno-pianowe DWP 24 przenośne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lastRenderedPageBreak/>
              <w:t>4.25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4.29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Pływak z zatrzaśnikiem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</w:t>
            </w:r>
            <w:r w:rsidRPr="00780F3C">
              <w:rPr>
                <w:sz w:val="20"/>
                <w:szCs w:val="20"/>
              </w:rPr>
              <w:t xml:space="preserve"> </w:t>
            </w:r>
            <w:r w:rsidRPr="00780F3C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4E328E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4.39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 xml:space="preserve">Latarka akumulatorowa w wykonaniu co najmniej IP 65, wraz z ładowarką. </w:t>
            </w:r>
          </w:p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Radiotelefon przenośny z ładowarką, zasilaną z instalacji samochodu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2 kpl.</w:t>
            </w:r>
          </w:p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B6358" w:rsidRPr="00F71E30" w:rsidTr="00751C51">
        <w:trPr>
          <w:jc w:val="center"/>
        </w:trPr>
        <w:tc>
          <w:tcPr>
            <w:tcW w:w="880" w:type="dxa"/>
          </w:tcPr>
          <w:p w:rsidR="006B6358" w:rsidRPr="00780F3C" w:rsidRDefault="006B635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80F3C">
              <w:rPr>
                <w:sz w:val="20"/>
                <w:szCs w:val="20"/>
              </w:rPr>
              <w:t>4.45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vAlign w:val="center"/>
          </w:tcPr>
          <w:p w:rsidR="006B6358" w:rsidRPr="00780F3C" w:rsidRDefault="006B6358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780F3C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6B6358" w:rsidRPr="00780F3C" w:rsidRDefault="006B635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80F3C"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6B6358" w:rsidRPr="00F71E30" w:rsidRDefault="006B6358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752" w:rsidRDefault="00B54752" w:rsidP="00902D9D">
      <w:r>
        <w:separator/>
      </w:r>
    </w:p>
  </w:endnote>
  <w:endnote w:type="continuationSeparator" w:id="0">
    <w:p w:rsidR="00B54752" w:rsidRDefault="00B54752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752" w:rsidRDefault="00B54752" w:rsidP="00902D9D">
      <w:r>
        <w:separator/>
      </w:r>
    </w:p>
  </w:footnote>
  <w:footnote w:type="continuationSeparator" w:id="0">
    <w:p w:rsidR="00B54752" w:rsidRDefault="00B54752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6AD60E3A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5"/>
  </w:num>
  <w:num w:numId="4">
    <w:abstractNumId w:val="2"/>
  </w:num>
  <w:num w:numId="5">
    <w:abstractNumId w:val="15"/>
  </w:num>
  <w:num w:numId="6">
    <w:abstractNumId w:val="7"/>
  </w:num>
  <w:num w:numId="7">
    <w:abstractNumId w:val="18"/>
  </w:num>
  <w:num w:numId="8">
    <w:abstractNumId w:val="3"/>
  </w:num>
  <w:num w:numId="9">
    <w:abstractNumId w:val="13"/>
  </w:num>
  <w:num w:numId="10">
    <w:abstractNumId w:val="17"/>
  </w:num>
  <w:num w:numId="11">
    <w:abstractNumId w:val="6"/>
  </w:num>
  <w:num w:numId="12">
    <w:abstractNumId w:val="8"/>
  </w:num>
  <w:num w:numId="13">
    <w:abstractNumId w:val="11"/>
  </w:num>
  <w:num w:numId="14">
    <w:abstractNumId w:val="10"/>
  </w:num>
  <w:num w:numId="15">
    <w:abstractNumId w:val="14"/>
  </w:num>
  <w:num w:numId="16">
    <w:abstractNumId w:val="16"/>
  </w:num>
  <w:num w:numId="17">
    <w:abstractNumId w:val="9"/>
  </w:num>
  <w:num w:numId="18">
    <w:abstractNumId w:val="0"/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CA7"/>
    <w:rsid w:val="00010095"/>
    <w:rsid w:val="00015817"/>
    <w:rsid w:val="00027BED"/>
    <w:rsid w:val="00084F52"/>
    <w:rsid w:val="00086763"/>
    <w:rsid w:val="0009370D"/>
    <w:rsid w:val="000B2C71"/>
    <w:rsid w:val="000B5EB1"/>
    <w:rsid w:val="000B6697"/>
    <w:rsid w:val="000C6EBC"/>
    <w:rsid w:val="000D170D"/>
    <w:rsid w:val="000D1AB2"/>
    <w:rsid w:val="000E3437"/>
    <w:rsid w:val="00113902"/>
    <w:rsid w:val="00121EB3"/>
    <w:rsid w:val="00125533"/>
    <w:rsid w:val="00145B4F"/>
    <w:rsid w:val="001466AE"/>
    <w:rsid w:val="00160C7F"/>
    <w:rsid w:val="00180E06"/>
    <w:rsid w:val="001876B6"/>
    <w:rsid w:val="001C282D"/>
    <w:rsid w:val="001D0786"/>
    <w:rsid w:val="001D1507"/>
    <w:rsid w:val="001E7238"/>
    <w:rsid w:val="001F4DE5"/>
    <w:rsid w:val="0021641D"/>
    <w:rsid w:val="0022252E"/>
    <w:rsid w:val="002324F3"/>
    <w:rsid w:val="0023360E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B5C91"/>
    <w:rsid w:val="002B6C9D"/>
    <w:rsid w:val="002D010D"/>
    <w:rsid w:val="002E7274"/>
    <w:rsid w:val="002E7E08"/>
    <w:rsid w:val="002F3860"/>
    <w:rsid w:val="003373EF"/>
    <w:rsid w:val="00385A6D"/>
    <w:rsid w:val="00390506"/>
    <w:rsid w:val="00397273"/>
    <w:rsid w:val="003A3DF0"/>
    <w:rsid w:val="003A5030"/>
    <w:rsid w:val="003A6F5A"/>
    <w:rsid w:val="003B400C"/>
    <w:rsid w:val="003C4AE1"/>
    <w:rsid w:val="003D39C1"/>
    <w:rsid w:val="003D4FB2"/>
    <w:rsid w:val="003E14FA"/>
    <w:rsid w:val="00403CA7"/>
    <w:rsid w:val="004108E6"/>
    <w:rsid w:val="0042058F"/>
    <w:rsid w:val="00440D5F"/>
    <w:rsid w:val="004640EF"/>
    <w:rsid w:val="004721C0"/>
    <w:rsid w:val="004C152C"/>
    <w:rsid w:val="004C1980"/>
    <w:rsid w:val="004E328E"/>
    <w:rsid w:val="004E5774"/>
    <w:rsid w:val="004E728C"/>
    <w:rsid w:val="004F3B31"/>
    <w:rsid w:val="005046F6"/>
    <w:rsid w:val="005103CC"/>
    <w:rsid w:val="005236B1"/>
    <w:rsid w:val="0052796B"/>
    <w:rsid w:val="00545C61"/>
    <w:rsid w:val="00550631"/>
    <w:rsid w:val="00561C2C"/>
    <w:rsid w:val="00563490"/>
    <w:rsid w:val="00567849"/>
    <w:rsid w:val="00572D7B"/>
    <w:rsid w:val="00583C9E"/>
    <w:rsid w:val="005877F3"/>
    <w:rsid w:val="00587C50"/>
    <w:rsid w:val="005955EF"/>
    <w:rsid w:val="005A55F2"/>
    <w:rsid w:val="005B5E1D"/>
    <w:rsid w:val="005E277C"/>
    <w:rsid w:val="00604BA1"/>
    <w:rsid w:val="00614C7B"/>
    <w:rsid w:val="00622F25"/>
    <w:rsid w:val="0062739E"/>
    <w:rsid w:val="00635DF4"/>
    <w:rsid w:val="00636D64"/>
    <w:rsid w:val="00667210"/>
    <w:rsid w:val="00670464"/>
    <w:rsid w:val="00676319"/>
    <w:rsid w:val="006773C7"/>
    <w:rsid w:val="006A1BFC"/>
    <w:rsid w:val="006A47D0"/>
    <w:rsid w:val="006A6CF3"/>
    <w:rsid w:val="006B6358"/>
    <w:rsid w:val="006D2A1D"/>
    <w:rsid w:val="006D33B0"/>
    <w:rsid w:val="006F3D6D"/>
    <w:rsid w:val="00704837"/>
    <w:rsid w:val="00740EC7"/>
    <w:rsid w:val="00751C51"/>
    <w:rsid w:val="00756B21"/>
    <w:rsid w:val="007658F4"/>
    <w:rsid w:val="007671AF"/>
    <w:rsid w:val="007756A2"/>
    <w:rsid w:val="00777C71"/>
    <w:rsid w:val="00780A1D"/>
    <w:rsid w:val="00780F3C"/>
    <w:rsid w:val="00783641"/>
    <w:rsid w:val="007A2CBE"/>
    <w:rsid w:val="007B2978"/>
    <w:rsid w:val="007B6C8D"/>
    <w:rsid w:val="007E10A7"/>
    <w:rsid w:val="007E39BA"/>
    <w:rsid w:val="007E618E"/>
    <w:rsid w:val="007F19DA"/>
    <w:rsid w:val="00803994"/>
    <w:rsid w:val="00807EDA"/>
    <w:rsid w:val="008266CE"/>
    <w:rsid w:val="00840901"/>
    <w:rsid w:val="00854330"/>
    <w:rsid w:val="00854CD5"/>
    <w:rsid w:val="008567C3"/>
    <w:rsid w:val="0087037E"/>
    <w:rsid w:val="00872A4A"/>
    <w:rsid w:val="0088057F"/>
    <w:rsid w:val="008A094E"/>
    <w:rsid w:val="008B5184"/>
    <w:rsid w:val="00900649"/>
    <w:rsid w:val="00902D9D"/>
    <w:rsid w:val="00921C5B"/>
    <w:rsid w:val="0093548C"/>
    <w:rsid w:val="00937482"/>
    <w:rsid w:val="00965DC8"/>
    <w:rsid w:val="009758C2"/>
    <w:rsid w:val="00975F4F"/>
    <w:rsid w:val="00977F53"/>
    <w:rsid w:val="00984A64"/>
    <w:rsid w:val="00984E69"/>
    <w:rsid w:val="009C199A"/>
    <w:rsid w:val="009D1B7A"/>
    <w:rsid w:val="009D7493"/>
    <w:rsid w:val="009E5D28"/>
    <w:rsid w:val="009F29AD"/>
    <w:rsid w:val="00A03C80"/>
    <w:rsid w:val="00A14B1A"/>
    <w:rsid w:val="00A23A59"/>
    <w:rsid w:val="00A7786F"/>
    <w:rsid w:val="00A8594B"/>
    <w:rsid w:val="00A87DB8"/>
    <w:rsid w:val="00A9737E"/>
    <w:rsid w:val="00AA33C6"/>
    <w:rsid w:val="00AB1709"/>
    <w:rsid w:val="00AB55C7"/>
    <w:rsid w:val="00AD2118"/>
    <w:rsid w:val="00AD3001"/>
    <w:rsid w:val="00B03CAA"/>
    <w:rsid w:val="00B363C5"/>
    <w:rsid w:val="00B50883"/>
    <w:rsid w:val="00B54752"/>
    <w:rsid w:val="00B61EEE"/>
    <w:rsid w:val="00BA285E"/>
    <w:rsid w:val="00BA29B3"/>
    <w:rsid w:val="00BA3644"/>
    <w:rsid w:val="00BB2A0C"/>
    <w:rsid w:val="00BB3C07"/>
    <w:rsid w:val="00BB6AA1"/>
    <w:rsid w:val="00BC3AC6"/>
    <w:rsid w:val="00BD0405"/>
    <w:rsid w:val="00BE0DD5"/>
    <w:rsid w:val="00BE1E1D"/>
    <w:rsid w:val="00BE3B17"/>
    <w:rsid w:val="00C0439B"/>
    <w:rsid w:val="00C06288"/>
    <w:rsid w:val="00C17881"/>
    <w:rsid w:val="00C17DDC"/>
    <w:rsid w:val="00C24A3B"/>
    <w:rsid w:val="00C35125"/>
    <w:rsid w:val="00C47612"/>
    <w:rsid w:val="00C654C5"/>
    <w:rsid w:val="00C67ECD"/>
    <w:rsid w:val="00C81B60"/>
    <w:rsid w:val="00C83828"/>
    <w:rsid w:val="00C97BE4"/>
    <w:rsid w:val="00CA5A1F"/>
    <w:rsid w:val="00CA5CBE"/>
    <w:rsid w:val="00CA5FE3"/>
    <w:rsid w:val="00CA75DD"/>
    <w:rsid w:val="00CB459B"/>
    <w:rsid w:val="00CD3509"/>
    <w:rsid w:val="00CE2A7A"/>
    <w:rsid w:val="00CE31DD"/>
    <w:rsid w:val="00CF23D2"/>
    <w:rsid w:val="00CF2DBB"/>
    <w:rsid w:val="00D20D09"/>
    <w:rsid w:val="00D27B9C"/>
    <w:rsid w:val="00D366DB"/>
    <w:rsid w:val="00D379C7"/>
    <w:rsid w:val="00D402F1"/>
    <w:rsid w:val="00D40FF9"/>
    <w:rsid w:val="00D42AB3"/>
    <w:rsid w:val="00D60669"/>
    <w:rsid w:val="00DB4DC3"/>
    <w:rsid w:val="00DD103C"/>
    <w:rsid w:val="00DF586D"/>
    <w:rsid w:val="00E07CA9"/>
    <w:rsid w:val="00E3656C"/>
    <w:rsid w:val="00E47A33"/>
    <w:rsid w:val="00E514E1"/>
    <w:rsid w:val="00E51EE9"/>
    <w:rsid w:val="00E53401"/>
    <w:rsid w:val="00E72510"/>
    <w:rsid w:val="00E8354C"/>
    <w:rsid w:val="00EA110C"/>
    <w:rsid w:val="00EB578C"/>
    <w:rsid w:val="00ED0083"/>
    <w:rsid w:val="00EE1C5E"/>
    <w:rsid w:val="00EF1FD0"/>
    <w:rsid w:val="00EF5105"/>
    <w:rsid w:val="00F020B9"/>
    <w:rsid w:val="00F04C3E"/>
    <w:rsid w:val="00F0611B"/>
    <w:rsid w:val="00F23832"/>
    <w:rsid w:val="00F40C8D"/>
    <w:rsid w:val="00F425FC"/>
    <w:rsid w:val="00F434B6"/>
    <w:rsid w:val="00F71E30"/>
    <w:rsid w:val="00F93459"/>
    <w:rsid w:val="00FA20CD"/>
    <w:rsid w:val="00FA59F5"/>
    <w:rsid w:val="00FC2723"/>
    <w:rsid w:val="00FC7B38"/>
    <w:rsid w:val="00FD2F0E"/>
    <w:rsid w:val="00FE449B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C96106"/>
  <w15:docId w15:val="{96C71495-7101-4072-8EBC-C8ADE19A8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8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C34EF-06FE-42C9-ACB3-3191DD4E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18</Pages>
  <Words>6074</Words>
  <Characters>36444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11</cp:revision>
  <cp:lastPrinted>2020-07-07T06:55:00Z</cp:lastPrinted>
  <dcterms:created xsi:type="dcterms:W3CDTF">2021-05-20T12:38:00Z</dcterms:created>
  <dcterms:modified xsi:type="dcterms:W3CDTF">2021-05-25T10:58:00Z</dcterms:modified>
</cp:coreProperties>
</file>