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1EA2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0984860"/>
      <w:r w:rsidRPr="00B30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XI</w:t>
      </w:r>
    </w:p>
    <w:p w14:paraId="479C1155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951B39C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56211989"/>
      <w:r w:rsidRPr="00B302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udzielania kredytów na utrzymanie płynności finansowej przez producentów rolnych (linia UP)</w:t>
      </w:r>
    </w:p>
    <w:p w14:paraId="5E643752" w14:textId="77777777" w:rsidR="00B30245" w:rsidRPr="00B30245" w:rsidRDefault="00B30245" w:rsidP="00B30245">
      <w:pPr>
        <w:spacing w:after="0" w:line="235" w:lineRule="auto"/>
        <w:ind w:left="360" w:hanging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5AB21DA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I.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Cel i przeznaczenie kredytu</w:t>
      </w:r>
    </w:p>
    <w:p w14:paraId="513E7299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BF3F95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Pomoc w postaci dopłat do oprocentowania kredytów udzielana jest zgodnie z:</w:t>
      </w:r>
    </w:p>
    <w:p w14:paraId="3AF71577" w14:textId="2E49B0E3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warunkami określonymi w Komunikacie Komisji Tymczasowe kryzysowe ramy środków pomocy państwa w celu wsparcia gospodarki po agresji Rosji wobec Ukrainy (Dz. U. UE C 101/3 z 17.03.2023 r. z późn. zm.), zwanego dalej „tymczasowymi kryzysowymi ramami</w:t>
      </w:r>
      <w:r w:rsidR="00A71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FF4402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przepisami § 13zv rozporządzenia Rady Ministrów z dnia 27 stycznia 2015 r. w sprawie szczegółowego zakresu i sposobów realizacji niektórych zadań Agencji Restrukturyzacji i Modernizacji Rolnictwa (Dz. U. z 2015 r. poz. 187 z późn. zm.). </w:t>
      </w:r>
    </w:p>
    <w:p w14:paraId="62E0C908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8D1C9C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Kredyty na utrzymanie płynności finansowej (cel kredytu – UP </w:t>
      </w:r>
      <w:r w:rsidRPr="00B302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utrzymanie płynności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dopłatami do oprocentowania mogą być udzielane przez banki producentom rolnym, w celu poprawy płynności finansowej w związku z ograniczeniami na rynku rolnym spowodowanymi agresją Federacji Rosyjskiej wobec Ukrainy, nie później niż do dnia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grudnia 2024 r.</w:t>
      </w:r>
    </w:p>
    <w:p w14:paraId="148F6B4F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1478FC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Kredytowaniem objęta jest produkcja rolna prowadzona w ramach następujących działalności wymienionych w „Wykazie działalności (…)”, zawartym w części II:</w:t>
      </w:r>
    </w:p>
    <w:p w14:paraId="757239BB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uprawy rolne inne niż wieloletnie - 01.1,</w:t>
      </w:r>
    </w:p>
    <w:p w14:paraId="3A1DA123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uprawa roślin wieloletnich - 01.2,</w:t>
      </w:r>
    </w:p>
    <w:p w14:paraId="1DBB8C44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rozmnażanie roślin - 01.30.Z,</w:t>
      </w:r>
    </w:p>
    <w:p w14:paraId="3F00CA4B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chów i hodowla zwierząt - 01.4,</w:t>
      </w:r>
    </w:p>
    <w:p w14:paraId="1C5D84ED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uprawy rolne połączone z chowem i hodowlą zwierząt (działalność mieszana) - 01.50.Z,</w:t>
      </w:r>
    </w:p>
    <w:p w14:paraId="4AC13E3B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obróbka nasion dla celów rozmnażania roślin – 01.64.Z.</w:t>
      </w:r>
    </w:p>
    <w:p w14:paraId="727D37DF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D54911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Kredyt może zostać udzielony na uregulowanie zobowiązań finansowych związanych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prowadzeniem działalności rolniczej w gospodarstwie rolnym, z zastrzeżeniem ust. 5, oraz ponoszenie przez producentów rolnych bieżących nakładów przyczyniających się do poprawy płynności finansowej poprzez zakup m.in.:</w:t>
      </w:r>
    </w:p>
    <w:p w14:paraId="3960F01C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kwalifikowanego materiału siewnego i szkółkarskiego, </w:t>
      </w:r>
    </w:p>
    <w:p w14:paraId="56E84154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nawozów mineralnych, środków ochrony roślin, pasz treściwych i koncentratów paszowych dla zwierząt gospodarskich,</w:t>
      </w:r>
    </w:p>
    <w:p w14:paraId="271F2795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paliwa na cele rolnicze,</w:t>
      </w:r>
    </w:p>
    <w:p w14:paraId="713E4077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4) inwentarza żywego, zaliczanego zgodnie z przepisami ustawy o rachunkowości do środków obrotowych,</w:t>
      </w:r>
    </w:p>
    <w:p w14:paraId="7C3BFE0D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matek pszczelich użytkowych i reprodukcyjnych,</w:t>
      </w:r>
    </w:p>
    <w:p w14:paraId="248E3D6C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materiałów opałowych do ogrzewania szklarni i tuneli,</w:t>
      </w:r>
    </w:p>
    <w:p w14:paraId="7FD72615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pasz objętościowych.</w:t>
      </w:r>
    </w:p>
    <w:p w14:paraId="7BDCE943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EDB66F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Kredyt nie może zostać udzielony na spłatę kredytów przeznaczonych na zakup środków trwałych nabywanych w ramach realizacji inwestycji finansowanych ze środków PROW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2007-2013 lub stanowiących koszty kwalifikowalne w ramach działań PROW 2014-2020.</w:t>
      </w:r>
    </w:p>
    <w:p w14:paraId="0E7CAD5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12EDD2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II.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Kredytobiorcy</w:t>
      </w:r>
    </w:p>
    <w:p w14:paraId="513A7DDC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FB4254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Kredyt może zostać udzielony następującym podmiotom prowadzącym działalność określoną w rozdziale I ust. 3:</w:t>
      </w:r>
    </w:p>
    <w:p w14:paraId="012C6F74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osobom fizycznym  posiadającym pełną zdolność do czynności prawnych,</w:t>
      </w:r>
    </w:p>
    <w:p w14:paraId="20BC6DF0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osobom prawnym,</w:t>
      </w:r>
    </w:p>
    <w:p w14:paraId="77D25DE3" w14:textId="77777777" w:rsidR="00B30245" w:rsidRPr="00B30245" w:rsidRDefault="00B30245" w:rsidP="00B30245">
      <w:pPr>
        <w:widowControl w:val="0"/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jednostkom organizacyjnym nieposiadającym osobowości prawnej.</w:t>
      </w:r>
    </w:p>
    <w:p w14:paraId="5C68C0A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B43145" w14:textId="7D373DDE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14BA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skreślony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2F30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2" w:name="_Hlk141705831"/>
    </w:p>
    <w:p w14:paraId="47C2B1B5" w14:textId="146C0B94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Umowa kredytu może zostać zawarta z obojgiem małżonków albo tylko z jednym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nich, o ile drugi z małżonków wyrazi zgodę na jej zawarcie.</w:t>
      </w:r>
      <w:bookmarkEnd w:id="2"/>
    </w:p>
    <w:p w14:paraId="132835E3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A803BC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A3F49A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III.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Wysokość kredytu i wkład własny</w:t>
      </w:r>
    </w:p>
    <w:p w14:paraId="1CEB7F5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817D82" w14:textId="77777777" w:rsidR="00B30245" w:rsidRPr="00B30245" w:rsidRDefault="00B30245" w:rsidP="00B30245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245">
        <w:rPr>
          <w:rFonts w:ascii="Times" w:eastAsia="Times New Roman" w:hAnsi="Times" w:cs="Arial"/>
          <w:bCs/>
          <w:sz w:val="24"/>
          <w:szCs w:val="24"/>
          <w:lang w:eastAsia="pl-PL"/>
        </w:rPr>
        <w:t>1.</w:t>
      </w:r>
      <w:r w:rsidRPr="00B30245">
        <w:rPr>
          <w:rFonts w:ascii="Times" w:eastAsia="Times New Roman" w:hAnsi="Times" w:cs="Arial"/>
          <w:bCs/>
          <w:sz w:val="24"/>
          <w:szCs w:val="24"/>
          <w:lang w:eastAsia="pl-PL"/>
        </w:rPr>
        <w:tab/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 kredytów udzielonych producentowi rolnemu nie może przekroczyć kwoty:</w:t>
      </w:r>
    </w:p>
    <w:p w14:paraId="2FB8A797" w14:textId="77777777" w:rsidR="00B30245" w:rsidRPr="00B30245" w:rsidRDefault="00B30245" w:rsidP="00B3024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100 000 zł – gdy producent rolny prowadzi gospodarstwo rolne w rozumieniu przepisów o podatku rolnym o powierzchni nie większej niż 50 ha użytków rolnych;</w:t>
      </w:r>
    </w:p>
    <w:p w14:paraId="5A020AA5" w14:textId="77777777" w:rsidR="00B30245" w:rsidRPr="00B30245" w:rsidRDefault="00B30245" w:rsidP="00B30245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200 000 zł – gdy producent rolny prowadzi gospodarstwo rolne w rozumieniu przepisów o podatku rolnym o powierzchni powyżej 50 ha i nie większej niż 100 ha użytków rolnych;</w:t>
      </w:r>
    </w:p>
    <w:p w14:paraId="1B5F3E06" w14:textId="77777777" w:rsidR="00B30245" w:rsidRPr="00B30245" w:rsidRDefault="00B30245" w:rsidP="00B30245">
      <w:pPr>
        <w:spacing w:after="0" w:line="240" w:lineRule="auto"/>
        <w:ind w:left="567" w:hanging="283"/>
        <w:jc w:val="both"/>
        <w:rPr>
          <w:rFonts w:ascii="Times" w:eastAsia="Times New Roman" w:hAnsi="Times" w:cs="Arial"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400 000 zł – gdy producent rolny prowadzi gospodarstwo rolne w rozumieniu przepisów o podatku rolnym o powierzchni powyżej 100 ha użytków rolnych.</w:t>
      </w:r>
    </w:p>
    <w:p w14:paraId="2FDB3D1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C3EEE2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kwot udzielonych kredytów z linii UP nie może przekroczyć kwot, o których mowa w ust. 1</w:t>
      </w:r>
      <w:r w:rsidRPr="00B3024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14:paraId="5FAFFECF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CF3991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ustalaniu powierzchni gospodarstwa rolnego, o której mowa w ust. 1 należy wziąć pod uwagę powierzchnię użytków rolnych znajdujących się w posiadaniu producenta rolnego na dzień złożenia wniosku o kredyt z linii UP.  </w:t>
      </w:r>
    </w:p>
    <w:p w14:paraId="11E05EDF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A459C4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ustalaniu kwoty kredytu nie uwzględnia się udzielonych producentowi rolnemu kwot kredytów preferencyjnych z innych linii kredytowych.</w:t>
      </w:r>
    </w:p>
    <w:p w14:paraId="27149C5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BF14F7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kredytobiorcy nie wymaga się wniesienia wkładu własnego.</w:t>
      </w:r>
    </w:p>
    <w:p w14:paraId="299433A1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8D708B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IV. Wysokość oprocentowania</w:t>
      </w:r>
    </w:p>
    <w:p w14:paraId="0E236229" w14:textId="77777777" w:rsidR="00B30245" w:rsidRPr="00B30245" w:rsidRDefault="00B30245" w:rsidP="00B30245">
      <w:pPr>
        <w:widowControl w:val="0"/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797451" w14:textId="77777777" w:rsidR="00B30245" w:rsidRPr="00B30245" w:rsidRDefault="00B30245" w:rsidP="00B30245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" w:eastAsia="Times New Roman" w:hAnsi="Times" w:cs="Arial"/>
          <w:sz w:val="24"/>
          <w:szCs w:val="24"/>
          <w:lang w:eastAsia="pl-PL"/>
        </w:rPr>
      </w:pPr>
      <w:r w:rsidRPr="00B30245">
        <w:rPr>
          <w:rFonts w:ascii="Times" w:eastAsia="Times New Roman" w:hAnsi="Times" w:cs="Arial"/>
          <w:sz w:val="24"/>
          <w:szCs w:val="24"/>
          <w:lang w:eastAsia="pl-PL"/>
        </w:rPr>
        <w:t>1.</w:t>
      </w:r>
      <w:r w:rsidRPr="00B30245">
        <w:rPr>
          <w:rFonts w:ascii="Times" w:eastAsia="Times New Roman" w:hAnsi="Times" w:cs="Arial"/>
          <w:sz w:val="24"/>
          <w:szCs w:val="24"/>
          <w:lang w:eastAsia="pl-PL"/>
        </w:rPr>
        <w:tab/>
        <w:t>Oprocentowanie kredytu może być zmienne i nie może wynosić więcej niż stopa referencyjna WIBOR ustalana dla pożyczek na rynku międzybankowym udzielanych na okres 3 miesięcy (WIBOR 3M), zaokrąglona do drugiego miejsca po przecinku, powiększona nie więcej niż o 3 punkty procentowe. 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drugiego miesiąca poprzedzającego każdy następny kwartał.</w:t>
      </w:r>
    </w:p>
    <w:p w14:paraId="147034D3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A73D9F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Oprocentowanie należne bankowi jest płacone przez:</w:t>
      </w:r>
    </w:p>
    <w:p w14:paraId="3DF3D4BA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3" w:name="mip68035986"/>
      <w:bookmarkEnd w:id="3"/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1) kredytobiorcę - w wysokości 2%; </w:t>
      </w:r>
    </w:p>
    <w:p w14:paraId="4E34C6DA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4" w:name="mip68035987"/>
      <w:bookmarkEnd w:id="4"/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2)  Agencję - w pozostałej części. </w:t>
      </w:r>
    </w:p>
    <w:p w14:paraId="59BD6685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12E78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Bank nie może stosować kapitalizacji odsetek lub pobierać ich z góry.</w:t>
      </w:r>
    </w:p>
    <w:p w14:paraId="3A497033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6230EA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V. Wysokość pomocy</w:t>
      </w:r>
    </w:p>
    <w:p w14:paraId="07FB596D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A26AF6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Maksymalna kwota dopłat określana jest w umowie kredytu wg oprocentowania obowiązującego w dniu jej zawarcia.</w:t>
      </w:r>
    </w:p>
    <w:p w14:paraId="01EE3A56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4095FD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dzień zawarcia umowy kredytu ustala się wysokość pomocy dyskontując wartości bieżące kwot dopłat rozłożonych w czasie do ich wartości w dniu udzielenia kredytu,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wg wzoru określonego w załączniku nr 2 i wpisuje w umowie kredytu.</w:t>
      </w:r>
    </w:p>
    <w:p w14:paraId="67C6CCD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AD8BAE" w14:textId="77777777" w:rsidR="00B30245" w:rsidRPr="00B30245" w:rsidRDefault="00B30245" w:rsidP="00B302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Pomoc w formie dopłat do oprocentowania kredytu może być stosowana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kredytowania, ale przez okres nie dłuższy niż 60 miesięcy od dnia zawarcia umowy kredytu.</w:t>
      </w:r>
    </w:p>
    <w:p w14:paraId="2CD46CCD" w14:textId="77777777" w:rsidR="00B30245" w:rsidRPr="00B30245" w:rsidRDefault="00B30245" w:rsidP="00B30245">
      <w:pPr>
        <w:widowControl w:val="0"/>
        <w:spacing w:after="0" w:line="235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5EBF1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przypadku, gdy kredyt udzielony jest na okres dłuższy niż 60 miesięcy, po upływie 60 miesięcy od dnia zawarcia umowy kredytu dopłaty do jego oprocentowania nie są stosowane.</w:t>
      </w:r>
    </w:p>
    <w:p w14:paraId="09D61EFE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6FA1F4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Bank nie ponosi odpowiedzialności za przekroczenie wysokości pomocy publicznej uzyskanej przez kredytobiorcę z innych tytułów pomocy publicznej.</w:t>
      </w:r>
    </w:p>
    <w:p w14:paraId="33A509DF" w14:textId="77777777" w:rsidR="00B30245" w:rsidRPr="00B30245" w:rsidRDefault="00B30245" w:rsidP="00B302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Niniejsza pomoc może być kumulowana z innymi pomocami przyznanymi na podstawie „tymczasowych kryzysowych ram” z tytułu prowadzenia działalności w zakresie:</w:t>
      </w:r>
    </w:p>
    <w:p w14:paraId="5D789025" w14:textId="77777777" w:rsidR="00B30245" w:rsidRPr="00B30245" w:rsidRDefault="00B30245" w:rsidP="00B3024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 podstawowej produktów rolnych – łączna kwota pomocy uzyskanej w ramach „tymczasowych kryzysowych ram” nie może przekroczyć 280 000 EURO,</w:t>
      </w:r>
    </w:p>
    <w:p w14:paraId="753EB700" w14:textId="77777777" w:rsidR="00B30245" w:rsidRPr="00B30245" w:rsidRDefault="00B30245" w:rsidP="00B3024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w sektorach rybołówstwa i akwakultury – łączna kwota pomocy uzyskanej w ramach „tymczasowych kryzysowych ram” nie może przekroczyć 335 000 EURO,</w:t>
      </w:r>
    </w:p>
    <w:p w14:paraId="01FF79DC" w14:textId="77777777" w:rsidR="00B30245" w:rsidRPr="00B30245" w:rsidRDefault="00B30245" w:rsidP="00B3024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 działalność w kilku sektorach – łączna kwota pomocy uzyskanej w ramach „tymczasowych kryzysowych ram” nie może przekroczyć 2 250 000 EURO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0F28DF7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3D1A8B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Rozdział VI. Okres kredytowania i karencji</w:t>
      </w:r>
    </w:p>
    <w:p w14:paraId="273020DD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C697401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Okres kredytowania określany jest w umowie kredytu.</w:t>
      </w:r>
    </w:p>
    <w:p w14:paraId="749453A1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593EB2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Okres karencji w spłacie kredytu, który liczy się od dnia zawarcia umowy kredytu do dnia spłaty pierwszej raty kapitału określonej w umowie kredytu, nie może przekroczyć 2 lat.</w:t>
      </w:r>
    </w:p>
    <w:p w14:paraId="6FC73290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EBC0EA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 okresie objętym umową kredytu bank może:</w:t>
      </w:r>
    </w:p>
    <w:p w14:paraId="3A549B90" w14:textId="77777777" w:rsidR="00B30245" w:rsidRPr="00B30245" w:rsidRDefault="00B30245" w:rsidP="00B30245">
      <w:p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stosować prolongatę spłaty rat kapitału i odsetek, o ile określony w umowie kredytu termin ich spłaty jeszcze nie minął,</w:t>
      </w:r>
    </w:p>
    <w:p w14:paraId="5AE0B2E3" w14:textId="77777777" w:rsidR="00B30245" w:rsidRPr="00B30245" w:rsidRDefault="00B30245" w:rsidP="00B30245">
      <w:p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wydłużyć okres kredytowania poza przewidziany w umowie kredytu, o ile określony 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umowie kredytu okres kredytowania jeszcze nie minął,</w:t>
      </w:r>
    </w:p>
    <w:p w14:paraId="793B848E" w14:textId="77777777" w:rsidR="00B30245" w:rsidRPr="00B30245" w:rsidRDefault="00B30245" w:rsidP="00B30245">
      <w:pPr>
        <w:spacing w:after="0" w:line="235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 przypadkach, o których mowa w pkt. 1), 2) i 3) maksymalna kwota dopłat nie ulega zmianie.</w:t>
      </w:r>
    </w:p>
    <w:p w14:paraId="7B593079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A57996" w14:textId="77777777" w:rsidR="00B30245" w:rsidRPr="00B30245" w:rsidRDefault="00B30245" w:rsidP="00B30245">
      <w:pPr>
        <w:widowControl w:val="0"/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spłaty kredytu (kapitału lub odsetek) może przypadać wyłącznie w dzień roboczy dla banku. </w:t>
      </w:r>
    </w:p>
    <w:p w14:paraId="12362B10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3278058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VII. Warunki stosowania dopłat</w:t>
      </w:r>
    </w:p>
    <w:p w14:paraId="2D737F05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2DCAE7E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 xml:space="preserve">Dopłaty są stosowane, gdy kredytobiorca dokonuje w pełnej wysokości spłat rat kapitału 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 xml:space="preserve">i odsetek w terminach ustalonych w umowie kredytu z uwzględnieniem dodatkowo 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>7-dniowego okresu na spłatę należności.</w:t>
      </w:r>
    </w:p>
    <w:p w14:paraId="271F0326" w14:textId="77777777" w:rsidR="00B30245" w:rsidRPr="00B30245" w:rsidRDefault="00B30245" w:rsidP="00B30245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6BC88771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Bank może wyrazić zgodę na przejęcie długu przez inny podmiot, przy czym dopłaty do oprocentowania zastosowane do dnia przejęcia długu nie podlegają zwrotowi a dalsze nie są stosowane.</w:t>
      </w:r>
    </w:p>
    <w:p w14:paraId="0700F490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4AB2EB30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3.</w:t>
      </w:r>
      <w:r w:rsidRPr="00B302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  <w:t>Dopłaty do oprocentowania nie są stosowane po dniu śmierci kredytobiorcy.</w:t>
      </w:r>
    </w:p>
    <w:p w14:paraId="4CF57717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7FE68159" w14:textId="77777777" w:rsidR="00B30245" w:rsidRPr="00B30245" w:rsidRDefault="00B30245" w:rsidP="00B30245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302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Rozdział VIII. Procedura ubiegania się o kredyt</w:t>
      </w:r>
    </w:p>
    <w:p w14:paraId="48FD24EC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7E59A9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Złożenie przez wnioskodawcę w banku wniosku o kredyt z </w:t>
      </w:r>
      <w:r w:rsidRPr="00B3024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następującymi załącznikami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427FC3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oświadczeniem producenta rolnego, że ubiega się o kredyt w celu poprawy płynności finansowej oraz m.in. o tym, że kredyt nie zostanie przeznaczony na spłatę udzielonych kredytów przeznaczonych na zakup środków trwałych nabywanych 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realizacji inwestycji finansowanych ze środków PROW 2007-2013 lub stanowiących koszty kwalifikowalne w ramach działań PROW 2014-2020, sporządzonym wg wzoru określonego w załączniku nr 28,</w:t>
      </w:r>
    </w:p>
    <w:p w14:paraId="762C2DBC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producenta rolnego prowadzącego gospodarstwo rolne w rozumieniu przepisów o podatku rolnym o powierzchni powyżej 50 ha użytków rolnych dokumentami, potwierdzającymi powierzchnię użytków rolnych w gospodarstwie rolnym, takimi, jak np. nakaz płatniczy podatku rolnego, akt własności gruntów rolnych wraz z wypisem z rejestru gruntów, umowa dzierżawy gruntów rolnych wraz z wypisem z rejestru gruntów, zaświadczenie wydane przez kierownika biura powiatowego ARiMR wskazujące powierzchnię zgłoszoną do płatności bezpośrednich.</w:t>
      </w:r>
    </w:p>
    <w:p w14:paraId="17E37398" w14:textId="77777777" w:rsidR="00B30245" w:rsidRPr="00B30245" w:rsidRDefault="00B30245" w:rsidP="00B30245">
      <w:pPr>
        <w:spacing w:after="0" w:line="235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kompletem dokumentów wymaganych przez bank.</w:t>
      </w:r>
    </w:p>
    <w:p w14:paraId="0BD65016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CB0282" w14:textId="77777777" w:rsidR="00B30245" w:rsidRPr="00B30245" w:rsidRDefault="00B30245" w:rsidP="00B30245">
      <w:pPr>
        <w:spacing w:after="0" w:line="235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302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Wzór wniosku o kredyt, o którym mowa w ust. 1, określa bank. </w:t>
      </w:r>
    </w:p>
    <w:bookmarkEnd w:id="1"/>
    <w:p w14:paraId="022BF6A5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A1BB01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bookmarkEnd w:id="0"/>
    <w:p w14:paraId="369015DE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0A3C3D5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9CA895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5FC2CAD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4ACCCD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9FBA27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B5304E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20AD46A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483A333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18BA51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B0604A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6AA676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F80E3D2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B0B8CB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AE24DB" w14:textId="77777777" w:rsidR="00B30245" w:rsidRPr="00B30245" w:rsidRDefault="00B30245" w:rsidP="00B3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AC34EE3" w14:textId="77777777" w:rsidR="00B22D8C" w:rsidRPr="00B30245" w:rsidRDefault="00B22D8C"/>
    <w:sectPr w:rsidR="00B22D8C" w:rsidRPr="00B3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9E5E" w14:textId="77777777" w:rsidR="00B30245" w:rsidRDefault="00B30245" w:rsidP="00B30245">
      <w:pPr>
        <w:spacing w:after="0" w:line="240" w:lineRule="auto"/>
      </w:pPr>
      <w:r>
        <w:separator/>
      </w:r>
    </w:p>
  </w:endnote>
  <w:endnote w:type="continuationSeparator" w:id="0">
    <w:p w14:paraId="4B30BCD3" w14:textId="77777777" w:rsidR="00B30245" w:rsidRDefault="00B30245" w:rsidP="00B3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1A75" w14:textId="77777777" w:rsidR="00B30245" w:rsidRDefault="00B30245" w:rsidP="00B30245">
      <w:pPr>
        <w:spacing w:after="0" w:line="240" w:lineRule="auto"/>
      </w:pPr>
      <w:r>
        <w:separator/>
      </w:r>
    </w:p>
  </w:footnote>
  <w:footnote w:type="continuationSeparator" w:id="0">
    <w:p w14:paraId="21CE7FD7" w14:textId="77777777" w:rsidR="00B30245" w:rsidRDefault="00B30245" w:rsidP="00B30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6008B"/>
    <w:multiLevelType w:val="hybridMultilevel"/>
    <w:tmpl w:val="2560331C"/>
    <w:lvl w:ilvl="0" w:tplc="22043FC0">
      <w:start w:val="1"/>
      <w:numFmt w:val="decimal"/>
      <w:lvlText w:val="%1)"/>
      <w:lvlJc w:val="left"/>
      <w:pPr>
        <w:ind w:left="2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4" w:hanging="360"/>
      </w:pPr>
    </w:lvl>
    <w:lvl w:ilvl="2" w:tplc="0415001B" w:tentative="1">
      <w:start w:val="1"/>
      <w:numFmt w:val="lowerRoman"/>
      <w:lvlText w:val="%3."/>
      <w:lvlJc w:val="right"/>
      <w:pPr>
        <w:ind w:left="3494" w:hanging="180"/>
      </w:pPr>
    </w:lvl>
    <w:lvl w:ilvl="3" w:tplc="0415000F" w:tentative="1">
      <w:start w:val="1"/>
      <w:numFmt w:val="decimal"/>
      <w:lvlText w:val="%4."/>
      <w:lvlJc w:val="left"/>
      <w:pPr>
        <w:ind w:left="4214" w:hanging="360"/>
      </w:pPr>
    </w:lvl>
    <w:lvl w:ilvl="4" w:tplc="04150019" w:tentative="1">
      <w:start w:val="1"/>
      <w:numFmt w:val="lowerLetter"/>
      <w:lvlText w:val="%5."/>
      <w:lvlJc w:val="left"/>
      <w:pPr>
        <w:ind w:left="4934" w:hanging="360"/>
      </w:pPr>
    </w:lvl>
    <w:lvl w:ilvl="5" w:tplc="0415001B" w:tentative="1">
      <w:start w:val="1"/>
      <w:numFmt w:val="lowerRoman"/>
      <w:lvlText w:val="%6."/>
      <w:lvlJc w:val="right"/>
      <w:pPr>
        <w:ind w:left="5654" w:hanging="180"/>
      </w:pPr>
    </w:lvl>
    <w:lvl w:ilvl="6" w:tplc="0415000F" w:tentative="1">
      <w:start w:val="1"/>
      <w:numFmt w:val="decimal"/>
      <w:lvlText w:val="%7."/>
      <w:lvlJc w:val="left"/>
      <w:pPr>
        <w:ind w:left="6374" w:hanging="360"/>
      </w:pPr>
    </w:lvl>
    <w:lvl w:ilvl="7" w:tplc="04150019" w:tentative="1">
      <w:start w:val="1"/>
      <w:numFmt w:val="lowerLetter"/>
      <w:lvlText w:val="%8."/>
      <w:lvlJc w:val="left"/>
      <w:pPr>
        <w:ind w:left="7094" w:hanging="360"/>
      </w:pPr>
    </w:lvl>
    <w:lvl w:ilvl="8" w:tplc="0415001B" w:tentative="1">
      <w:start w:val="1"/>
      <w:numFmt w:val="lowerRoman"/>
      <w:lvlText w:val="%9."/>
      <w:lvlJc w:val="right"/>
      <w:pPr>
        <w:ind w:left="7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5"/>
    <w:rsid w:val="004C48A0"/>
    <w:rsid w:val="00A714BA"/>
    <w:rsid w:val="00B22D8C"/>
    <w:rsid w:val="00B30245"/>
    <w:rsid w:val="00CD142A"/>
    <w:rsid w:val="00C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E351B"/>
  <w15:chartTrackingRefBased/>
  <w15:docId w15:val="{07B02329-904F-4F3F-98D1-F9AB403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245"/>
  </w:style>
  <w:style w:type="paragraph" w:styleId="Stopka">
    <w:name w:val="footer"/>
    <w:basedOn w:val="Normalny"/>
    <w:link w:val="StopkaZnak"/>
    <w:uiPriority w:val="99"/>
    <w:unhideWhenUsed/>
    <w:rsid w:val="00B30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3DB5016-9469-4364-B75E-48583DBC7F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7732</Characters>
  <Application>Microsoft Office Word</Application>
  <DocSecurity>0</DocSecurity>
  <Lines>64</Lines>
  <Paragraphs>18</Paragraphs>
  <ScaleCrop>false</ScaleCrop>
  <Company>ARiMR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Anna</dc:creator>
  <cp:keywords/>
  <dc:description/>
  <cp:lastModifiedBy>Sokołowska Anna</cp:lastModifiedBy>
  <cp:revision>3</cp:revision>
  <dcterms:created xsi:type="dcterms:W3CDTF">2024-08-07T11:31:00Z</dcterms:created>
  <dcterms:modified xsi:type="dcterms:W3CDTF">2024-08-22T11:36:00Z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f1c4e6fb-f26a-40d8-bf3c-5dd95b637b6b</vt:lpwstr>
  </property>
  <property fmtid="{D5CDD505-2E9C-101B-9397-08002B2CF9AE}" pid="3" name="bjClsUserRVM">
    <vt:lpwstr>[]</vt:lpwstr>
  </property>
  <property fmtid="{D5CDD505-2E9C-101B-9397-08002B2CF9AE}" pid="4" name="bjSaver">
    <vt:lpwstr>jminTR1B9SECNFKkowuDEdtaF0ueXzAs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