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2A22E3D" w14:textId="77777777" w:rsidR="00C64B1B" w:rsidRDefault="00C64B1B" w:rsidP="00C64B1B">
      <w:pPr>
        <w:jc w:val="center"/>
      </w:pPr>
    </w:p>
    <w:tbl>
      <w:tblPr>
        <w:tblW w:w="15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5387"/>
        <w:gridCol w:w="2268"/>
        <w:gridCol w:w="4110"/>
      </w:tblGrid>
      <w:tr w:rsidR="00A06425" w:rsidRPr="00A06425" w14:paraId="36CFB5C6" w14:textId="77777777" w:rsidTr="00D018DA">
        <w:tc>
          <w:tcPr>
            <w:tcW w:w="15304" w:type="dxa"/>
            <w:gridSpan w:val="6"/>
            <w:shd w:val="clear" w:color="auto" w:fill="auto"/>
            <w:vAlign w:val="center"/>
          </w:tcPr>
          <w:p w14:paraId="2734FCB7" w14:textId="2989B937" w:rsidR="00A06425" w:rsidRPr="00A06425" w:rsidRDefault="00A06425" w:rsidP="00D018DA">
            <w:pPr>
              <w:spacing w:before="120" w:after="120"/>
              <w:jc w:val="both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881F80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881F80" w:rsidRPr="00881F80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>Projekt ustawy o udziale Rzeczypospolitej Polskiej w Systemie Wjazdu/Wyjazdu</w:t>
            </w:r>
          </w:p>
        </w:tc>
      </w:tr>
      <w:tr w:rsidR="00A06425" w:rsidRPr="00A06425" w14:paraId="0F8F606F" w14:textId="77777777" w:rsidTr="00D018DA">
        <w:tc>
          <w:tcPr>
            <w:tcW w:w="562" w:type="dxa"/>
            <w:shd w:val="clear" w:color="auto" w:fill="auto"/>
            <w:vAlign w:val="center"/>
          </w:tcPr>
          <w:p w14:paraId="597D36BC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3A9A0EA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D8F09F3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5387" w:type="dxa"/>
            <w:shd w:val="clear" w:color="auto" w:fill="auto"/>
            <w:vAlign w:val="center"/>
          </w:tcPr>
          <w:p w14:paraId="437D7A0E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FC04F91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4110" w:type="dxa"/>
            <w:vAlign w:val="center"/>
          </w:tcPr>
          <w:p w14:paraId="4FB93768" w14:textId="77777777" w:rsidR="00A06425" w:rsidRPr="00A06425" w:rsidRDefault="00A06425" w:rsidP="00D018DA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A06425" w:rsidRPr="00A06425" w14:paraId="30DC6954" w14:textId="77777777" w:rsidTr="00D018DA">
        <w:tc>
          <w:tcPr>
            <w:tcW w:w="562" w:type="dxa"/>
            <w:shd w:val="clear" w:color="auto" w:fill="auto"/>
          </w:tcPr>
          <w:p w14:paraId="0A733907" w14:textId="77777777"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015F6596" w14:textId="37701517" w:rsidR="00A06425" w:rsidRPr="00A06425" w:rsidRDefault="003237C6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</w:t>
            </w:r>
            <w:r w:rsidR="00881F80">
              <w:rPr>
                <w:rFonts w:asciiTheme="minorHAnsi" w:hAnsiTheme="minorHAnsi" w:cstheme="minorHAnsi"/>
                <w:b/>
                <w:sz w:val="22"/>
                <w:szCs w:val="22"/>
              </w:rPr>
              <w:t>C</w:t>
            </w:r>
          </w:p>
        </w:tc>
        <w:tc>
          <w:tcPr>
            <w:tcW w:w="1843" w:type="dxa"/>
            <w:shd w:val="clear" w:color="auto" w:fill="auto"/>
          </w:tcPr>
          <w:p w14:paraId="43C8ED21" w14:textId="7C812BB7" w:rsidR="00A06425" w:rsidRPr="00A06425" w:rsidRDefault="00A00943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Art. 3 pkt 13</w:t>
            </w:r>
          </w:p>
        </w:tc>
        <w:tc>
          <w:tcPr>
            <w:tcW w:w="5387" w:type="dxa"/>
            <w:shd w:val="clear" w:color="auto" w:fill="auto"/>
          </w:tcPr>
          <w:p w14:paraId="0E3DE954" w14:textId="66C57032" w:rsidR="00A06425" w:rsidRPr="00A06425" w:rsidRDefault="00B856E5" w:rsidP="00CA10C2">
            <w:pPr>
              <w:pStyle w:val="PKTpunkt"/>
              <w:spacing w:line="240" w:lineRule="auto"/>
              <w:ind w:left="0"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881F80">
              <w:rPr>
                <w:rFonts w:asciiTheme="minorHAnsi" w:hAnsiTheme="minorHAnsi" w:cstheme="minorHAnsi"/>
                <w:sz w:val="22"/>
                <w:szCs w:val="22"/>
              </w:rPr>
              <w:t>Zgodnie z art. 3 pkt 13</w:t>
            </w:r>
            <w:r w:rsidR="00B130CC">
              <w:rPr>
                <w:rFonts w:asciiTheme="minorHAnsi" w:hAnsiTheme="minorHAnsi" w:cstheme="minorHAnsi"/>
                <w:sz w:val="22"/>
                <w:szCs w:val="22"/>
              </w:rPr>
              <w:t xml:space="preserve"> projektu u</w:t>
            </w:r>
            <w:r w:rsidRPr="00881F80">
              <w:rPr>
                <w:rFonts w:asciiTheme="minorHAnsi" w:hAnsiTheme="minorHAnsi" w:cstheme="minorHAnsi"/>
                <w:sz w:val="22"/>
                <w:szCs w:val="22"/>
              </w:rPr>
              <w:t>prawnienie do</w:t>
            </w:r>
            <w:r w:rsidR="00CA10C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881F80">
              <w:rPr>
                <w:rFonts w:asciiTheme="minorHAnsi" w:hAnsiTheme="minorHAnsi" w:cstheme="minorHAnsi"/>
                <w:sz w:val="22"/>
                <w:szCs w:val="22"/>
              </w:rPr>
              <w:t>bezpośredniego dostępu do KSI EES w celu usunięcia danych w przypadku uzyskania przez obywatela państwa trzeciego polskiego obywatelstwa lub objęcia go zakresem art. 2 ust.</w:t>
            </w:r>
            <w:r w:rsidR="00B130CC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881F80">
              <w:rPr>
                <w:rFonts w:asciiTheme="minorHAnsi" w:hAnsiTheme="minorHAnsi" w:cstheme="minorHAnsi"/>
                <w:sz w:val="22"/>
                <w:szCs w:val="22"/>
              </w:rPr>
              <w:t>3, zgodnie z art. 35 ust. 6, przysługuje Straży Granicznej, wojewodzie, Szefowi Urzędu do Spraw Cudzoziemców, ministrowi właściwemu do spraw zagranicznych, konsulowi, ministrowi właściwemu do spraw wewnętrznych i</w:t>
            </w:r>
            <w:r w:rsidR="00B130CC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881F80">
              <w:rPr>
                <w:rFonts w:asciiTheme="minorHAnsi" w:hAnsiTheme="minorHAnsi" w:cstheme="minorHAnsi"/>
                <w:sz w:val="22"/>
                <w:szCs w:val="22"/>
              </w:rPr>
              <w:t>ministrowi właściwemu do spraw informatyzacji. Wyjaśnienia i jasnego sprecyzowania w przepisach wymaga</w:t>
            </w:r>
            <w:r w:rsidR="00881F80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881F80">
              <w:rPr>
                <w:rFonts w:asciiTheme="minorHAnsi" w:hAnsiTheme="minorHAnsi" w:cstheme="minorHAnsi"/>
                <w:sz w:val="22"/>
                <w:szCs w:val="22"/>
              </w:rPr>
              <w:t xml:space="preserve"> w jakich przypadkach usunięcia wpisu będzie dokonywać minister właściwy do spraw informatyzacji, który w</w:t>
            </w:r>
            <w:r w:rsidR="00B130CC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881F80">
              <w:rPr>
                <w:rFonts w:asciiTheme="minorHAnsi" w:hAnsiTheme="minorHAnsi" w:cstheme="minorHAnsi"/>
                <w:sz w:val="22"/>
                <w:szCs w:val="22"/>
              </w:rPr>
              <w:t>rejestrze PESEL dysponuje informacją o obywatelstwie (zarówno jego nabyciu jak i utracie)</w:t>
            </w:r>
            <w:r w:rsidR="00881F80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881F80">
              <w:rPr>
                <w:rFonts w:asciiTheme="minorHAnsi" w:hAnsiTheme="minorHAnsi" w:cstheme="minorHAnsi"/>
                <w:sz w:val="22"/>
                <w:szCs w:val="22"/>
              </w:rPr>
              <w:t xml:space="preserve"> ale także wydaje obywatelom Ukrainy objęty</w:t>
            </w:r>
            <w:r w:rsidR="00B130CC">
              <w:rPr>
                <w:rFonts w:asciiTheme="minorHAnsi" w:hAnsiTheme="minorHAnsi" w:cstheme="minorHAnsi"/>
                <w:sz w:val="22"/>
                <w:szCs w:val="22"/>
              </w:rPr>
              <w:t>ch</w:t>
            </w:r>
            <w:r w:rsidRPr="00881F80">
              <w:rPr>
                <w:rFonts w:asciiTheme="minorHAnsi" w:hAnsiTheme="minorHAnsi" w:cstheme="minorHAnsi"/>
                <w:sz w:val="22"/>
                <w:szCs w:val="22"/>
              </w:rPr>
              <w:t xml:space="preserve"> ochroną czasową w Polsce cyfrowych dokumentów (diaa.pl), o których mowa w art. 10 ust. 1 pkt 1 ustawy z dnia 12 marca 2022 r. o pomocy obywatelom Ukrainy w</w:t>
            </w:r>
            <w:r w:rsidR="00B130CC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881F80">
              <w:rPr>
                <w:rFonts w:asciiTheme="minorHAnsi" w:hAnsiTheme="minorHAnsi" w:cstheme="minorHAnsi"/>
                <w:sz w:val="22"/>
                <w:szCs w:val="22"/>
              </w:rPr>
              <w:t>związku z konfliktem zbrojnym na terytorium tego państwa (Dz. U. z 2024 r. poz. 167, z późn. zm.), które mają charakter dokumentów pobytowych. A zatem</w:t>
            </w:r>
            <w:r w:rsidR="00CD20B2">
              <w:rPr>
                <w:rFonts w:asciiTheme="minorHAnsi" w:hAnsiTheme="minorHAnsi" w:cstheme="minorHAnsi"/>
                <w:sz w:val="22"/>
                <w:szCs w:val="22"/>
              </w:rPr>
              <w:t xml:space="preserve"> należy wyjaśnić,</w:t>
            </w:r>
            <w:r w:rsidRPr="00881F80">
              <w:rPr>
                <w:rFonts w:asciiTheme="minorHAnsi" w:hAnsiTheme="minorHAnsi" w:cstheme="minorHAnsi"/>
                <w:sz w:val="22"/>
                <w:szCs w:val="22"/>
              </w:rPr>
              <w:t xml:space="preserve"> czy minister właściwy do spraw informatyzacji ma przekazywać informacje o nabyciu obywatelstwa polskiego przez cudzoziemca z rejestru PESEL czy też wydaniu dokumentu </w:t>
            </w:r>
            <w:r w:rsidR="00A00943" w:rsidRPr="00881F80">
              <w:rPr>
                <w:rFonts w:asciiTheme="minorHAnsi" w:hAnsiTheme="minorHAnsi" w:cstheme="minorHAnsi"/>
                <w:sz w:val="22"/>
                <w:szCs w:val="22"/>
              </w:rPr>
              <w:t>diaa.pl</w:t>
            </w:r>
            <w:r w:rsidR="00CD20B2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A00943" w:rsidRPr="00881F80">
              <w:rPr>
                <w:rFonts w:asciiTheme="minorHAnsi" w:hAnsiTheme="minorHAnsi" w:cstheme="minorHAnsi"/>
                <w:sz w:val="22"/>
                <w:szCs w:val="22"/>
              </w:rPr>
              <w:t xml:space="preserve"> Niezależnie od tego</w:t>
            </w:r>
            <w:r w:rsidR="00881F80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A00943" w:rsidRPr="00881F80">
              <w:rPr>
                <w:rFonts w:asciiTheme="minorHAnsi" w:hAnsiTheme="minorHAnsi" w:cstheme="minorHAnsi"/>
                <w:sz w:val="22"/>
                <w:szCs w:val="22"/>
              </w:rPr>
              <w:t xml:space="preserve"> jaka miała by być rola ministra</w:t>
            </w:r>
            <w:r w:rsidR="00881F80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A00943" w:rsidRPr="00881F80">
              <w:rPr>
                <w:rFonts w:asciiTheme="minorHAnsi" w:hAnsiTheme="minorHAnsi" w:cstheme="minorHAnsi"/>
                <w:sz w:val="22"/>
                <w:szCs w:val="22"/>
              </w:rPr>
              <w:t xml:space="preserve"> wymagają określenia zasady na jakich dane mają być przekazywane oraz szczegółowe określenie</w:t>
            </w:r>
            <w:r w:rsidR="00CD20B2">
              <w:rPr>
                <w:rFonts w:asciiTheme="minorHAnsi" w:hAnsiTheme="minorHAnsi" w:cstheme="minorHAnsi"/>
                <w:sz w:val="22"/>
                <w:szCs w:val="22"/>
              </w:rPr>
              <w:t xml:space="preserve"> tego</w:t>
            </w:r>
            <w:r w:rsidR="00A00943" w:rsidRPr="00881F80">
              <w:rPr>
                <w:rFonts w:asciiTheme="minorHAnsi" w:hAnsiTheme="minorHAnsi" w:cstheme="minorHAnsi"/>
                <w:sz w:val="22"/>
                <w:szCs w:val="22"/>
              </w:rPr>
              <w:t xml:space="preserve"> procesu w</w:t>
            </w:r>
            <w:r w:rsidR="00B130CC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="00A00943" w:rsidRPr="00881F80">
              <w:rPr>
                <w:rFonts w:asciiTheme="minorHAnsi" w:hAnsiTheme="minorHAnsi" w:cstheme="minorHAnsi"/>
                <w:sz w:val="22"/>
                <w:szCs w:val="22"/>
              </w:rPr>
              <w:t>uzasadnieniu.</w:t>
            </w:r>
          </w:p>
        </w:tc>
        <w:tc>
          <w:tcPr>
            <w:tcW w:w="2268" w:type="dxa"/>
            <w:shd w:val="clear" w:color="auto" w:fill="auto"/>
          </w:tcPr>
          <w:p w14:paraId="782CEE64" w14:textId="1E8BF909" w:rsidR="00A06425" w:rsidRPr="00A06425" w:rsidRDefault="00A00943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Propozycja powinna być poprzedzona wyjaśnieniem intencji przepisu i tego jakie dane i o czym ma przekazywać </w:t>
            </w:r>
            <w:r w:rsidR="00B130CC">
              <w:rPr>
                <w:rFonts w:asciiTheme="minorHAnsi" w:hAnsiTheme="minorHAnsi" w:cstheme="minorHAnsi"/>
                <w:sz w:val="22"/>
                <w:szCs w:val="22"/>
              </w:rPr>
              <w:t>m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inister właściwy do spraw informatyzacji.</w:t>
            </w:r>
          </w:p>
        </w:tc>
        <w:tc>
          <w:tcPr>
            <w:tcW w:w="4110" w:type="dxa"/>
          </w:tcPr>
          <w:p w14:paraId="78E5B468" w14:textId="7BB55553" w:rsidR="00D018DA" w:rsidRPr="00382E77" w:rsidRDefault="00D018DA" w:rsidP="00D018DA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82E77">
              <w:rPr>
                <w:rFonts w:asciiTheme="minorHAnsi" w:hAnsiTheme="minorHAnsi" w:cstheme="minorHAnsi"/>
                <w:b/>
                <w:sz w:val="22"/>
                <w:szCs w:val="22"/>
              </w:rPr>
              <w:t>Uwzględniono</w:t>
            </w:r>
            <w:r w:rsidR="00382E77" w:rsidRPr="00382E77">
              <w:rPr>
                <w:rFonts w:asciiTheme="minorHAnsi" w:hAnsiTheme="minorHAnsi" w:cstheme="minorHAnsi"/>
                <w:b/>
                <w:sz w:val="22"/>
                <w:szCs w:val="22"/>
              </w:rPr>
              <w:t>.</w:t>
            </w:r>
          </w:p>
          <w:p w14:paraId="103219AB" w14:textId="53B5ACDC" w:rsidR="00D018DA" w:rsidRPr="00D018DA" w:rsidRDefault="00382E77" w:rsidP="00D018DA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M</w:t>
            </w:r>
            <w:r w:rsidR="00D018DA" w:rsidRPr="00D018DA">
              <w:rPr>
                <w:rFonts w:asciiTheme="minorHAnsi" w:hAnsiTheme="minorHAnsi" w:cstheme="minorHAnsi"/>
                <w:sz w:val="22"/>
                <w:szCs w:val="22"/>
              </w:rPr>
              <w:t>inister właściwy do spra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w informatyzacji zostanie</w:t>
            </w:r>
            <w:r w:rsidR="00D018DA" w:rsidRPr="00D018DA">
              <w:rPr>
                <w:rFonts w:asciiTheme="minorHAnsi" w:hAnsiTheme="minorHAnsi" w:cstheme="minorHAnsi"/>
                <w:sz w:val="22"/>
                <w:szCs w:val="22"/>
              </w:rPr>
              <w:t xml:space="preserve"> usunięty z zapisów art. 3 ust. 1 pkt 13, gdyż zgodnie ze zgłoszoną przez Rządowe Centrum Legislacji uwagą, nie należy on do grupy organów imigracyjnych, w związku z czym nie ma podstaw prawnych do przyznania dostępu do danych systemu EES.</w:t>
            </w:r>
          </w:p>
          <w:p w14:paraId="6D0F7BDA" w14:textId="77777777" w:rsidR="00D018DA" w:rsidRPr="00D018DA" w:rsidRDefault="00D018DA" w:rsidP="00D018DA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018D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060F4605" w14:textId="77777777" w:rsidR="00D018DA" w:rsidRPr="00D018DA" w:rsidRDefault="00D018DA" w:rsidP="00D018DA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018DA">
              <w:rPr>
                <w:rFonts w:asciiTheme="minorHAnsi" w:hAnsiTheme="minorHAnsi" w:cstheme="minorHAnsi"/>
                <w:sz w:val="22"/>
                <w:szCs w:val="22"/>
              </w:rPr>
              <w:t>Odnosząc się do samej konstrukcji punktu 13 - ma on na celu nadanie uprawnienia usuwania danych z systemu EES przez organy imigracyjne, w sytuacji gdy wykonywane przez nie na podstawie odrębnych przepisów zadania, spowodują zmianę statusu obywatela państwa trzeciego zarejestrowanego w systemie EES, tj. wyłączony zostanie on za zakresu stosowania rozporządzenia 2017/2226 (art. 2).</w:t>
            </w:r>
          </w:p>
          <w:p w14:paraId="12FDEFFB" w14:textId="77777777" w:rsidR="00D018DA" w:rsidRPr="00D018DA" w:rsidRDefault="00D018DA" w:rsidP="00D018DA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018DA">
              <w:rPr>
                <w:rFonts w:asciiTheme="minorHAnsi" w:hAnsiTheme="minorHAnsi" w:cstheme="minorHAnsi"/>
                <w:sz w:val="22"/>
                <w:szCs w:val="22"/>
              </w:rPr>
              <w:t>Obowiązek usuwania danych z EES w takich przypadkach określa art. 35 ust. 6 rozporządzenia, który ponadto wskazuje 5-dniowy termin na wykonanie tej czynności.</w:t>
            </w:r>
          </w:p>
          <w:p w14:paraId="32EC3292" w14:textId="77777777" w:rsidR="00D018DA" w:rsidRPr="00D018DA" w:rsidRDefault="00D018DA" w:rsidP="00D018DA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018D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2A5CE255" w14:textId="2F0439A5" w:rsidR="00D018DA" w:rsidRPr="00D018DA" w:rsidRDefault="00D018DA" w:rsidP="00D018DA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</w:t>
            </w:r>
            <w:r w:rsidRPr="00D018DA">
              <w:rPr>
                <w:rFonts w:asciiTheme="minorHAnsi" w:hAnsiTheme="minorHAnsi" w:cstheme="minorHAnsi"/>
                <w:sz w:val="22"/>
                <w:szCs w:val="22"/>
              </w:rPr>
              <w:t xml:space="preserve">posób przekazania danych z systemu PESEL do organu imigracyjnego, który będzie realizował ww. zadania, nie jest objęty zakresem projektu ustawy,. Sam proces usuwania danych z systemu EES, na podstawie uprawnienia określonego w punkcie 13, wykonywany będzie mógł być w </w:t>
            </w:r>
            <w:r w:rsidRPr="00D018DA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przygotowywanej przez SG aplikacji WWW.EES.</w:t>
            </w:r>
          </w:p>
          <w:p w14:paraId="6EC258FA" w14:textId="5F421425" w:rsidR="00A06425" w:rsidRPr="00A06425" w:rsidRDefault="00D018DA" w:rsidP="00D018DA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</w:t>
            </w:r>
            <w:r w:rsidRPr="00D018DA">
              <w:rPr>
                <w:rFonts w:asciiTheme="minorHAnsi" w:hAnsiTheme="minorHAnsi" w:cstheme="minorHAnsi"/>
                <w:sz w:val="22"/>
                <w:szCs w:val="22"/>
              </w:rPr>
              <w:t>okument diia.pl został notyfikowany do Komisji Europejskiej jako dokument pobytowy w rozumieniu Kodeksu Granicznego Schengen, w związku z czym usunięcie danych w systemu EES powinno nastąpić najpóźniej 5 dni po wydaniu przez właściwy organ takiego dokumentu, a co za tym idzie sytuacja późniejszego uzyskania obywatelstwa przez taką osobę nie będzie już miała wpływu na system EES.</w:t>
            </w:r>
          </w:p>
        </w:tc>
      </w:tr>
      <w:tr w:rsidR="00626B3D" w:rsidRPr="00A06425" w14:paraId="0A62366F" w14:textId="77777777" w:rsidTr="00D018DA">
        <w:tc>
          <w:tcPr>
            <w:tcW w:w="562" w:type="dxa"/>
            <w:shd w:val="clear" w:color="auto" w:fill="auto"/>
          </w:tcPr>
          <w:p w14:paraId="06D28109" w14:textId="74CEF8BE" w:rsidR="00626B3D" w:rsidRPr="00A06425" w:rsidRDefault="00626B3D" w:rsidP="00626B3D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2</w:t>
            </w:r>
          </w:p>
        </w:tc>
        <w:tc>
          <w:tcPr>
            <w:tcW w:w="1134" w:type="dxa"/>
            <w:shd w:val="clear" w:color="auto" w:fill="auto"/>
          </w:tcPr>
          <w:p w14:paraId="54ACE074" w14:textId="10586FEB" w:rsidR="00626B3D" w:rsidRDefault="00626B3D" w:rsidP="00626B3D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MRPiPS</w:t>
            </w:r>
          </w:p>
        </w:tc>
        <w:tc>
          <w:tcPr>
            <w:tcW w:w="1843" w:type="dxa"/>
            <w:shd w:val="clear" w:color="auto" w:fill="auto"/>
          </w:tcPr>
          <w:p w14:paraId="072BA619" w14:textId="2BCA4F88" w:rsidR="00626B3D" w:rsidRDefault="00626B3D" w:rsidP="00626B3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OSR Pkt 6</w:t>
            </w:r>
            <w:r w:rsidRPr="00FE67BD">
              <w:rPr>
                <w:rFonts w:asciiTheme="minorHAnsi" w:hAnsiTheme="minorHAnsi" w:cstheme="minorHAnsi"/>
                <w:sz w:val="22"/>
                <w:szCs w:val="22"/>
              </w:rPr>
              <w:t>. Wpływ na sektor finansów publicznych</w:t>
            </w:r>
          </w:p>
        </w:tc>
        <w:tc>
          <w:tcPr>
            <w:tcW w:w="5387" w:type="dxa"/>
            <w:shd w:val="clear" w:color="auto" w:fill="auto"/>
          </w:tcPr>
          <w:p w14:paraId="308FCC66" w14:textId="0B59E0FD" w:rsidR="00626B3D" w:rsidRPr="00881F80" w:rsidRDefault="00626B3D" w:rsidP="00626B3D">
            <w:pPr>
              <w:pStyle w:val="PKTpunkt"/>
              <w:spacing w:line="240" w:lineRule="auto"/>
              <w:ind w:left="0"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FE67BD">
              <w:rPr>
                <w:rFonts w:asciiTheme="minorHAnsi" w:hAnsiTheme="minorHAnsi" w:cstheme="minorHAnsi"/>
                <w:sz w:val="22"/>
                <w:szCs w:val="22"/>
              </w:rPr>
              <w:t xml:space="preserve">W dołączonym do projektu ustawy </w:t>
            </w:r>
            <w:r w:rsidRPr="00FE67BD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o udziale Rzeczypospolitej Polskiej w Systemie Wjazdu/Wyjazdu </w:t>
            </w:r>
            <w:r w:rsidRPr="00FE67BD">
              <w:rPr>
                <w:rFonts w:asciiTheme="minorHAnsi" w:hAnsiTheme="minorHAnsi" w:cstheme="minorHAnsi"/>
                <w:sz w:val="22"/>
                <w:szCs w:val="22"/>
              </w:rPr>
              <w:t>(UC54 w wykazie prac legislacyjnych Rady Ministrów) dokumencie OSR tabela określa skutki w okresie 10 lat od wejścia w życie zmian [mln zł] w części „</w:t>
            </w:r>
            <w:r w:rsidRPr="002A2054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Dochody ogółem</w:t>
            </w:r>
            <w:r w:rsidRPr="00FE67BD">
              <w:rPr>
                <w:rFonts w:asciiTheme="minorHAnsi" w:hAnsiTheme="minorHAnsi" w:cstheme="minorHAnsi"/>
                <w:sz w:val="22"/>
                <w:szCs w:val="22"/>
              </w:rPr>
              <w:t>” jednocześnie dla „</w:t>
            </w:r>
            <w:r w:rsidRPr="002A2054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Fundusz Pracy oraz Fundusz Solidarnościowy</w:t>
            </w:r>
            <w:r w:rsidRPr="00FE67BD">
              <w:rPr>
                <w:rFonts w:asciiTheme="minorHAnsi" w:hAnsiTheme="minorHAnsi" w:cstheme="minorHAnsi"/>
                <w:sz w:val="22"/>
                <w:szCs w:val="22"/>
              </w:rPr>
              <w:t>”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. Fundusz Pracy powinien być ujęty odrębnie od Funduszu Solidarnościowego. </w:t>
            </w:r>
            <w:r w:rsidRPr="00FE67BD">
              <w:rPr>
                <w:rFonts w:asciiTheme="minorHAnsi" w:hAnsiTheme="minorHAnsi" w:cstheme="minorHAnsi"/>
                <w:sz w:val="22"/>
                <w:szCs w:val="22"/>
              </w:rPr>
              <w:t xml:space="preserve"> Przepis art. 26 ustawy budżetowej na rok 2024 z dnia 18 stycznia 2024 r. (Dz.U. z 2024 r. poz. 122) ustala bowiem wysokość obowiązkowej składki jedynie na Fundusz Pracy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będący</w:t>
            </w:r>
            <w:r w:rsidRPr="00FE67BD">
              <w:rPr>
                <w:rFonts w:asciiTheme="minorHAnsi" w:hAnsiTheme="minorHAnsi" w:cstheme="minorHAnsi"/>
                <w:sz w:val="22"/>
                <w:szCs w:val="22"/>
              </w:rPr>
              <w:t xml:space="preserve"> państwowy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m</w:t>
            </w:r>
            <w:r w:rsidRPr="00FE67BD">
              <w:rPr>
                <w:rFonts w:asciiTheme="minorHAnsi" w:hAnsiTheme="minorHAnsi" w:cstheme="minorHAnsi"/>
                <w:sz w:val="22"/>
                <w:szCs w:val="22"/>
              </w:rPr>
              <w:t xml:space="preserve"> fundusz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em</w:t>
            </w:r>
            <w:r w:rsidRPr="00FE67BD">
              <w:rPr>
                <w:rFonts w:asciiTheme="minorHAnsi" w:hAnsiTheme="minorHAnsi" w:cstheme="minorHAnsi"/>
                <w:sz w:val="22"/>
                <w:szCs w:val="22"/>
              </w:rPr>
              <w:t xml:space="preserve"> celowy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m (</w:t>
            </w:r>
            <w:r w:rsidRPr="00FE67BD">
              <w:rPr>
                <w:rFonts w:asciiTheme="minorHAnsi" w:hAnsiTheme="minorHAnsi" w:cstheme="minorHAnsi"/>
                <w:sz w:val="22"/>
                <w:szCs w:val="22"/>
              </w:rPr>
              <w:t>podmiot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em</w:t>
            </w:r>
            <w:r w:rsidRPr="00FE67BD">
              <w:rPr>
                <w:rFonts w:asciiTheme="minorHAnsi" w:hAnsiTheme="minorHAnsi" w:cstheme="minorHAnsi"/>
                <w:sz w:val="22"/>
                <w:szCs w:val="22"/>
              </w:rPr>
              <w:t xml:space="preserve"> sektora finansów publicznych w rozumieniu art. 9 pkt 7 ustawy </w:t>
            </w:r>
            <w:bookmarkStart w:id="0" w:name="_GoBack"/>
            <w:bookmarkEnd w:id="0"/>
            <w:r w:rsidRPr="00FE67BD">
              <w:rPr>
                <w:rFonts w:asciiTheme="minorHAnsi" w:hAnsiTheme="minorHAnsi" w:cstheme="minorHAnsi"/>
                <w:sz w:val="22"/>
                <w:szCs w:val="22"/>
              </w:rPr>
              <w:t>z dnia 27 sierpnia 2009 r. o finansach publicznych Dz.U. z 2023 r. poz. 1270, z późn. zm.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).</w:t>
            </w:r>
          </w:p>
        </w:tc>
        <w:tc>
          <w:tcPr>
            <w:tcW w:w="2268" w:type="dxa"/>
            <w:shd w:val="clear" w:color="auto" w:fill="auto"/>
          </w:tcPr>
          <w:p w14:paraId="17A12B31" w14:textId="1218EF74" w:rsidR="00626B3D" w:rsidRDefault="00626B3D" w:rsidP="00626B3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</w:t>
            </w:r>
            <w:r w:rsidRPr="00FE67BD">
              <w:rPr>
                <w:rFonts w:asciiTheme="minorHAnsi" w:hAnsiTheme="minorHAnsi" w:cstheme="minorHAnsi"/>
                <w:sz w:val="22"/>
                <w:szCs w:val="22"/>
              </w:rPr>
              <w:t xml:space="preserve">kutki te powinny zostać określone </w:t>
            </w:r>
            <w:r w:rsidRPr="005A4280">
              <w:rPr>
                <w:rFonts w:asciiTheme="minorHAnsi" w:hAnsiTheme="minorHAnsi" w:cstheme="minorHAnsi"/>
                <w:sz w:val="22"/>
                <w:szCs w:val="22"/>
              </w:rPr>
              <w:t xml:space="preserve">odrębnie dla Funduszu Pracy </w:t>
            </w:r>
            <w:r w:rsidRPr="00FE67BD">
              <w:rPr>
                <w:rFonts w:asciiTheme="minorHAnsi" w:hAnsiTheme="minorHAnsi" w:cstheme="minorHAnsi"/>
                <w:sz w:val="22"/>
                <w:szCs w:val="22"/>
              </w:rPr>
              <w:t xml:space="preserve">w ramach osobnej pozycji dochodu. </w:t>
            </w:r>
          </w:p>
        </w:tc>
        <w:tc>
          <w:tcPr>
            <w:tcW w:w="4110" w:type="dxa"/>
          </w:tcPr>
          <w:p w14:paraId="4B10A898" w14:textId="68F9C478" w:rsidR="00F40B86" w:rsidRPr="00382E77" w:rsidRDefault="00F40B86" w:rsidP="00626B3D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82E77">
              <w:rPr>
                <w:rFonts w:asciiTheme="minorHAnsi" w:hAnsiTheme="minorHAnsi" w:cstheme="minorHAnsi"/>
                <w:b/>
                <w:sz w:val="22"/>
                <w:szCs w:val="22"/>
              </w:rPr>
              <w:t>Uwzględniono</w:t>
            </w:r>
            <w:r w:rsidR="00382E77">
              <w:rPr>
                <w:rFonts w:asciiTheme="minorHAnsi" w:hAnsiTheme="minorHAnsi" w:cstheme="minorHAnsi"/>
                <w:b/>
                <w:sz w:val="22"/>
                <w:szCs w:val="22"/>
              </w:rPr>
              <w:t>.</w:t>
            </w:r>
          </w:p>
          <w:p w14:paraId="1D02AAE1" w14:textId="4232FD5D" w:rsidR="00F40B86" w:rsidRDefault="00F40B86" w:rsidP="00F40B8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W związku ze zgłoszoną uwagą przeprowadzono ponowną analizę kosztów zgłoszonych przez Urząd do Spraw Cudzoziemców i dokonano odpowiedniej korekty kwot. Uwzględniono ujęcie kwot w zakresie </w:t>
            </w:r>
            <w:r w:rsidRPr="00F40B86">
              <w:rPr>
                <w:rFonts w:asciiTheme="minorHAnsi" w:hAnsiTheme="minorHAnsi" w:cstheme="minorHAnsi"/>
                <w:sz w:val="22"/>
                <w:szCs w:val="22"/>
              </w:rPr>
              <w:t>Fundusz</w:t>
            </w:r>
            <w:r w:rsidR="00BB2BBA">
              <w:rPr>
                <w:rFonts w:asciiTheme="minorHAnsi" w:hAnsiTheme="minorHAnsi" w:cstheme="minorHAnsi"/>
                <w:sz w:val="22"/>
                <w:szCs w:val="22"/>
              </w:rPr>
              <w:t>u</w:t>
            </w:r>
            <w:r w:rsidRPr="00F40B86">
              <w:rPr>
                <w:rFonts w:asciiTheme="minorHAnsi" w:hAnsiTheme="minorHAnsi" w:cstheme="minorHAnsi"/>
                <w:sz w:val="22"/>
                <w:szCs w:val="22"/>
              </w:rPr>
              <w:t xml:space="preserve"> Pracy odrębnie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od Funduszu Solidarnościowego</w:t>
            </w:r>
            <w:r w:rsidR="00BB2BBA">
              <w:rPr>
                <w:rFonts w:asciiTheme="minorHAnsi" w:hAnsiTheme="minorHAnsi" w:cstheme="minorHAnsi"/>
                <w:sz w:val="22"/>
                <w:szCs w:val="22"/>
              </w:rPr>
              <w:t xml:space="preserve"> w odniesieniu do kosztów osobowych dla całości projektu ustawy.</w:t>
            </w:r>
          </w:p>
        </w:tc>
      </w:tr>
      <w:tr w:rsidR="00626B3D" w:rsidRPr="00A06425" w14:paraId="510C1708" w14:textId="77777777" w:rsidTr="00D018DA">
        <w:tc>
          <w:tcPr>
            <w:tcW w:w="562" w:type="dxa"/>
            <w:shd w:val="clear" w:color="auto" w:fill="auto"/>
          </w:tcPr>
          <w:p w14:paraId="7324BBAF" w14:textId="4329889C" w:rsidR="00626B3D" w:rsidRPr="00A06425" w:rsidRDefault="00626B3D" w:rsidP="00626B3D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14:paraId="63411A50" w14:textId="61A6E8B1" w:rsidR="00626B3D" w:rsidRDefault="00626B3D" w:rsidP="00626B3D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77326">
              <w:rPr>
                <w:rFonts w:asciiTheme="minorHAnsi" w:hAnsiTheme="minorHAnsi" w:cstheme="minorHAnsi"/>
                <w:b/>
                <w:sz w:val="22"/>
                <w:szCs w:val="22"/>
              </w:rPr>
              <w:t>MRPiPS</w:t>
            </w:r>
          </w:p>
        </w:tc>
        <w:tc>
          <w:tcPr>
            <w:tcW w:w="1843" w:type="dxa"/>
            <w:shd w:val="clear" w:color="auto" w:fill="auto"/>
          </w:tcPr>
          <w:p w14:paraId="539B6513" w14:textId="5B39A6F1" w:rsidR="00626B3D" w:rsidRDefault="00626B3D" w:rsidP="00626B3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77326">
              <w:rPr>
                <w:rFonts w:asciiTheme="minorHAnsi" w:hAnsiTheme="minorHAnsi" w:cstheme="minorHAnsi"/>
                <w:sz w:val="22"/>
                <w:szCs w:val="22"/>
              </w:rPr>
              <w:t>OSR Pkt 6. Wpływ na sektor finansów publicznych</w:t>
            </w:r>
          </w:p>
        </w:tc>
        <w:tc>
          <w:tcPr>
            <w:tcW w:w="5387" w:type="dxa"/>
            <w:shd w:val="clear" w:color="auto" w:fill="auto"/>
          </w:tcPr>
          <w:p w14:paraId="4DC640D2" w14:textId="77777777" w:rsidR="00626B3D" w:rsidRDefault="00626B3D" w:rsidP="00382E7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W OSR przygotowanym dla opiniowanego projektu ustawy </w:t>
            </w:r>
            <w:r w:rsidRPr="00D77326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o udziale Rzeczypospolitej Polskiej w Systemie Wjazdu/Wyjazdu </w:t>
            </w:r>
            <w:r w:rsidRPr="00D77326">
              <w:rPr>
                <w:rFonts w:asciiTheme="minorHAnsi" w:hAnsiTheme="minorHAnsi" w:cstheme="minorHAnsi"/>
                <w:sz w:val="22"/>
                <w:szCs w:val="22"/>
              </w:rPr>
              <w:t>(UC54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), na stronie12 wskazano, że  - cyt. „</w:t>
            </w:r>
            <w:r w:rsidRPr="005608DD">
              <w:rPr>
                <w:rFonts w:asciiTheme="minorHAnsi" w:hAnsiTheme="minorHAnsi" w:cstheme="minorHAnsi"/>
                <w:sz w:val="22"/>
                <w:szCs w:val="22"/>
              </w:rPr>
              <w:t>Obecne dostępne, wewnętrzne zasoby kadrowe MSWiA nie są wystarczające do zapewnienia realizacji zadań związanych z nadzorem Ministra nad systemem wjazdu/wyjazdu, szczegółowo opisanych w art. 11 projektowanej ustawy.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(…).</w:t>
            </w:r>
            <w:r w:rsidRPr="005608DD">
              <w:rPr>
                <w:rFonts w:asciiTheme="minorHAnsi" w:hAnsiTheme="minorHAnsi" w:cstheme="minorHAnsi"/>
                <w:sz w:val="22"/>
                <w:szCs w:val="22"/>
              </w:rPr>
              <w:t>Niezbędne jest zapewnienie obsady w liczbie co najmniej 4 osób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.”</w:t>
            </w:r>
          </w:p>
          <w:p w14:paraId="49B186E3" w14:textId="77777777" w:rsidR="00626B3D" w:rsidRDefault="00626B3D" w:rsidP="00382E7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Z powyższego wynika, że nowozatrudnione osoby będą pracownikami MSWiA, czyli pracodawcy, który nie podlega obowiązkowi opłacania składek na Fundusz Gwarantowanych Świadczeń Pracowniczych, na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podstawie przepisu art. 9, w zw. z art. 2 ust. 1 ustawy </w:t>
            </w:r>
            <w:r w:rsidRPr="005608DD">
              <w:rPr>
                <w:rFonts w:asciiTheme="minorHAnsi" w:hAnsiTheme="minorHAnsi" w:cstheme="minorHAnsi"/>
                <w:sz w:val="22"/>
                <w:szCs w:val="22"/>
              </w:rPr>
              <w:t>o ochronie roszczeń pracowniczych w razie niewypłacalności pracodawcy (</w:t>
            </w:r>
            <w:r w:rsidRPr="005608DD">
              <w:rPr>
                <w:rFonts w:asciiTheme="minorHAnsi" w:hAnsiTheme="minorHAnsi" w:cstheme="minorHAnsi"/>
                <w:bCs/>
                <w:sz w:val="22"/>
                <w:szCs w:val="22"/>
              </w:rPr>
              <w:t>Dz. U. z 2023 r. poz. 1087</w:t>
            </w:r>
            <w:r w:rsidRPr="005608DD">
              <w:rPr>
                <w:rFonts w:asciiTheme="minorHAnsi" w:hAnsiTheme="minorHAnsi" w:cstheme="minorHAnsi"/>
                <w:sz w:val="22"/>
                <w:szCs w:val="22"/>
              </w:rPr>
              <w:t>)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0B8166F8" w14:textId="77777777" w:rsidR="00626B3D" w:rsidRPr="00881F80" w:rsidRDefault="00626B3D" w:rsidP="00382E77">
            <w:pPr>
              <w:pStyle w:val="PKTpunkt"/>
              <w:spacing w:line="240" w:lineRule="auto"/>
              <w:ind w:left="0"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14:paraId="7E57DC21" w14:textId="3A90A10F" w:rsidR="00626B3D" w:rsidRDefault="00626B3D" w:rsidP="00626B3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Strona 11 OSR: </w:t>
            </w:r>
            <w:r w:rsidRPr="005D4C33">
              <w:rPr>
                <w:rFonts w:asciiTheme="minorHAnsi" w:hAnsiTheme="minorHAnsi" w:cstheme="minorHAnsi"/>
                <w:sz w:val="22"/>
                <w:szCs w:val="22"/>
              </w:rPr>
              <w:t xml:space="preserve">obliczenia niezbędnej kwoty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wynagrodzenia </w:t>
            </w:r>
            <w:r w:rsidRPr="005D4C33">
              <w:rPr>
                <w:rFonts w:asciiTheme="minorHAnsi" w:hAnsiTheme="minorHAnsi" w:cstheme="minorHAnsi"/>
                <w:sz w:val="22"/>
                <w:szCs w:val="22"/>
              </w:rPr>
              <w:t>dla pracowników komórki nadzoru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– nie uwzględniać wyliczenia składki na </w:t>
            </w:r>
            <w:r w:rsidRPr="005D4C33">
              <w:rPr>
                <w:rFonts w:asciiTheme="minorHAnsi" w:hAnsiTheme="minorHAnsi" w:cstheme="minorHAnsi"/>
                <w:sz w:val="22"/>
                <w:szCs w:val="22"/>
              </w:rPr>
              <w:t>Fundusz Gwarantowanych Świadczeń Pracowniczych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4110" w:type="dxa"/>
          </w:tcPr>
          <w:p w14:paraId="50F32E4C" w14:textId="77777777" w:rsidR="00382E77" w:rsidRPr="00382E77" w:rsidRDefault="00626B3D" w:rsidP="009D12EE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82E77">
              <w:rPr>
                <w:rFonts w:asciiTheme="minorHAnsi" w:hAnsiTheme="minorHAnsi" w:cstheme="minorHAnsi"/>
                <w:b/>
                <w:sz w:val="22"/>
                <w:szCs w:val="22"/>
              </w:rPr>
              <w:t>Uwzględniono</w:t>
            </w:r>
            <w:r w:rsidR="009D12EE" w:rsidRPr="00382E77">
              <w:rPr>
                <w:rFonts w:asciiTheme="minorHAnsi" w:hAnsiTheme="minorHAnsi" w:cstheme="minorHAnsi"/>
                <w:b/>
                <w:sz w:val="22"/>
                <w:szCs w:val="22"/>
              </w:rPr>
              <w:t>.</w:t>
            </w:r>
          </w:p>
          <w:p w14:paraId="0BA4EC5B" w14:textId="71C57013" w:rsidR="00626B3D" w:rsidRDefault="009D12EE" w:rsidP="009D12EE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Usunięto wyliczenia </w:t>
            </w:r>
            <w:r w:rsidRPr="009D12EE">
              <w:rPr>
                <w:rFonts w:asciiTheme="minorHAnsi" w:hAnsiTheme="minorHAnsi" w:cstheme="minorHAnsi"/>
                <w:sz w:val="22"/>
                <w:szCs w:val="22"/>
              </w:rPr>
              <w:t>składki na F</w:t>
            </w:r>
            <w:r w:rsidR="00382E77">
              <w:rPr>
                <w:rFonts w:asciiTheme="minorHAnsi" w:hAnsiTheme="minorHAnsi" w:cstheme="minorHAnsi"/>
                <w:sz w:val="22"/>
                <w:szCs w:val="22"/>
              </w:rPr>
              <w:t xml:space="preserve">undusz Gwarantowanych Świadczeń </w:t>
            </w:r>
            <w:r w:rsidRPr="009D12EE">
              <w:rPr>
                <w:rFonts w:asciiTheme="minorHAnsi" w:hAnsiTheme="minorHAnsi" w:cstheme="minorHAnsi"/>
                <w:sz w:val="22"/>
                <w:szCs w:val="22"/>
              </w:rPr>
              <w:t>Pracowniczych</w:t>
            </w:r>
            <w:r w:rsidR="00382E77">
              <w:rPr>
                <w:rFonts w:asciiTheme="minorHAnsi" w:hAnsiTheme="minorHAnsi" w:cstheme="minorHAnsi"/>
                <w:sz w:val="22"/>
                <w:szCs w:val="22"/>
              </w:rPr>
              <w:t xml:space="preserve"> oraz wynikowo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skorygowano odpowiednio kwoty.</w:t>
            </w:r>
          </w:p>
        </w:tc>
      </w:tr>
      <w:tr w:rsidR="00D13B25" w:rsidRPr="00A06425" w14:paraId="0A352832" w14:textId="77777777" w:rsidTr="00D018DA">
        <w:tc>
          <w:tcPr>
            <w:tcW w:w="562" w:type="dxa"/>
            <w:shd w:val="clear" w:color="auto" w:fill="auto"/>
          </w:tcPr>
          <w:p w14:paraId="43E4E934" w14:textId="4DA0862C" w:rsidR="00D13B25" w:rsidRDefault="00CB17E2" w:rsidP="00626B3D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14:paraId="3FD34A7B" w14:textId="3AEE64A5" w:rsidR="00D13B25" w:rsidRPr="00D77326" w:rsidRDefault="009D12EE" w:rsidP="00626B3D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MRiT</w:t>
            </w:r>
          </w:p>
        </w:tc>
        <w:tc>
          <w:tcPr>
            <w:tcW w:w="1843" w:type="dxa"/>
            <w:shd w:val="clear" w:color="auto" w:fill="auto"/>
          </w:tcPr>
          <w:p w14:paraId="27DD1B50" w14:textId="4BDF4E94" w:rsidR="00D13B25" w:rsidRPr="00D77326" w:rsidRDefault="009D12EE" w:rsidP="00626B3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Art. 15-16</w:t>
            </w:r>
          </w:p>
        </w:tc>
        <w:tc>
          <w:tcPr>
            <w:tcW w:w="5387" w:type="dxa"/>
            <w:shd w:val="clear" w:color="auto" w:fill="auto"/>
          </w:tcPr>
          <w:p w14:paraId="1F393184" w14:textId="3E698AAE" w:rsidR="009D12EE" w:rsidRPr="009D12EE" w:rsidRDefault="009D12EE" w:rsidP="00382E7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</w:t>
            </w:r>
            <w:r w:rsidRPr="009D12EE">
              <w:rPr>
                <w:rFonts w:asciiTheme="minorHAnsi" w:hAnsiTheme="minorHAnsi" w:cstheme="minorHAnsi"/>
                <w:sz w:val="22"/>
                <w:szCs w:val="22"/>
              </w:rPr>
              <w:t xml:space="preserve"> projekcie brakuje postanowień dotyczących przebiegu</w:t>
            </w:r>
            <w:r w:rsidR="00382E77">
              <w:rPr>
                <w:rFonts w:asciiTheme="minorHAnsi" w:hAnsiTheme="minorHAnsi" w:cstheme="minorHAnsi"/>
                <w:sz w:val="22"/>
                <w:szCs w:val="22"/>
              </w:rPr>
              <w:t xml:space="preserve">  </w:t>
            </w:r>
            <w:r w:rsidRPr="009D12EE">
              <w:rPr>
                <w:rFonts w:asciiTheme="minorHAnsi" w:hAnsiTheme="minorHAnsi" w:cstheme="minorHAnsi"/>
                <w:sz w:val="22"/>
                <w:szCs w:val="22"/>
              </w:rPr>
              <w:t xml:space="preserve"> i dokumentowania kontroli w zakresie spełniania przez KSI EES wymogów określonych w przepisach o ochronie danych osobowych.</w:t>
            </w:r>
          </w:p>
          <w:p w14:paraId="686DA29A" w14:textId="71F9FFC3" w:rsidR="00D13B25" w:rsidRDefault="009D12EE" w:rsidP="00382E7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D12EE">
              <w:rPr>
                <w:rFonts w:asciiTheme="minorHAnsi" w:hAnsiTheme="minorHAnsi" w:cstheme="minorHAnsi"/>
                <w:sz w:val="22"/>
                <w:szCs w:val="22"/>
              </w:rPr>
              <w:t xml:space="preserve">Do rozważenia pozostaje kwestia wprowadzenia przepisu wskazującego, że ww. kontrola, w zakresie nieuregulowanym przepisami art. 15-16 ustawy (o udziale RP w systemie wjazdu/wyjazdu) odbywa się zgodnie </w:t>
            </w:r>
            <w:r w:rsidR="00382E77">
              <w:rPr>
                <w:rFonts w:asciiTheme="minorHAnsi" w:hAnsiTheme="minorHAnsi" w:cstheme="minorHAnsi"/>
                <w:sz w:val="22"/>
                <w:szCs w:val="22"/>
              </w:rPr>
              <w:t xml:space="preserve">                      </w:t>
            </w:r>
            <w:r w:rsidRPr="009D12EE">
              <w:rPr>
                <w:rFonts w:asciiTheme="minorHAnsi" w:hAnsiTheme="minorHAnsi" w:cstheme="minorHAnsi"/>
                <w:sz w:val="22"/>
                <w:szCs w:val="22"/>
              </w:rPr>
              <w:t>z postanowieniami Rozdziału 9 Kontrola przestrzegania przepisów o ochronie danych osobowych.</w:t>
            </w:r>
          </w:p>
        </w:tc>
        <w:tc>
          <w:tcPr>
            <w:tcW w:w="2268" w:type="dxa"/>
            <w:shd w:val="clear" w:color="auto" w:fill="auto"/>
          </w:tcPr>
          <w:p w14:paraId="5103E648" w14:textId="77777777" w:rsidR="00D13B25" w:rsidRDefault="00D13B25" w:rsidP="00626B3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10" w:type="dxa"/>
          </w:tcPr>
          <w:p w14:paraId="1DA6270F" w14:textId="71C99531" w:rsidR="00D13B25" w:rsidRDefault="009D12EE" w:rsidP="009D12EE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Art. 15 ust. </w:t>
            </w:r>
            <w:r w:rsidRPr="009D12EE">
              <w:rPr>
                <w:rFonts w:asciiTheme="minorHAnsi" w:hAnsiTheme="minorHAnsi" w:cstheme="minorHAnsi"/>
                <w:sz w:val="22"/>
                <w:szCs w:val="22"/>
              </w:rPr>
              <w:t>5.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wskazuje, że </w:t>
            </w:r>
            <w:r w:rsidRPr="009D12EE">
              <w:rPr>
                <w:rFonts w:asciiTheme="minorHAnsi" w:hAnsiTheme="minorHAnsi" w:cstheme="minorHAnsi"/>
                <w:sz w:val="22"/>
                <w:szCs w:val="22"/>
              </w:rPr>
              <w:t>Prezes Urzędu Ochrony Danych Osobowych wykon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uje</w:t>
            </w:r>
            <w:r w:rsidRPr="009D12EE">
              <w:rPr>
                <w:rFonts w:asciiTheme="minorHAnsi" w:hAnsiTheme="minorHAnsi" w:cstheme="minorHAnsi"/>
                <w:sz w:val="22"/>
                <w:szCs w:val="22"/>
              </w:rPr>
              <w:t xml:space="preserve"> uprawnienia, o których mowa w art. 84 ustawy z dnia 10 maja 2018 r. o ochronie danych osobowych (Dz. U. z 2019 r. poz. 1781)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. W opinii projektodawcy zapisy </w:t>
            </w:r>
            <w:r w:rsidR="00E85A90">
              <w:rPr>
                <w:rFonts w:asciiTheme="minorHAnsi" w:hAnsiTheme="minorHAnsi" w:cstheme="minorHAnsi"/>
                <w:sz w:val="22"/>
                <w:szCs w:val="22"/>
              </w:rPr>
              <w:t xml:space="preserve">w projekcie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w zakresie kontroli dot. ochrony danych osobowych są wystarczające.</w:t>
            </w:r>
          </w:p>
        </w:tc>
      </w:tr>
    </w:tbl>
    <w:p w14:paraId="61EF705A" w14:textId="1F47023A" w:rsidR="00C64B1B" w:rsidRDefault="00C64B1B" w:rsidP="00C64B1B">
      <w:pPr>
        <w:jc w:val="center"/>
      </w:pPr>
    </w:p>
    <w:sectPr w:rsidR="00C64B1B" w:rsidSect="00CA10C2">
      <w:pgSz w:w="16838" w:h="11906" w:orient="landscape"/>
      <w:pgMar w:top="284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01A2BA6" w14:textId="77777777" w:rsidR="0028616D" w:rsidRDefault="0028616D" w:rsidP="00E85A90">
      <w:r>
        <w:separator/>
      </w:r>
    </w:p>
  </w:endnote>
  <w:endnote w:type="continuationSeparator" w:id="0">
    <w:p w14:paraId="38806239" w14:textId="77777777" w:rsidR="0028616D" w:rsidRDefault="0028616D" w:rsidP="00E85A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7C2775B" w14:textId="77777777" w:rsidR="0028616D" w:rsidRDefault="0028616D" w:rsidP="00E85A90">
      <w:r>
        <w:separator/>
      </w:r>
    </w:p>
  </w:footnote>
  <w:footnote w:type="continuationSeparator" w:id="0">
    <w:p w14:paraId="36FFAA5D" w14:textId="77777777" w:rsidR="0028616D" w:rsidRDefault="0028616D" w:rsidP="00E85A9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34258"/>
    <w:rsid w:val="000B2D71"/>
    <w:rsid w:val="000D4C97"/>
    <w:rsid w:val="00140BE8"/>
    <w:rsid w:val="0019648E"/>
    <w:rsid w:val="002715B2"/>
    <w:rsid w:val="0028616D"/>
    <w:rsid w:val="002A0933"/>
    <w:rsid w:val="003124D1"/>
    <w:rsid w:val="00316FE6"/>
    <w:rsid w:val="003237C6"/>
    <w:rsid w:val="00382E77"/>
    <w:rsid w:val="003B4105"/>
    <w:rsid w:val="004D086F"/>
    <w:rsid w:val="004D25AB"/>
    <w:rsid w:val="004D6FAC"/>
    <w:rsid w:val="005411A7"/>
    <w:rsid w:val="005A3EE8"/>
    <w:rsid w:val="005F6527"/>
    <w:rsid w:val="00626B3D"/>
    <w:rsid w:val="006705EC"/>
    <w:rsid w:val="006E16E9"/>
    <w:rsid w:val="00807385"/>
    <w:rsid w:val="00881F80"/>
    <w:rsid w:val="008B345C"/>
    <w:rsid w:val="009155B1"/>
    <w:rsid w:val="00944932"/>
    <w:rsid w:val="009D12EE"/>
    <w:rsid w:val="009E5FDB"/>
    <w:rsid w:val="00A00943"/>
    <w:rsid w:val="00A06425"/>
    <w:rsid w:val="00AC7796"/>
    <w:rsid w:val="00B130CC"/>
    <w:rsid w:val="00B378FF"/>
    <w:rsid w:val="00B856E5"/>
    <w:rsid w:val="00B871B6"/>
    <w:rsid w:val="00BB2BBA"/>
    <w:rsid w:val="00C41D5B"/>
    <w:rsid w:val="00C64B1B"/>
    <w:rsid w:val="00C940D5"/>
    <w:rsid w:val="00CA10C2"/>
    <w:rsid w:val="00CB17E2"/>
    <w:rsid w:val="00CD20B2"/>
    <w:rsid w:val="00CD5EB0"/>
    <w:rsid w:val="00D018DA"/>
    <w:rsid w:val="00D13B25"/>
    <w:rsid w:val="00DF577D"/>
    <w:rsid w:val="00E14C33"/>
    <w:rsid w:val="00E85A90"/>
    <w:rsid w:val="00ED6ACD"/>
    <w:rsid w:val="00EE4832"/>
    <w:rsid w:val="00F40B86"/>
    <w:rsid w:val="00FB58D4"/>
    <w:rsid w:val="00FE3F49"/>
    <w:rsid w:val="00FF6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A0B2614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customStyle="1" w:styleId="PKTpunkt">
    <w:name w:val="PKT – punkt"/>
    <w:uiPriority w:val="13"/>
    <w:qFormat/>
    <w:rsid w:val="00B856E5"/>
    <w:pPr>
      <w:spacing w:line="360" w:lineRule="auto"/>
      <w:ind w:left="510" w:hanging="510"/>
      <w:jc w:val="both"/>
    </w:pPr>
    <w:rPr>
      <w:rFonts w:ascii="Times" w:eastAsiaTheme="minorEastAsia" w:hAnsi="Times" w:cs="Arial"/>
      <w:bCs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947</Words>
  <Characters>5688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6622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Wioletta Idaszak</cp:lastModifiedBy>
  <cp:revision>4</cp:revision>
  <dcterms:created xsi:type="dcterms:W3CDTF">2024-08-13T11:57:00Z</dcterms:created>
  <dcterms:modified xsi:type="dcterms:W3CDTF">2024-08-13T12:11:00Z</dcterms:modified>
</cp:coreProperties>
</file>