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4014D" w14:textId="0FA5ABA7" w:rsidR="001728C2" w:rsidRPr="007F42CA" w:rsidRDefault="001728C2" w:rsidP="001728C2">
      <w:pPr>
        <w:jc w:val="center"/>
        <w:rPr>
          <w:b/>
          <w:sz w:val="22"/>
        </w:rPr>
      </w:pPr>
      <w:bookmarkStart w:id="0" w:name="_GoBack"/>
      <w:bookmarkEnd w:id="0"/>
      <w:r w:rsidRPr="007F42CA">
        <w:rPr>
          <w:b/>
          <w:sz w:val="22"/>
        </w:rPr>
        <w:t>Uwagi do projekt</w:t>
      </w:r>
      <w:r w:rsidR="00B06BDF">
        <w:rPr>
          <w:b/>
          <w:sz w:val="22"/>
        </w:rPr>
        <w:t>u</w:t>
      </w:r>
      <w:r w:rsidRPr="007F42CA">
        <w:rPr>
          <w:b/>
          <w:sz w:val="22"/>
        </w:rPr>
        <w:t xml:space="preserve"> </w:t>
      </w:r>
      <w:r w:rsidR="00B06BDF" w:rsidRPr="00B06BDF">
        <w:rPr>
          <w:b/>
          <w:sz w:val="22"/>
        </w:rPr>
        <w:t>ustawy o zmianie ustawy – Prawo budowlane oraz ustawy o samorządach zawodowych architektów oraz inżynierów budownictwa</w:t>
      </w:r>
      <w:r w:rsidRPr="007F42CA">
        <w:rPr>
          <w:b/>
          <w:sz w:val="22"/>
        </w:rPr>
        <w:t>, zgłoszon</w:t>
      </w:r>
      <w:r w:rsidR="00B06BDF">
        <w:rPr>
          <w:b/>
          <w:sz w:val="22"/>
        </w:rPr>
        <w:t>e</w:t>
      </w:r>
      <w:r w:rsidRPr="007F42CA">
        <w:rPr>
          <w:b/>
          <w:sz w:val="22"/>
        </w:rPr>
        <w:t xml:space="preserve"> w ramach konsultacji publicznych</w:t>
      </w:r>
    </w:p>
    <w:p w14:paraId="7E12B57E" w14:textId="77777777" w:rsidR="001728C2" w:rsidRDefault="001728C2" w:rsidP="001728C2">
      <w:pPr>
        <w:jc w:val="center"/>
      </w:pPr>
    </w:p>
    <w:tbl>
      <w:tblPr>
        <w:tblStyle w:val="Tabela-Siatka"/>
        <w:tblW w:w="14312" w:type="dxa"/>
        <w:tblLook w:val="04A0" w:firstRow="1" w:lastRow="0" w:firstColumn="1" w:lastColumn="0" w:noHBand="0" w:noVBand="1"/>
      </w:tblPr>
      <w:tblGrid>
        <w:gridCol w:w="556"/>
        <w:gridCol w:w="1424"/>
        <w:gridCol w:w="1843"/>
        <w:gridCol w:w="6237"/>
        <w:gridCol w:w="4252"/>
      </w:tblGrid>
      <w:tr w:rsidR="00FB5A28" w:rsidRPr="000D3255" w14:paraId="11C45C9B" w14:textId="77777777" w:rsidTr="00FB5A28">
        <w:tc>
          <w:tcPr>
            <w:tcW w:w="556" w:type="dxa"/>
            <w:shd w:val="clear" w:color="auto" w:fill="8EAADB" w:themeFill="accent1" w:themeFillTint="99"/>
          </w:tcPr>
          <w:p w14:paraId="2EC9B0C4" w14:textId="77777777" w:rsidR="00FB5A28" w:rsidRPr="000D3255" w:rsidRDefault="00FB5A28" w:rsidP="00A5195E">
            <w:pPr>
              <w:jc w:val="center"/>
              <w:rPr>
                <w:b/>
                <w:sz w:val="18"/>
                <w:szCs w:val="20"/>
              </w:rPr>
            </w:pPr>
            <w:r w:rsidRPr="000D3255">
              <w:rPr>
                <w:b/>
                <w:sz w:val="18"/>
                <w:szCs w:val="20"/>
              </w:rPr>
              <w:t>Lp.</w:t>
            </w:r>
          </w:p>
        </w:tc>
        <w:tc>
          <w:tcPr>
            <w:tcW w:w="1424" w:type="dxa"/>
            <w:shd w:val="clear" w:color="auto" w:fill="8EAADB" w:themeFill="accent1" w:themeFillTint="99"/>
          </w:tcPr>
          <w:p w14:paraId="0A8F0AC6" w14:textId="77777777" w:rsidR="00FB5A28" w:rsidRPr="000D3255" w:rsidRDefault="00FB5A28" w:rsidP="00A5195E">
            <w:pPr>
              <w:jc w:val="center"/>
              <w:rPr>
                <w:b/>
                <w:sz w:val="18"/>
                <w:szCs w:val="20"/>
              </w:rPr>
            </w:pPr>
            <w:r w:rsidRPr="000D3255">
              <w:rPr>
                <w:b/>
                <w:sz w:val="18"/>
                <w:szCs w:val="20"/>
              </w:rPr>
              <w:t>Jednostka redakcyjna</w:t>
            </w:r>
          </w:p>
        </w:tc>
        <w:tc>
          <w:tcPr>
            <w:tcW w:w="1843" w:type="dxa"/>
            <w:shd w:val="clear" w:color="auto" w:fill="8EAADB" w:themeFill="accent1" w:themeFillTint="99"/>
          </w:tcPr>
          <w:p w14:paraId="2C9D10EB" w14:textId="77777777" w:rsidR="00FB5A28" w:rsidRPr="000D3255" w:rsidRDefault="00FB5A28" w:rsidP="007223F4">
            <w:pPr>
              <w:jc w:val="center"/>
              <w:rPr>
                <w:b/>
                <w:sz w:val="18"/>
                <w:szCs w:val="20"/>
              </w:rPr>
            </w:pPr>
            <w:r w:rsidRPr="000D3255">
              <w:rPr>
                <w:b/>
                <w:sz w:val="18"/>
                <w:szCs w:val="20"/>
              </w:rPr>
              <w:t>Organ/Podmiot</w:t>
            </w:r>
          </w:p>
        </w:tc>
        <w:tc>
          <w:tcPr>
            <w:tcW w:w="6237" w:type="dxa"/>
            <w:shd w:val="clear" w:color="auto" w:fill="8EAADB" w:themeFill="accent1" w:themeFillTint="99"/>
          </w:tcPr>
          <w:p w14:paraId="209EC9AF" w14:textId="77777777" w:rsidR="00FB5A28" w:rsidRPr="000D3255" w:rsidRDefault="00FB5A28" w:rsidP="00A5195E">
            <w:pPr>
              <w:jc w:val="center"/>
              <w:rPr>
                <w:b/>
                <w:sz w:val="18"/>
                <w:szCs w:val="20"/>
              </w:rPr>
            </w:pPr>
            <w:r w:rsidRPr="000D3255">
              <w:rPr>
                <w:b/>
                <w:sz w:val="18"/>
                <w:szCs w:val="20"/>
              </w:rPr>
              <w:t>Treść uwagi</w:t>
            </w:r>
          </w:p>
        </w:tc>
        <w:tc>
          <w:tcPr>
            <w:tcW w:w="4252" w:type="dxa"/>
            <w:shd w:val="clear" w:color="auto" w:fill="8EAADB" w:themeFill="accent1" w:themeFillTint="99"/>
          </w:tcPr>
          <w:p w14:paraId="06AC0EE7" w14:textId="77777777" w:rsidR="00FB5A28" w:rsidRPr="000D3255" w:rsidRDefault="00FB5A28" w:rsidP="00A5195E">
            <w:pPr>
              <w:jc w:val="center"/>
              <w:rPr>
                <w:b/>
                <w:sz w:val="18"/>
                <w:szCs w:val="20"/>
              </w:rPr>
            </w:pPr>
            <w:r w:rsidRPr="000D3255">
              <w:rPr>
                <w:b/>
                <w:sz w:val="18"/>
                <w:szCs w:val="20"/>
              </w:rPr>
              <w:t>Stanowisko GUNB</w:t>
            </w:r>
          </w:p>
        </w:tc>
      </w:tr>
      <w:tr w:rsidR="00CF14BD" w:rsidRPr="000D3255" w14:paraId="0AEF60F8" w14:textId="77777777" w:rsidTr="00977466">
        <w:tc>
          <w:tcPr>
            <w:tcW w:w="556" w:type="dxa"/>
          </w:tcPr>
          <w:p w14:paraId="73356EC2" w14:textId="7E443D94" w:rsidR="00CF14BD" w:rsidRPr="00CF14BD" w:rsidRDefault="007D1A70" w:rsidP="00977466">
            <w:pPr>
              <w:jc w:val="center"/>
              <w:rPr>
                <w:rFonts w:cs="Arial"/>
                <w:sz w:val="18"/>
                <w:szCs w:val="18"/>
              </w:rPr>
            </w:pPr>
            <w:r>
              <w:rPr>
                <w:rFonts w:cs="Arial"/>
                <w:sz w:val="18"/>
                <w:szCs w:val="18"/>
              </w:rPr>
              <w:t>1.</w:t>
            </w:r>
          </w:p>
        </w:tc>
        <w:tc>
          <w:tcPr>
            <w:tcW w:w="1424" w:type="dxa"/>
          </w:tcPr>
          <w:p w14:paraId="63E6FC17" w14:textId="6D31C060" w:rsidR="00CF14BD" w:rsidRPr="00CF14BD" w:rsidRDefault="00CF14BD" w:rsidP="00977466">
            <w:pPr>
              <w:jc w:val="center"/>
              <w:rPr>
                <w:rFonts w:cs="Arial"/>
                <w:sz w:val="18"/>
                <w:szCs w:val="18"/>
              </w:rPr>
            </w:pPr>
            <w:r>
              <w:rPr>
                <w:rFonts w:cs="Arial"/>
                <w:sz w:val="18"/>
                <w:szCs w:val="18"/>
              </w:rPr>
              <w:t>Uwaga ogólna</w:t>
            </w:r>
          </w:p>
        </w:tc>
        <w:tc>
          <w:tcPr>
            <w:tcW w:w="1843" w:type="dxa"/>
          </w:tcPr>
          <w:p w14:paraId="2F61E2B0" w14:textId="77777777" w:rsidR="00CF14BD" w:rsidRPr="00CF14BD" w:rsidRDefault="00CF14BD" w:rsidP="00977466">
            <w:pPr>
              <w:jc w:val="center"/>
              <w:rPr>
                <w:rFonts w:cs="Arial"/>
                <w:sz w:val="18"/>
                <w:szCs w:val="18"/>
              </w:rPr>
            </w:pPr>
            <w:r w:rsidRPr="00CF14BD">
              <w:rPr>
                <w:sz w:val="18"/>
                <w:szCs w:val="18"/>
              </w:rPr>
              <w:t>Izba Projektowania Budowlanego</w:t>
            </w:r>
          </w:p>
        </w:tc>
        <w:tc>
          <w:tcPr>
            <w:tcW w:w="6237" w:type="dxa"/>
          </w:tcPr>
          <w:p w14:paraId="594235BB" w14:textId="77777777" w:rsidR="00CF14BD" w:rsidRPr="00CF14BD" w:rsidRDefault="00CF14BD" w:rsidP="00977466">
            <w:pPr>
              <w:rPr>
                <w:rFonts w:cs="Arial"/>
                <w:sz w:val="18"/>
                <w:szCs w:val="18"/>
              </w:rPr>
            </w:pPr>
            <w:r w:rsidRPr="00CF14BD">
              <w:rPr>
                <w:rFonts w:cs="Arial"/>
                <w:sz w:val="18"/>
                <w:szCs w:val="18"/>
              </w:rPr>
              <w:t>Zniesienie wymogów dołączenia kopii zaświadczenia i uprawnień budowlanych powinno skutkować możliwością sprawdzenia internetowo nie tylko ważności przynależności do Izby ale także zakresu uprawnień. Np zaświadczenie pokazujące specjalność BD – budownictwo drogowe, nie precyzuje dopuszczalności prowadzenia budowy dróg lotniskowych. Należałoby wprowadzić możliwość sprawdzenia zakresu uprawnień.</w:t>
            </w:r>
          </w:p>
        </w:tc>
        <w:tc>
          <w:tcPr>
            <w:tcW w:w="4252" w:type="dxa"/>
          </w:tcPr>
          <w:p w14:paraId="592B07DF" w14:textId="77777777" w:rsidR="007D1A70" w:rsidRPr="002C3B42" w:rsidRDefault="007D1A70" w:rsidP="00977466">
            <w:pPr>
              <w:rPr>
                <w:rFonts w:cs="Arial"/>
                <w:b/>
                <w:sz w:val="18"/>
                <w:szCs w:val="18"/>
              </w:rPr>
            </w:pPr>
            <w:r w:rsidRPr="002C3B42">
              <w:rPr>
                <w:rFonts w:cs="Arial"/>
                <w:b/>
                <w:sz w:val="18"/>
                <w:szCs w:val="18"/>
              </w:rPr>
              <w:t>Wyjaśnienie.</w:t>
            </w:r>
          </w:p>
          <w:p w14:paraId="264D2774" w14:textId="77777777" w:rsidR="007D1A70" w:rsidRDefault="007D1A70" w:rsidP="00977466">
            <w:pPr>
              <w:rPr>
                <w:rFonts w:cs="Arial"/>
                <w:sz w:val="18"/>
                <w:szCs w:val="18"/>
              </w:rPr>
            </w:pPr>
            <w:r>
              <w:rPr>
                <w:rFonts w:cs="Arial"/>
                <w:sz w:val="18"/>
                <w:szCs w:val="18"/>
              </w:rPr>
              <w:t xml:space="preserve">W </w:t>
            </w:r>
            <w:r w:rsidRPr="007D1A70">
              <w:rPr>
                <w:rFonts w:cs="Arial"/>
                <w:sz w:val="18"/>
                <w:szCs w:val="18"/>
              </w:rPr>
              <w:t>centraln</w:t>
            </w:r>
            <w:r>
              <w:rPr>
                <w:rFonts w:cs="Arial"/>
                <w:sz w:val="18"/>
                <w:szCs w:val="18"/>
              </w:rPr>
              <w:t>ym</w:t>
            </w:r>
            <w:r w:rsidRPr="007D1A70">
              <w:rPr>
                <w:rFonts w:cs="Arial"/>
                <w:sz w:val="18"/>
                <w:szCs w:val="18"/>
              </w:rPr>
              <w:t xml:space="preserve"> rejestr</w:t>
            </w:r>
            <w:r>
              <w:rPr>
                <w:rFonts w:cs="Arial"/>
                <w:sz w:val="18"/>
                <w:szCs w:val="18"/>
              </w:rPr>
              <w:t xml:space="preserve">ze </w:t>
            </w:r>
            <w:r w:rsidRPr="007D1A70">
              <w:rPr>
                <w:rFonts w:cs="Arial"/>
                <w:sz w:val="18"/>
                <w:szCs w:val="18"/>
              </w:rPr>
              <w:t>osób posiadających uprawnienia budowlane</w:t>
            </w:r>
            <w:r>
              <w:rPr>
                <w:rFonts w:cs="Arial"/>
                <w:sz w:val="18"/>
                <w:szCs w:val="18"/>
              </w:rPr>
              <w:t xml:space="preserve"> znajdować się będą m.in. informacje dot. </w:t>
            </w:r>
            <w:r w:rsidRPr="007D1A70">
              <w:rPr>
                <w:rFonts w:cs="Arial"/>
                <w:sz w:val="18"/>
                <w:szCs w:val="18"/>
              </w:rPr>
              <w:t>specjalnoś</w:t>
            </w:r>
            <w:r>
              <w:rPr>
                <w:rFonts w:cs="Arial"/>
                <w:sz w:val="18"/>
                <w:szCs w:val="18"/>
              </w:rPr>
              <w:t>ci</w:t>
            </w:r>
            <w:r w:rsidRPr="007D1A70">
              <w:rPr>
                <w:rFonts w:cs="Arial"/>
                <w:sz w:val="18"/>
                <w:szCs w:val="18"/>
              </w:rPr>
              <w:t xml:space="preserve"> i zakres</w:t>
            </w:r>
            <w:r>
              <w:rPr>
                <w:rFonts w:cs="Arial"/>
                <w:sz w:val="18"/>
                <w:szCs w:val="18"/>
              </w:rPr>
              <w:t>u</w:t>
            </w:r>
            <w:r w:rsidRPr="007D1A70">
              <w:rPr>
                <w:rFonts w:cs="Arial"/>
                <w:sz w:val="18"/>
                <w:szCs w:val="18"/>
              </w:rPr>
              <w:t xml:space="preserve"> uprawnień budowlanych</w:t>
            </w:r>
            <w:r>
              <w:rPr>
                <w:rFonts w:cs="Arial"/>
                <w:sz w:val="18"/>
                <w:szCs w:val="18"/>
              </w:rPr>
              <w:t xml:space="preserve"> (zob. art. 1 pkt 29 lit. b </w:t>
            </w:r>
            <w:proofErr w:type="spellStart"/>
            <w:r>
              <w:rPr>
                <w:rFonts w:cs="Arial"/>
                <w:sz w:val="18"/>
                <w:szCs w:val="18"/>
              </w:rPr>
              <w:t>tiret</w:t>
            </w:r>
            <w:proofErr w:type="spellEnd"/>
            <w:r>
              <w:rPr>
                <w:rFonts w:cs="Arial"/>
                <w:sz w:val="18"/>
                <w:szCs w:val="18"/>
              </w:rPr>
              <w:t xml:space="preserve"> czwarte nowelizacji dot. art. 88a ust. 2 pkt 8 ustawy – Prawo budowlane). </w:t>
            </w:r>
          </w:p>
          <w:p w14:paraId="5C141ED3" w14:textId="5CBCB9CD" w:rsidR="00CF14BD" w:rsidRPr="00CF14BD" w:rsidRDefault="007D1A70" w:rsidP="00977466">
            <w:pPr>
              <w:rPr>
                <w:rFonts w:cs="Arial"/>
                <w:sz w:val="18"/>
                <w:szCs w:val="18"/>
              </w:rPr>
            </w:pPr>
            <w:r>
              <w:rPr>
                <w:rFonts w:cs="Arial"/>
                <w:sz w:val="18"/>
                <w:szCs w:val="18"/>
              </w:rPr>
              <w:t xml:space="preserve">Pełny dostęp do danych w rejestrze będą miały organy administracji architektoniczno-budowlanej i nadzoru budowlanego. Natomiast część danych (w tym dane </w:t>
            </w:r>
            <w:r w:rsidRPr="007D1A70">
              <w:rPr>
                <w:rFonts w:cs="Arial"/>
                <w:sz w:val="18"/>
                <w:szCs w:val="18"/>
              </w:rPr>
              <w:t>dot. specjalności i zakresu uprawnień budowlanych</w:t>
            </w:r>
            <w:r>
              <w:rPr>
                <w:rFonts w:cs="Arial"/>
                <w:sz w:val="18"/>
                <w:szCs w:val="18"/>
              </w:rPr>
              <w:t xml:space="preserve">) będzie publicznie dostępna i każdy do nich będzie miał dostęp </w:t>
            </w:r>
            <w:r w:rsidRPr="007D1A70">
              <w:rPr>
                <w:rFonts w:cs="Arial"/>
                <w:sz w:val="18"/>
                <w:szCs w:val="18"/>
              </w:rPr>
              <w:t xml:space="preserve">(zob. art. 1 pkt 29 lit. </w:t>
            </w:r>
            <w:r>
              <w:rPr>
                <w:rFonts w:cs="Arial"/>
                <w:sz w:val="18"/>
                <w:szCs w:val="18"/>
              </w:rPr>
              <w:t>e</w:t>
            </w:r>
            <w:r w:rsidRPr="007D1A70">
              <w:rPr>
                <w:rFonts w:cs="Arial"/>
                <w:sz w:val="18"/>
                <w:szCs w:val="18"/>
              </w:rPr>
              <w:t xml:space="preserve"> nowelizacji dot. art. 88a ust. </w:t>
            </w:r>
            <w:r>
              <w:rPr>
                <w:rFonts w:cs="Arial"/>
                <w:sz w:val="18"/>
                <w:szCs w:val="18"/>
              </w:rPr>
              <w:t>5a</w:t>
            </w:r>
            <w:r w:rsidRPr="007D1A70">
              <w:rPr>
                <w:rFonts w:cs="Arial"/>
                <w:sz w:val="18"/>
                <w:szCs w:val="18"/>
              </w:rPr>
              <w:t xml:space="preserve"> pkt </w:t>
            </w:r>
            <w:r>
              <w:rPr>
                <w:rFonts w:cs="Arial"/>
                <w:sz w:val="18"/>
                <w:szCs w:val="18"/>
              </w:rPr>
              <w:t>5</w:t>
            </w:r>
            <w:r w:rsidRPr="007D1A70">
              <w:rPr>
                <w:rFonts w:cs="Arial"/>
                <w:sz w:val="18"/>
                <w:szCs w:val="18"/>
              </w:rPr>
              <w:t xml:space="preserve"> ustawy – Prawo budowlane).</w:t>
            </w:r>
          </w:p>
        </w:tc>
      </w:tr>
      <w:tr w:rsidR="00CF14BD" w:rsidRPr="000D3255" w14:paraId="171C67A6" w14:textId="77777777" w:rsidTr="00977466">
        <w:tc>
          <w:tcPr>
            <w:tcW w:w="556" w:type="dxa"/>
          </w:tcPr>
          <w:p w14:paraId="1C67B52E" w14:textId="34F13489" w:rsidR="00CF14BD" w:rsidRPr="00CF14BD" w:rsidRDefault="007D1A70" w:rsidP="00977466">
            <w:pPr>
              <w:jc w:val="center"/>
              <w:rPr>
                <w:rFonts w:cs="Arial"/>
                <w:sz w:val="18"/>
                <w:szCs w:val="18"/>
              </w:rPr>
            </w:pPr>
            <w:r>
              <w:rPr>
                <w:rFonts w:cs="Arial"/>
                <w:sz w:val="18"/>
                <w:szCs w:val="18"/>
              </w:rPr>
              <w:t>2.</w:t>
            </w:r>
          </w:p>
        </w:tc>
        <w:tc>
          <w:tcPr>
            <w:tcW w:w="1424" w:type="dxa"/>
          </w:tcPr>
          <w:p w14:paraId="519E6A32" w14:textId="788FBBC9" w:rsidR="00CF14BD" w:rsidRPr="00CF14BD" w:rsidRDefault="00CF14BD" w:rsidP="00977466">
            <w:pPr>
              <w:jc w:val="center"/>
              <w:rPr>
                <w:rFonts w:cs="Arial"/>
                <w:sz w:val="18"/>
                <w:szCs w:val="18"/>
              </w:rPr>
            </w:pPr>
            <w:r>
              <w:rPr>
                <w:rFonts w:cs="Arial"/>
                <w:sz w:val="18"/>
                <w:szCs w:val="18"/>
              </w:rPr>
              <w:t>Uwaga ogólna</w:t>
            </w:r>
          </w:p>
        </w:tc>
        <w:tc>
          <w:tcPr>
            <w:tcW w:w="1843" w:type="dxa"/>
          </w:tcPr>
          <w:p w14:paraId="455CDAC1" w14:textId="77777777" w:rsidR="00CF14BD" w:rsidRPr="00CF14BD" w:rsidRDefault="00CF14BD" w:rsidP="00977466">
            <w:pPr>
              <w:jc w:val="center"/>
              <w:rPr>
                <w:rFonts w:cs="Arial"/>
                <w:sz w:val="18"/>
                <w:szCs w:val="18"/>
              </w:rPr>
            </w:pPr>
            <w:r w:rsidRPr="00CF14BD">
              <w:rPr>
                <w:sz w:val="18"/>
                <w:szCs w:val="18"/>
              </w:rPr>
              <w:t>Izba Projektowania Budowlanego</w:t>
            </w:r>
          </w:p>
        </w:tc>
        <w:tc>
          <w:tcPr>
            <w:tcW w:w="6237" w:type="dxa"/>
          </w:tcPr>
          <w:p w14:paraId="1640E8BF" w14:textId="77777777" w:rsidR="00CF14BD" w:rsidRPr="00CF14BD" w:rsidRDefault="00CF14BD" w:rsidP="00977466">
            <w:pPr>
              <w:rPr>
                <w:rFonts w:cs="Arial"/>
                <w:sz w:val="18"/>
                <w:szCs w:val="18"/>
              </w:rPr>
            </w:pPr>
            <w:r w:rsidRPr="00CF14BD">
              <w:rPr>
                <w:rFonts w:cs="Arial"/>
                <w:sz w:val="18"/>
                <w:szCs w:val="18"/>
              </w:rPr>
              <w:t xml:space="preserve">Proponujemy przejściowo wprowadzić zapis: </w:t>
            </w:r>
            <w:r w:rsidRPr="00CF14BD">
              <w:rPr>
                <w:rFonts w:cs="Arial"/>
                <w:color w:val="000000"/>
                <w:sz w:val="18"/>
                <w:szCs w:val="18"/>
              </w:rPr>
              <w:t>Na żądanie instytucji opiniującej projekt, należy załączyć, wymienione w pkt. 8, kopie w wersji papierowej</w:t>
            </w:r>
            <w:r w:rsidRPr="00CF14BD">
              <w:rPr>
                <w:rFonts w:cs="Arial"/>
                <w:bCs/>
                <w:sz w:val="18"/>
                <w:szCs w:val="18"/>
              </w:rPr>
              <w:t>.</w:t>
            </w:r>
          </w:p>
        </w:tc>
        <w:tc>
          <w:tcPr>
            <w:tcW w:w="4252" w:type="dxa"/>
          </w:tcPr>
          <w:p w14:paraId="42BA428B" w14:textId="77777777" w:rsidR="00CF14BD" w:rsidRPr="002C3B42" w:rsidRDefault="00555D13" w:rsidP="00977466">
            <w:pPr>
              <w:rPr>
                <w:rFonts w:cs="Arial"/>
                <w:b/>
                <w:sz w:val="18"/>
                <w:szCs w:val="18"/>
              </w:rPr>
            </w:pPr>
            <w:r w:rsidRPr="002C3B42">
              <w:rPr>
                <w:rFonts w:cs="Arial"/>
                <w:b/>
                <w:sz w:val="18"/>
                <w:szCs w:val="18"/>
              </w:rPr>
              <w:t>Uwaga niejasna.</w:t>
            </w:r>
          </w:p>
          <w:p w14:paraId="164FA4BC" w14:textId="6809A629" w:rsidR="00555D13" w:rsidRDefault="00CB71AF" w:rsidP="00977466">
            <w:pPr>
              <w:rPr>
                <w:rFonts w:cs="Arial"/>
                <w:sz w:val="18"/>
                <w:szCs w:val="18"/>
              </w:rPr>
            </w:pPr>
            <w:r>
              <w:rPr>
                <w:rFonts w:cs="Arial"/>
                <w:sz w:val="18"/>
                <w:szCs w:val="18"/>
              </w:rPr>
              <w:t>N</w:t>
            </w:r>
            <w:r w:rsidR="00555D13">
              <w:rPr>
                <w:rFonts w:cs="Arial"/>
                <w:sz w:val="18"/>
                <w:szCs w:val="18"/>
              </w:rPr>
              <w:t>ie wiadomo, do jakiego przepisu odnosi się ta uwaga i jakiej instytucji.</w:t>
            </w:r>
          </w:p>
          <w:p w14:paraId="532D9791" w14:textId="5C68DD75" w:rsidR="00654863" w:rsidRPr="00CF14BD" w:rsidRDefault="002C3B42" w:rsidP="00654863">
            <w:pPr>
              <w:rPr>
                <w:rFonts w:cs="Arial"/>
                <w:sz w:val="18"/>
                <w:szCs w:val="18"/>
              </w:rPr>
            </w:pPr>
            <w:r>
              <w:rPr>
                <w:rFonts w:cs="Arial"/>
                <w:sz w:val="18"/>
                <w:szCs w:val="18"/>
              </w:rPr>
              <w:t>U</w:t>
            </w:r>
            <w:r w:rsidR="00654863">
              <w:rPr>
                <w:rFonts w:cs="Arial"/>
                <w:sz w:val="18"/>
                <w:szCs w:val="18"/>
              </w:rPr>
              <w:t xml:space="preserve">waga może odnosić się do art. 1 pkt 7 (zmieniającego art. 34 ust.3g). Dodanie zapisu umożliwiającego organowi, w drodze wyjątku, żądania/akceptowania kopii uprawnień budowlanych, czy zaświadczenia o przynależności do izby w postaci papierowej, wydaje się być słuszne. Należy bowiem mieć na uwadze wystąpienie takich sytuacji jak np. awaria systemu, która czasowo uniemożliwi organowi dostęp do danych zawartych w </w:t>
            </w:r>
            <w:proofErr w:type="spellStart"/>
            <w:r w:rsidR="00654863">
              <w:rPr>
                <w:rFonts w:cs="Arial"/>
                <w:sz w:val="18"/>
                <w:szCs w:val="18"/>
              </w:rPr>
              <w:t>eCRUB</w:t>
            </w:r>
            <w:proofErr w:type="spellEnd"/>
            <w:r w:rsidR="00654863">
              <w:rPr>
                <w:rFonts w:cs="Arial"/>
                <w:sz w:val="18"/>
                <w:szCs w:val="18"/>
              </w:rPr>
              <w:t>.</w:t>
            </w:r>
          </w:p>
        </w:tc>
      </w:tr>
      <w:tr w:rsidR="008219AD" w:rsidRPr="008219AD" w14:paraId="70A42473" w14:textId="77777777" w:rsidTr="008219AD">
        <w:tc>
          <w:tcPr>
            <w:tcW w:w="556" w:type="dxa"/>
            <w:tcBorders>
              <w:top w:val="single" w:sz="4" w:space="0" w:color="auto"/>
              <w:left w:val="single" w:sz="4" w:space="0" w:color="auto"/>
              <w:bottom w:val="single" w:sz="4" w:space="0" w:color="auto"/>
              <w:right w:val="single" w:sz="4" w:space="0" w:color="auto"/>
            </w:tcBorders>
            <w:hideMark/>
          </w:tcPr>
          <w:p w14:paraId="2752459C" w14:textId="5CBAD478" w:rsidR="008219AD" w:rsidRPr="00CF14BD" w:rsidRDefault="007D1A70">
            <w:pPr>
              <w:jc w:val="center"/>
              <w:rPr>
                <w:rFonts w:cs="Arial"/>
                <w:sz w:val="18"/>
                <w:szCs w:val="18"/>
              </w:rPr>
            </w:pPr>
            <w:r>
              <w:rPr>
                <w:rFonts w:cs="Arial"/>
                <w:sz w:val="18"/>
                <w:szCs w:val="18"/>
              </w:rPr>
              <w:t>3</w:t>
            </w:r>
            <w:r w:rsidR="008219AD" w:rsidRPr="00CF14BD">
              <w:rPr>
                <w:rFonts w:cs="Arial"/>
                <w:sz w:val="18"/>
                <w:szCs w:val="18"/>
              </w:rPr>
              <w:t>.</w:t>
            </w:r>
          </w:p>
        </w:tc>
        <w:tc>
          <w:tcPr>
            <w:tcW w:w="1424" w:type="dxa"/>
            <w:tcBorders>
              <w:top w:val="single" w:sz="4" w:space="0" w:color="auto"/>
              <w:left w:val="single" w:sz="4" w:space="0" w:color="auto"/>
              <w:bottom w:val="single" w:sz="4" w:space="0" w:color="auto"/>
              <w:right w:val="single" w:sz="4" w:space="0" w:color="auto"/>
            </w:tcBorders>
            <w:hideMark/>
          </w:tcPr>
          <w:p w14:paraId="1A4531D0" w14:textId="045835B0" w:rsidR="008219AD" w:rsidRPr="00CF14BD" w:rsidRDefault="00CF14BD">
            <w:pPr>
              <w:jc w:val="center"/>
              <w:rPr>
                <w:rFonts w:cs="Arial"/>
                <w:sz w:val="18"/>
                <w:szCs w:val="18"/>
              </w:rPr>
            </w:pPr>
            <w:r w:rsidRPr="00CF14BD">
              <w:rPr>
                <w:rFonts w:cs="Arial"/>
                <w:sz w:val="18"/>
                <w:szCs w:val="18"/>
              </w:rPr>
              <w:t>A</w:t>
            </w:r>
            <w:r w:rsidR="008219AD" w:rsidRPr="00CF14BD">
              <w:rPr>
                <w:rFonts w:cs="Arial"/>
                <w:sz w:val="18"/>
                <w:szCs w:val="18"/>
              </w:rPr>
              <w:t xml:space="preserve">rt. 1 pkt. 5a </w:t>
            </w:r>
            <w:r>
              <w:rPr>
                <w:rFonts w:cs="Arial"/>
                <w:sz w:val="18"/>
                <w:szCs w:val="18"/>
              </w:rPr>
              <w:t>(</w:t>
            </w:r>
            <w:r w:rsidR="008219AD" w:rsidRPr="00CF14BD">
              <w:rPr>
                <w:rFonts w:cs="Arial"/>
                <w:sz w:val="18"/>
                <w:szCs w:val="18"/>
              </w:rPr>
              <w:t>zmieniający art. 32 ustawy</w:t>
            </w:r>
            <w:r>
              <w:rPr>
                <w:rFonts w:cs="Arial"/>
                <w:sz w:val="18"/>
                <w:szCs w:val="18"/>
              </w:rPr>
              <w:t xml:space="preserve"> –</w:t>
            </w:r>
            <w:r w:rsidR="008219AD" w:rsidRPr="00CF14BD">
              <w:rPr>
                <w:rFonts w:cs="Arial"/>
                <w:sz w:val="18"/>
                <w:szCs w:val="18"/>
              </w:rPr>
              <w:t xml:space="preserve"> </w:t>
            </w:r>
            <w:r>
              <w:rPr>
                <w:rFonts w:cs="Arial"/>
                <w:sz w:val="18"/>
                <w:szCs w:val="18"/>
              </w:rPr>
              <w:t>P</w:t>
            </w:r>
            <w:r w:rsidR="008219AD" w:rsidRPr="00CF14BD">
              <w:rPr>
                <w:rFonts w:cs="Arial"/>
                <w:sz w:val="18"/>
                <w:szCs w:val="18"/>
              </w:rPr>
              <w:t xml:space="preserve">rawo </w:t>
            </w:r>
            <w:r w:rsidR="008219AD" w:rsidRPr="00CF14BD">
              <w:rPr>
                <w:rFonts w:cs="Arial"/>
                <w:sz w:val="18"/>
                <w:szCs w:val="18"/>
              </w:rPr>
              <w:lastRenderedPageBreak/>
              <w:t>budowlane</w:t>
            </w:r>
            <w:r>
              <w:rPr>
                <w:rFonts w:cs="Arial"/>
                <w:sz w:val="18"/>
                <w:szCs w:val="18"/>
              </w:rPr>
              <w:t>)</w:t>
            </w:r>
          </w:p>
        </w:tc>
        <w:tc>
          <w:tcPr>
            <w:tcW w:w="1843" w:type="dxa"/>
            <w:tcBorders>
              <w:top w:val="single" w:sz="4" w:space="0" w:color="auto"/>
              <w:left w:val="single" w:sz="4" w:space="0" w:color="auto"/>
              <w:bottom w:val="single" w:sz="4" w:space="0" w:color="auto"/>
              <w:right w:val="single" w:sz="4" w:space="0" w:color="auto"/>
            </w:tcBorders>
            <w:hideMark/>
          </w:tcPr>
          <w:p w14:paraId="6B94BE9E" w14:textId="77777777" w:rsidR="008219AD" w:rsidRPr="00CF14BD" w:rsidRDefault="008219AD">
            <w:pPr>
              <w:jc w:val="center"/>
              <w:rPr>
                <w:rFonts w:cs="Arial"/>
                <w:sz w:val="18"/>
                <w:szCs w:val="18"/>
              </w:rPr>
            </w:pPr>
            <w:r w:rsidRPr="00CF14BD">
              <w:rPr>
                <w:rFonts w:cs="Arial"/>
                <w:sz w:val="18"/>
                <w:szCs w:val="18"/>
              </w:rPr>
              <w:lastRenderedPageBreak/>
              <w:t xml:space="preserve">Stowarzyszenie Instytut </w:t>
            </w:r>
            <w:proofErr w:type="spellStart"/>
            <w:r w:rsidRPr="00CF14BD">
              <w:rPr>
                <w:rFonts w:cs="Arial"/>
                <w:sz w:val="18"/>
                <w:szCs w:val="18"/>
              </w:rPr>
              <w:t>Remediacji</w:t>
            </w:r>
            <w:proofErr w:type="spellEnd"/>
            <w:r w:rsidRPr="00CF14BD">
              <w:rPr>
                <w:rFonts w:cs="Arial"/>
                <w:sz w:val="18"/>
                <w:szCs w:val="18"/>
              </w:rPr>
              <w:t xml:space="preserve"> Terenów Zanieczyszczonych</w:t>
            </w:r>
          </w:p>
        </w:tc>
        <w:tc>
          <w:tcPr>
            <w:tcW w:w="6237" w:type="dxa"/>
            <w:tcBorders>
              <w:top w:val="single" w:sz="4" w:space="0" w:color="auto"/>
              <w:left w:val="single" w:sz="4" w:space="0" w:color="auto"/>
              <w:bottom w:val="single" w:sz="4" w:space="0" w:color="auto"/>
              <w:right w:val="single" w:sz="4" w:space="0" w:color="auto"/>
            </w:tcBorders>
          </w:tcPr>
          <w:p w14:paraId="4461AD3B" w14:textId="77777777" w:rsidR="008219AD" w:rsidRPr="00CF14BD" w:rsidRDefault="008219AD">
            <w:pPr>
              <w:rPr>
                <w:rFonts w:cs="Arial"/>
                <w:bCs/>
                <w:sz w:val="18"/>
                <w:szCs w:val="18"/>
              </w:rPr>
            </w:pPr>
            <w:r w:rsidRPr="00CF14BD">
              <w:rPr>
                <w:rFonts w:cs="Arial"/>
                <w:bCs/>
                <w:sz w:val="18"/>
                <w:szCs w:val="18"/>
              </w:rPr>
              <w:t>Proponowana zmiana:</w:t>
            </w:r>
          </w:p>
          <w:p w14:paraId="723F97C2" w14:textId="77777777" w:rsidR="008219AD" w:rsidRPr="00CF14BD" w:rsidRDefault="008219AD">
            <w:pPr>
              <w:rPr>
                <w:rStyle w:val="normaltextrun"/>
                <w:rFonts w:cs="Arial"/>
                <w:sz w:val="18"/>
                <w:szCs w:val="18"/>
              </w:rPr>
            </w:pPr>
            <w:r w:rsidRPr="00CF14BD">
              <w:rPr>
                <w:rStyle w:val="normaltextrun"/>
                <w:rFonts w:cs="Arial"/>
                <w:sz w:val="18"/>
                <w:szCs w:val="18"/>
              </w:rPr>
              <w:t>W art. 32 ust. 1 po pkt. 1 dodaje się pkt. 1a o brzmieniu:</w:t>
            </w:r>
          </w:p>
          <w:p w14:paraId="0CADD9D4" w14:textId="77777777" w:rsidR="008219AD" w:rsidRPr="00CF14BD" w:rsidRDefault="008219AD">
            <w:pPr>
              <w:rPr>
                <w:rStyle w:val="normaltextrun"/>
                <w:rFonts w:cs="Arial"/>
                <w:i/>
                <w:iCs/>
                <w:sz w:val="18"/>
                <w:szCs w:val="18"/>
              </w:rPr>
            </w:pPr>
            <w:r w:rsidRPr="00CF14BD">
              <w:rPr>
                <w:rStyle w:val="normaltextrun"/>
                <w:rFonts w:cs="Arial"/>
                <w:i/>
                <w:iCs/>
                <w:sz w:val="18"/>
                <w:szCs w:val="18"/>
              </w:rPr>
              <w:lastRenderedPageBreak/>
              <w:t xml:space="preserve">„1a) uzyskaniu przez inwestora decyzji właściwego organu ustalającej plan </w:t>
            </w:r>
            <w:proofErr w:type="spellStart"/>
            <w:r w:rsidRPr="00CF14BD">
              <w:rPr>
                <w:rStyle w:val="normaltextrun"/>
                <w:rFonts w:cs="Arial"/>
                <w:i/>
                <w:iCs/>
                <w:sz w:val="18"/>
                <w:szCs w:val="18"/>
              </w:rPr>
              <w:t>remediacji</w:t>
            </w:r>
            <w:proofErr w:type="spellEnd"/>
            <w:r w:rsidRPr="00CF14BD">
              <w:rPr>
                <w:rStyle w:val="normaltextrun"/>
                <w:rFonts w:cs="Arial"/>
                <w:i/>
                <w:iCs/>
                <w:sz w:val="18"/>
                <w:szCs w:val="18"/>
              </w:rPr>
              <w:t xml:space="preserve">  jeśli teren, na którym ma być zlokalizowany obiekt budowlany, jest wpisany do rejestru historycznych zanieczyszczeń powierzchni ziemi, o którym mowa w art. 101c ustawy z dnia 27 kwietnia 2001 r. prawo ochrony środowiska lub rejestru bezpośrednich zagrożeń szkodą w środowisku i szkód w środowisku, o  którym mowa w art. 26a ustawy z dnia 13 kwietnia 2007 r. o zapobieganiu szkodom w środowisku i ich naprawie albo decyzji zwalniającej z obowiązku przeprowadzenia </w:t>
            </w:r>
            <w:proofErr w:type="spellStart"/>
            <w:r w:rsidRPr="00CF14BD">
              <w:rPr>
                <w:rStyle w:val="normaltextrun"/>
                <w:rFonts w:cs="Arial"/>
                <w:i/>
                <w:iCs/>
                <w:sz w:val="18"/>
                <w:szCs w:val="18"/>
              </w:rPr>
              <w:t>remediacji</w:t>
            </w:r>
            <w:proofErr w:type="spellEnd"/>
            <w:r w:rsidRPr="00CF14BD">
              <w:rPr>
                <w:rStyle w:val="normaltextrun"/>
                <w:rFonts w:cs="Arial"/>
                <w:i/>
                <w:iCs/>
                <w:sz w:val="18"/>
                <w:szCs w:val="18"/>
              </w:rPr>
              <w:t>; ”</w:t>
            </w:r>
          </w:p>
          <w:p w14:paraId="048A404F" w14:textId="77777777" w:rsidR="008219AD" w:rsidRPr="00CF14BD" w:rsidRDefault="008219AD">
            <w:pPr>
              <w:rPr>
                <w:rFonts w:cs="Arial"/>
                <w:bCs/>
                <w:sz w:val="18"/>
                <w:szCs w:val="18"/>
              </w:rPr>
            </w:pPr>
            <w:r w:rsidRPr="00CF14BD">
              <w:rPr>
                <w:rStyle w:val="normaltextrun"/>
                <w:rFonts w:cs="Arial"/>
                <w:bCs/>
                <w:sz w:val="18"/>
                <w:szCs w:val="18"/>
              </w:rPr>
              <w:t>Uzasadnienie:</w:t>
            </w:r>
          </w:p>
          <w:p w14:paraId="46D1C335" w14:textId="77777777" w:rsidR="008219AD" w:rsidRPr="00CF14BD" w:rsidRDefault="008219AD">
            <w:pPr>
              <w:rPr>
                <w:rFonts w:cs="Arial"/>
                <w:sz w:val="18"/>
                <w:szCs w:val="18"/>
              </w:rPr>
            </w:pPr>
            <w:r w:rsidRPr="00CF14BD">
              <w:rPr>
                <w:rFonts w:cs="Arial"/>
                <w:sz w:val="18"/>
                <w:szCs w:val="18"/>
              </w:rPr>
              <w:t xml:space="preserve">Pozwolenie na budowę dla terenu zanieczyszczonego, wpisanego do rejestru prowadzonego przez Generalnego Dyrektora Ochrony Środowiska dla terenów zanieczyszczonych powinno być wydane po uzyskaniu decyzji ustalającej plan </w:t>
            </w:r>
            <w:proofErr w:type="spellStart"/>
            <w:r w:rsidRPr="00CF14BD">
              <w:rPr>
                <w:rFonts w:cs="Arial"/>
                <w:sz w:val="18"/>
                <w:szCs w:val="18"/>
              </w:rPr>
              <w:t>remediacji</w:t>
            </w:r>
            <w:proofErr w:type="spellEnd"/>
            <w:r w:rsidRPr="00CF14BD">
              <w:rPr>
                <w:rFonts w:cs="Arial"/>
                <w:sz w:val="18"/>
                <w:szCs w:val="18"/>
              </w:rPr>
              <w:t xml:space="preserve">  lub decyzji zwalniającej z obowiązku przeprowadzenia </w:t>
            </w:r>
            <w:proofErr w:type="spellStart"/>
            <w:r w:rsidRPr="00CF14BD">
              <w:rPr>
                <w:rFonts w:cs="Arial"/>
                <w:sz w:val="18"/>
                <w:szCs w:val="18"/>
              </w:rPr>
              <w:t>remediacji</w:t>
            </w:r>
            <w:proofErr w:type="spellEnd"/>
            <w:r w:rsidRPr="00CF14BD">
              <w:rPr>
                <w:rFonts w:cs="Arial"/>
                <w:sz w:val="18"/>
                <w:szCs w:val="18"/>
              </w:rPr>
              <w:t>.</w:t>
            </w:r>
          </w:p>
          <w:p w14:paraId="783A9E0B" w14:textId="77777777" w:rsidR="008219AD" w:rsidRPr="00CF14BD" w:rsidRDefault="008219AD">
            <w:pPr>
              <w:rPr>
                <w:rFonts w:cs="Arial"/>
                <w:sz w:val="18"/>
                <w:szCs w:val="18"/>
              </w:rPr>
            </w:pPr>
            <w:r w:rsidRPr="00CF14BD">
              <w:rPr>
                <w:rFonts w:cs="Arial"/>
                <w:sz w:val="18"/>
                <w:szCs w:val="18"/>
              </w:rPr>
              <w:t xml:space="preserve">Ustalenie planu </w:t>
            </w:r>
            <w:proofErr w:type="spellStart"/>
            <w:r w:rsidRPr="00CF14BD">
              <w:rPr>
                <w:rFonts w:cs="Arial"/>
                <w:sz w:val="18"/>
                <w:szCs w:val="18"/>
              </w:rPr>
              <w:t>remediacji</w:t>
            </w:r>
            <w:proofErr w:type="spellEnd"/>
            <w:r w:rsidRPr="00CF14BD">
              <w:rPr>
                <w:rFonts w:cs="Arial"/>
                <w:sz w:val="18"/>
                <w:szCs w:val="18"/>
              </w:rPr>
              <w:t xml:space="preserve"> powinno nastąpić przed przystąpieniem do robót budowlanych. Wykonanie </w:t>
            </w:r>
            <w:proofErr w:type="spellStart"/>
            <w:r w:rsidRPr="00CF14BD">
              <w:rPr>
                <w:rFonts w:cs="Arial"/>
                <w:sz w:val="18"/>
                <w:szCs w:val="18"/>
              </w:rPr>
              <w:t>remediacji</w:t>
            </w:r>
            <w:proofErr w:type="spellEnd"/>
            <w:r w:rsidRPr="00CF14BD">
              <w:rPr>
                <w:rFonts w:cs="Arial"/>
                <w:sz w:val="18"/>
                <w:szCs w:val="18"/>
              </w:rPr>
              <w:t xml:space="preserve"> po wykonaniu obiektu budowalnego może okazać się niemożliwe lub znacznie utrudnione. </w:t>
            </w:r>
          </w:p>
          <w:p w14:paraId="7BCE0B5F" w14:textId="77777777" w:rsidR="008219AD" w:rsidRPr="00CF14BD" w:rsidRDefault="008219AD">
            <w:pPr>
              <w:rPr>
                <w:rFonts w:cs="Arial"/>
                <w:sz w:val="18"/>
                <w:szCs w:val="18"/>
              </w:rPr>
            </w:pPr>
            <w:r w:rsidRPr="00CF14BD">
              <w:rPr>
                <w:rFonts w:cs="Arial"/>
                <w:sz w:val="18"/>
                <w:szCs w:val="18"/>
              </w:rPr>
              <w:t xml:space="preserve">Weryfikacja przez organ wydający pozwolenie na budowę spełnienia tego wymogu  nie wiąże się z posiadaniem wiadomości specjalistycznych z zakresu ochrony środowiska, a jedynie sprawdzeniem danych w publicznych rejestrach prowadzonych w formie elektronicznej przez Generalnego Dyrektora Ochrony Środowiska. </w:t>
            </w:r>
          </w:p>
          <w:p w14:paraId="2A9733A0" w14:textId="77777777" w:rsidR="008219AD" w:rsidRPr="00CF14BD" w:rsidRDefault="008219AD">
            <w:pPr>
              <w:rPr>
                <w:rFonts w:cs="Arial"/>
                <w:sz w:val="18"/>
                <w:szCs w:val="18"/>
              </w:rPr>
            </w:pPr>
            <w:r w:rsidRPr="00CF14BD">
              <w:rPr>
                <w:rFonts w:cs="Arial"/>
                <w:sz w:val="18"/>
                <w:szCs w:val="18"/>
              </w:rPr>
              <w:t xml:space="preserve">Dzisiejsze przepisy budowalne i środowiskowe nie wymagają przeprowadzenia </w:t>
            </w:r>
            <w:proofErr w:type="spellStart"/>
            <w:r w:rsidRPr="00CF14BD">
              <w:rPr>
                <w:rFonts w:cs="Arial"/>
                <w:sz w:val="18"/>
                <w:szCs w:val="18"/>
              </w:rPr>
              <w:t>remediacji</w:t>
            </w:r>
            <w:proofErr w:type="spellEnd"/>
            <w:r w:rsidRPr="00CF14BD">
              <w:rPr>
                <w:rFonts w:cs="Arial"/>
                <w:sz w:val="18"/>
                <w:szCs w:val="18"/>
              </w:rPr>
              <w:t xml:space="preserve"> przed wzniesieniem obiektu budowlanego co należy ocenić jako lukę prawną wykorzystywaną przez niektórych inwestorów.  </w:t>
            </w:r>
          </w:p>
          <w:p w14:paraId="05A43B33" w14:textId="77777777" w:rsidR="008219AD" w:rsidRPr="00CF14BD" w:rsidRDefault="008219AD">
            <w:pPr>
              <w:rPr>
                <w:rFonts w:cs="Arial"/>
                <w:i/>
                <w:iCs/>
                <w:sz w:val="18"/>
                <w:szCs w:val="18"/>
              </w:rPr>
            </w:pPr>
            <w:r w:rsidRPr="00CF14BD">
              <w:rPr>
                <w:rFonts w:cs="Arial"/>
                <w:sz w:val="18"/>
                <w:szCs w:val="18"/>
              </w:rPr>
              <w:t>Nieskuteczność obecnie obowiązujących regulacji prawnych potwierdza kontrola przeprowadzona przez Najwyższą Izbę Kontroli – (Działania organów administracji publicznej w zakresie usuwania historycznych zanieczyszczeń powierzchni ziemi; nr </w:t>
            </w:r>
            <w:proofErr w:type="spellStart"/>
            <w:r w:rsidRPr="00CF14BD">
              <w:rPr>
                <w:rFonts w:cs="Arial"/>
                <w:sz w:val="18"/>
                <w:szCs w:val="18"/>
              </w:rPr>
              <w:t>ewid</w:t>
            </w:r>
            <w:proofErr w:type="spellEnd"/>
            <w:r w:rsidRPr="00CF14BD">
              <w:rPr>
                <w:rFonts w:cs="Arial"/>
                <w:sz w:val="18"/>
                <w:szCs w:val="18"/>
              </w:rPr>
              <w:t xml:space="preserve">. 2/2019/P/18/047/KSI), której wyniki zostały ogłoszone 26 czerwca 2019 roku. Z ustaleń NIK wynika, że w przypadku 28,5% skontrolowanych starostw powiatowych i urzędów miast na prawach powiatu </w:t>
            </w:r>
            <w:r w:rsidRPr="00CF14BD">
              <w:rPr>
                <w:rFonts w:cs="Arial"/>
                <w:i/>
                <w:iCs/>
                <w:sz w:val="18"/>
                <w:szCs w:val="18"/>
              </w:rPr>
              <w:t xml:space="preserve">„na terenach, gdzie występowały potencjalne historyczne zanieczyszczenia powierzchni ziemi lub historyczne zanieczyszczenia powierzchni ziemi, prowadzono lub zakończono budowę osiedli mieszkaniowych lub budynków użyteczności publicznej.(…) Ponadto stwierdzono dwa przypadki prowadzenia inwestycji na terenach zanieczyszczonych, chociaż w urzędach posiadano wiedzę o </w:t>
            </w:r>
            <w:r w:rsidRPr="00CF14BD">
              <w:rPr>
                <w:rFonts w:cs="Arial"/>
                <w:i/>
                <w:iCs/>
                <w:sz w:val="18"/>
                <w:szCs w:val="18"/>
              </w:rPr>
              <w:lastRenderedPageBreak/>
              <w:t xml:space="preserve">występujących tam historycznych zanieczyszczeniach powierzchni ziemi, na których nie przeprowadzono </w:t>
            </w:r>
            <w:proofErr w:type="spellStart"/>
            <w:r w:rsidRPr="00CF14BD">
              <w:rPr>
                <w:rFonts w:cs="Arial"/>
                <w:i/>
                <w:iCs/>
                <w:sz w:val="18"/>
                <w:szCs w:val="18"/>
              </w:rPr>
              <w:t>remediacji</w:t>
            </w:r>
            <w:proofErr w:type="spellEnd"/>
            <w:r w:rsidRPr="00CF14BD">
              <w:rPr>
                <w:rFonts w:cs="Arial"/>
                <w:i/>
                <w:iCs/>
                <w:sz w:val="18"/>
                <w:szCs w:val="18"/>
              </w:rPr>
              <w:t>, pomimo takiej konieczności.”</w:t>
            </w:r>
          </w:p>
          <w:p w14:paraId="087FBE3D" w14:textId="77777777" w:rsidR="008219AD" w:rsidRPr="00CF14BD" w:rsidRDefault="008219AD">
            <w:pPr>
              <w:rPr>
                <w:rFonts w:cs="Arial"/>
                <w:sz w:val="18"/>
                <w:szCs w:val="18"/>
              </w:rPr>
            </w:pPr>
          </w:p>
        </w:tc>
        <w:tc>
          <w:tcPr>
            <w:tcW w:w="4252" w:type="dxa"/>
            <w:tcBorders>
              <w:top w:val="single" w:sz="4" w:space="0" w:color="auto"/>
              <w:left w:val="single" w:sz="4" w:space="0" w:color="auto"/>
              <w:bottom w:val="single" w:sz="4" w:space="0" w:color="auto"/>
              <w:right w:val="single" w:sz="4" w:space="0" w:color="auto"/>
            </w:tcBorders>
          </w:tcPr>
          <w:p w14:paraId="425F044C" w14:textId="77777777" w:rsidR="008219AD" w:rsidRPr="00CF14BD" w:rsidRDefault="00BD51DF">
            <w:pPr>
              <w:rPr>
                <w:rFonts w:cs="Arial"/>
                <w:b/>
                <w:sz w:val="18"/>
                <w:szCs w:val="18"/>
              </w:rPr>
            </w:pPr>
            <w:r w:rsidRPr="00CF14BD">
              <w:rPr>
                <w:rFonts w:cs="Arial"/>
                <w:b/>
                <w:sz w:val="18"/>
                <w:szCs w:val="18"/>
              </w:rPr>
              <w:lastRenderedPageBreak/>
              <w:t>Uwaga</w:t>
            </w:r>
            <w:r w:rsidR="00A33349" w:rsidRPr="00CF14BD">
              <w:rPr>
                <w:rFonts w:cs="Arial"/>
                <w:b/>
                <w:sz w:val="18"/>
                <w:szCs w:val="18"/>
              </w:rPr>
              <w:t xml:space="preserve"> nieuwzględniona.</w:t>
            </w:r>
          </w:p>
          <w:p w14:paraId="0D6221F1" w14:textId="77777777" w:rsidR="00A33349" w:rsidRPr="00CF14BD" w:rsidRDefault="00A33349">
            <w:pPr>
              <w:rPr>
                <w:rFonts w:cs="Arial"/>
                <w:sz w:val="18"/>
                <w:szCs w:val="18"/>
              </w:rPr>
            </w:pPr>
            <w:r w:rsidRPr="00CF14BD">
              <w:rPr>
                <w:rFonts w:cs="Arial"/>
                <w:sz w:val="18"/>
                <w:szCs w:val="18"/>
              </w:rPr>
              <w:t xml:space="preserve">Propozycja przewiduje wydanie decyzji przez właściwego organu ustalającej plan </w:t>
            </w:r>
            <w:proofErr w:type="spellStart"/>
            <w:r w:rsidRPr="00CF14BD">
              <w:rPr>
                <w:rFonts w:cs="Arial"/>
                <w:sz w:val="18"/>
                <w:szCs w:val="18"/>
              </w:rPr>
              <w:t>remediacji</w:t>
            </w:r>
            <w:proofErr w:type="spellEnd"/>
            <w:r w:rsidRPr="00CF14BD">
              <w:rPr>
                <w:rFonts w:cs="Arial"/>
                <w:sz w:val="18"/>
                <w:szCs w:val="18"/>
              </w:rPr>
              <w:t xml:space="preserve">. </w:t>
            </w:r>
            <w:r w:rsidRPr="00CF14BD">
              <w:rPr>
                <w:rFonts w:cs="Arial"/>
                <w:sz w:val="18"/>
                <w:szCs w:val="18"/>
              </w:rPr>
              <w:lastRenderedPageBreak/>
              <w:t xml:space="preserve">Uregulowanie takiej kompetencji powinno zostać uregulowane w przepisach przedmiotowo właściwych </w:t>
            </w:r>
            <w:r w:rsidR="008E378E" w:rsidRPr="00CF14BD">
              <w:rPr>
                <w:rFonts w:cs="Arial"/>
                <w:sz w:val="18"/>
                <w:szCs w:val="18"/>
              </w:rPr>
              <w:t>(</w:t>
            </w:r>
            <w:r w:rsidRPr="00CF14BD">
              <w:rPr>
                <w:rFonts w:cs="Arial"/>
                <w:sz w:val="18"/>
                <w:szCs w:val="18"/>
              </w:rPr>
              <w:t>np. Prawo ochrony środowiska).</w:t>
            </w:r>
            <w:r w:rsidR="008E378E" w:rsidRPr="00CF14BD">
              <w:rPr>
                <w:rFonts w:cs="Arial"/>
                <w:sz w:val="18"/>
                <w:szCs w:val="18"/>
              </w:rPr>
              <w:t xml:space="preserve"> Propozycja jest więc niezgodna z § 3 ust. 2 i 3 Zasad techniki prawodawczej.</w:t>
            </w:r>
          </w:p>
          <w:p w14:paraId="249F391C" w14:textId="77777777" w:rsidR="008E378E" w:rsidRPr="00CF14BD" w:rsidRDefault="008E378E">
            <w:pPr>
              <w:rPr>
                <w:rFonts w:cs="Arial"/>
                <w:sz w:val="18"/>
                <w:szCs w:val="18"/>
              </w:rPr>
            </w:pPr>
            <w:r w:rsidRPr="00CF14BD">
              <w:rPr>
                <w:rFonts w:cs="Arial"/>
                <w:sz w:val="18"/>
                <w:szCs w:val="18"/>
              </w:rPr>
              <w:t>Rejestr historycznych zanieczyszczeń powierzchni ziemi nie ma charakteru aktu prawnego. Nie można więc uzależniać wydanie decyzji od informacji znajdujących się w rejestrze. Takie rozwiązanie mogłoby być kwestionowane z uwagi na niezgodność z art. 2, art. 31 ust. 3 i art. 87 Konstytucji RP.</w:t>
            </w:r>
          </w:p>
          <w:p w14:paraId="27B1F22B" w14:textId="5734AEC1" w:rsidR="008E378E" w:rsidRPr="00CF14BD" w:rsidRDefault="008E378E">
            <w:pPr>
              <w:rPr>
                <w:rFonts w:cs="Arial"/>
                <w:sz w:val="18"/>
                <w:szCs w:val="18"/>
              </w:rPr>
            </w:pPr>
            <w:r w:rsidRPr="00CF14BD">
              <w:rPr>
                <w:rFonts w:cs="Arial"/>
                <w:sz w:val="18"/>
                <w:szCs w:val="18"/>
              </w:rPr>
              <w:t>Ponadto propozycja wykracza poza cel nowelizacji (czyli cyfryzację procesu budowlanego</w:t>
            </w:r>
            <w:r w:rsidR="00172ABF" w:rsidRPr="00CF14BD">
              <w:rPr>
                <w:rFonts w:cs="Arial"/>
                <w:sz w:val="18"/>
                <w:szCs w:val="18"/>
              </w:rPr>
              <w:t xml:space="preserve"> i usprawnienie procesu budowlanego</w:t>
            </w:r>
            <w:r w:rsidRPr="00CF14BD">
              <w:rPr>
                <w:rFonts w:cs="Arial"/>
                <w:sz w:val="18"/>
                <w:szCs w:val="18"/>
              </w:rPr>
              <w:t>).</w:t>
            </w:r>
            <w:r w:rsidR="00172ABF" w:rsidRPr="00CF14BD">
              <w:rPr>
                <w:rFonts w:cs="Arial"/>
                <w:sz w:val="18"/>
                <w:szCs w:val="18"/>
              </w:rPr>
              <w:t xml:space="preserve"> Propozycja przewiduje bowiem nałożenie dodatkowego obciążenia na inwestora, które nie służy cyfryzacji.</w:t>
            </w:r>
          </w:p>
        </w:tc>
      </w:tr>
      <w:tr w:rsidR="008219AD" w:rsidRPr="008219AD" w14:paraId="3CAD7E20" w14:textId="77777777" w:rsidTr="008219AD">
        <w:tc>
          <w:tcPr>
            <w:tcW w:w="556" w:type="dxa"/>
            <w:tcBorders>
              <w:top w:val="single" w:sz="4" w:space="0" w:color="auto"/>
              <w:left w:val="single" w:sz="4" w:space="0" w:color="auto"/>
              <w:bottom w:val="single" w:sz="4" w:space="0" w:color="auto"/>
              <w:right w:val="single" w:sz="4" w:space="0" w:color="auto"/>
            </w:tcBorders>
            <w:hideMark/>
          </w:tcPr>
          <w:p w14:paraId="64173EE5" w14:textId="75C97EF6" w:rsidR="008219AD" w:rsidRPr="00CF14BD" w:rsidRDefault="007D1A70">
            <w:pPr>
              <w:jc w:val="center"/>
              <w:rPr>
                <w:rFonts w:cs="Arial"/>
                <w:sz w:val="18"/>
                <w:szCs w:val="18"/>
              </w:rPr>
            </w:pPr>
            <w:r>
              <w:rPr>
                <w:rFonts w:cs="Arial"/>
                <w:sz w:val="18"/>
                <w:szCs w:val="18"/>
              </w:rPr>
              <w:lastRenderedPageBreak/>
              <w:t>4</w:t>
            </w:r>
            <w:r w:rsidR="008219AD" w:rsidRPr="00CF14BD">
              <w:rPr>
                <w:rFonts w:cs="Arial"/>
                <w:sz w:val="18"/>
                <w:szCs w:val="18"/>
              </w:rPr>
              <w:t>.</w:t>
            </w:r>
          </w:p>
        </w:tc>
        <w:tc>
          <w:tcPr>
            <w:tcW w:w="1424" w:type="dxa"/>
            <w:tcBorders>
              <w:top w:val="single" w:sz="4" w:space="0" w:color="auto"/>
              <w:left w:val="single" w:sz="4" w:space="0" w:color="auto"/>
              <w:bottom w:val="single" w:sz="4" w:space="0" w:color="auto"/>
              <w:right w:val="single" w:sz="4" w:space="0" w:color="auto"/>
            </w:tcBorders>
            <w:hideMark/>
          </w:tcPr>
          <w:p w14:paraId="6AD4BF6A" w14:textId="16088D59" w:rsidR="008219AD" w:rsidRPr="00CF14BD" w:rsidRDefault="00CF14BD">
            <w:pPr>
              <w:jc w:val="center"/>
              <w:rPr>
                <w:rFonts w:cs="Arial"/>
                <w:sz w:val="18"/>
                <w:szCs w:val="18"/>
              </w:rPr>
            </w:pPr>
            <w:r w:rsidRPr="00CF14BD">
              <w:rPr>
                <w:rFonts w:cs="Arial"/>
                <w:sz w:val="18"/>
                <w:szCs w:val="18"/>
              </w:rPr>
              <w:t>A</w:t>
            </w:r>
            <w:r w:rsidR="008219AD" w:rsidRPr="00CF14BD">
              <w:rPr>
                <w:rFonts w:cs="Arial"/>
                <w:sz w:val="18"/>
                <w:szCs w:val="18"/>
              </w:rPr>
              <w:t xml:space="preserve">rt. 1 pkt. 8 </w:t>
            </w:r>
            <w:r>
              <w:rPr>
                <w:rFonts w:cs="Arial"/>
                <w:sz w:val="18"/>
                <w:szCs w:val="18"/>
              </w:rPr>
              <w:t>(</w:t>
            </w:r>
            <w:r w:rsidR="008219AD" w:rsidRPr="00CF14BD">
              <w:rPr>
                <w:rFonts w:cs="Arial"/>
                <w:sz w:val="18"/>
                <w:szCs w:val="18"/>
              </w:rPr>
              <w:t>doda</w:t>
            </w:r>
            <w:r>
              <w:rPr>
                <w:rFonts w:cs="Arial"/>
                <w:sz w:val="18"/>
                <w:szCs w:val="18"/>
              </w:rPr>
              <w:t>nie</w:t>
            </w:r>
            <w:r w:rsidR="008219AD" w:rsidRPr="00CF14BD">
              <w:rPr>
                <w:rFonts w:cs="Arial"/>
                <w:sz w:val="18"/>
                <w:szCs w:val="18"/>
              </w:rPr>
              <w:t xml:space="preserve"> now</w:t>
            </w:r>
            <w:r>
              <w:rPr>
                <w:rFonts w:cs="Arial"/>
                <w:sz w:val="18"/>
                <w:szCs w:val="18"/>
              </w:rPr>
              <w:t>ej</w:t>
            </w:r>
            <w:r w:rsidR="008219AD" w:rsidRPr="00CF14BD">
              <w:rPr>
                <w:rFonts w:cs="Arial"/>
                <w:sz w:val="18"/>
                <w:szCs w:val="18"/>
              </w:rPr>
              <w:t xml:space="preserve"> lit. a dodając</w:t>
            </w:r>
            <w:r>
              <w:rPr>
                <w:rFonts w:cs="Arial"/>
                <w:sz w:val="18"/>
                <w:szCs w:val="18"/>
              </w:rPr>
              <w:t>ej</w:t>
            </w:r>
            <w:r w:rsidR="008219AD" w:rsidRPr="00CF14BD">
              <w:rPr>
                <w:rFonts w:cs="Arial"/>
                <w:sz w:val="18"/>
                <w:szCs w:val="18"/>
              </w:rPr>
              <w:t xml:space="preserve"> nową lit</w:t>
            </w:r>
            <w:r>
              <w:rPr>
                <w:rFonts w:cs="Arial"/>
                <w:sz w:val="18"/>
                <w:szCs w:val="18"/>
              </w:rPr>
              <w:t>.</w:t>
            </w:r>
            <w:r w:rsidR="008219AD" w:rsidRPr="00CF14BD">
              <w:rPr>
                <w:rFonts w:cs="Arial"/>
                <w:sz w:val="18"/>
                <w:szCs w:val="18"/>
              </w:rPr>
              <w:t xml:space="preserve"> d w pkt. 1 ust. 1 art. 35</w:t>
            </w:r>
            <w:r>
              <w:rPr>
                <w:rFonts w:cs="Arial"/>
                <w:sz w:val="18"/>
                <w:szCs w:val="18"/>
              </w:rPr>
              <w:t xml:space="preserve"> ustawy –</w:t>
            </w:r>
            <w:r w:rsidR="008219AD" w:rsidRPr="00CF14BD">
              <w:rPr>
                <w:rFonts w:cs="Arial"/>
                <w:sz w:val="18"/>
                <w:szCs w:val="18"/>
              </w:rPr>
              <w:t xml:space="preserve"> </w:t>
            </w:r>
            <w:r>
              <w:rPr>
                <w:rFonts w:cs="Arial"/>
                <w:sz w:val="18"/>
                <w:szCs w:val="18"/>
              </w:rPr>
              <w:t>P</w:t>
            </w:r>
            <w:r w:rsidR="008219AD" w:rsidRPr="00CF14BD">
              <w:rPr>
                <w:rFonts w:cs="Arial"/>
                <w:sz w:val="18"/>
                <w:szCs w:val="18"/>
              </w:rPr>
              <w:t>rawa budowlane</w:t>
            </w:r>
            <w:r>
              <w:rPr>
                <w:rFonts w:cs="Arial"/>
                <w:sz w:val="18"/>
                <w:szCs w:val="18"/>
              </w:rPr>
              <w:t>)</w:t>
            </w:r>
          </w:p>
        </w:tc>
        <w:tc>
          <w:tcPr>
            <w:tcW w:w="1843" w:type="dxa"/>
            <w:tcBorders>
              <w:top w:val="single" w:sz="4" w:space="0" w:color="auto"/>
              <w:left w:val="single" w:sz="4" w:space="0" w:color="auto"/>
              <w:bottom w:val="single" w:sz="4" w:space="0" w:color="auto"/>
              <w:right w:val="single" w:sz="4" w:space="0" w:color="auto"/>
            </w:tcBorders>
            <w:hideMark/>
          </w:tcPr>
          <w:p w14:paraId="7EC038BE" w14:textId="77777777" w:rsidR="008219AD" w:rsidRPr="00CF14BD" w:rsidRDefault="008219AD">
            <w:pPr>
              <w:jc w:val="center"/>
              <w:rPr>
                <w:rFonts w:cs="Arial"/>
                <w:sz w:val="18"/>
                <w:szCs w:val="18"/>
              </w:rPr>
            </w:pPr>
            <w:r w:rsidRPr="00CF14BD">
              <w:rPr>
                <w:rFonts w:cs="Arial"/>
                <w:sz w:val="18"/>
                <w:szCs w:val="18"/>
              </w:rPr>
              <w:t xml:space="preserve">Stowarzyszenie Instytut </w:t>
            </w:r>
            <w:proofErr w:type="spellStart"/>
            <w:r w:rsidRPr="00CF14BD">
              <w:rPr>
                <w:rFonts w:cs="Arial"/>
                <w:sz w:val="18"/>
                <w:szCs w:val="18"/>
              </w:rPr>
              <w:t>Remediacji</w:t>
            </w:r>
            <w:proofErr w:type="spellEnd"/>
            <w:r w:rsidRPr="00CF14BD">
              <w:rPr>
                <w:rFonts w:cs="Arial"/>
                <w:sz w:val="18"/>
                <w:szCs w:val="18"/>
              </w:rPr>
              <w:t xml:space="preserve"> Terenów Zanieczyszczonych</w:t>
            </w:r>
          </w:p>
        </w:tc>
        <w:tc>
          <w:tcPr>
            <w:tcW w:w="6237" w:type="dxa"/>
            <w:tcBorders>
              <w:top w:val="single" w:sz="4" w:space="0" w:color="auto"/>
              <w:left w:val="single" w:sz="4" w:space="0" w:color="auto"/>
              <w:bottom w:val="single" w:sz="4" w:space="0" w:color="auto"/>
              <w:right w:val="single" w:sz="4" w:space="0" w:color="auto"/>
            </w:tcBorders>
            <w:hideMark/>
          </w:tcPr>
          <w:p w14:paraId="2F4DDF50" w14:textId="77777777" w:rsidR="008219AD" w:rsidRPr="00CF14BD" w:rsidRDefault="008219AD">
            <w:pPr>
              <w:rPr>
                <w:rFonts w:cs="Arial"/>
                <w:bCs/>
                <w:sz w:val="18"/>
                <w:szCs w:val="18"/>
              </w:rPr>
            </w:pPr>
            <w:r w:rsidRPr="00CF14BD">
              <w:rPr>
                <w:rFonts w:cs="Arial"/>
                <w:bCs/>
                <w:sz w:val="18"/>
                <w:szCs w:val="18"/>
              </w:rPr>
              <w:t>Proponowana zmiana</w:t>
            </w:r>
          </w:p>
          <w:p w14:paraId="597CD781" w14:textId="77777777" w:rsidR="008219AD" w:rsidRPr="00CF14BD" w:rsidRDefault="008219AD">
            <w:pPr>
              <w:rPr>
                <w:rFonts w:cs="Arial"/>
                <w:sz w:val="18"/>
                <w:szCs w:val="18"/>
              </w:rPr>
            </w:pPr>
            <w:r w:rsidRPr="00CF14BD">
              <w:rPr>
                <w:rFonts w:cs="Arial"/>
                <w:sz w:val="18"/>
                <w:szCs w:val="18"/>
              </w:rPr>
              <w:t>w pkt 1 po lit c) dodaje się lit. d o brzmieniu:</w:t>
            </w:r>
          </w:p>
          <w:p w14:paraId="256448BB" w14:textId="77777777" w:rsidR="008219AD" w:rsidRPr="00CF14BD" w:rsidRDefault="008219AD">
            <w:pPr>
              <w:rPr>
                <w:rStyle w:val="normaltextrun"/>
                <w:rFonts w:cs="Arial"/>
                <w:i/>
                <w:iCs/>
                <w:sz w:val="18"/>
                <w:szCs w:val="18"/>
              </w:rPr>
            </w:pPr>
            <w:r w:rsidRPr="00CF14BD">
              <w:rPr>
                <w:rStyle w:val="normaltextrun"/>
                <w:rFonts w:cs="Arial"/>
                <w:i/>
                <w:iCs/>
                <w:sz w:val="18"/>
                <w:szCs w:val="18"/>
              </w:rPr>
              <w:t>„d) ustaleniami rejestru historycznych zanieczyszczeń powierzchni ziemi, o którym mowa w art. 101c ustawy z dnia 27 kwietnia 2001 r. prawo ochrony środowiska i rejestru bezpośrednich zagrożeń szkodą w środowisku i szkód w środowisku, o  którym mowa w art. 26a ustawy z dnia 13 kwietnia 2007 r. o zapobieganiu szkodom w środowisku i ich naprawie.”</w:t>
            </w:r>
          </w:p>
          <w:p w14:paraId="1346F1BF" w14:textId="77777777" w:rsidR="008219AD" w:rsidRPr="00CF14BD" w:rsidRDefault="008219AD">
            <w:pPr>
              <w:rPr>
                <w:rFonts w:cs="Arial"/>
                <w:bCs/>
                <w:sz w:val="18"/>
                <w:szCs w:val="18"/>
              </w:rPr>
            </w:pPr>
            <w:r w:rsidRPr="00CF14BD">
              <w:rPr>
                <w:rFonts w:cs="Arial"/>
                <w:bCs/>
                <w:sz w:val="18"/>
                <w:szCs w:val="18"/>
              </w:rPr>
              <w:t>Uzasadnienie</w:t>
            </w:r>
          </w:p>
          <w:p w14:paraId="23B4EEA0" w14:textId="77777777" w:rsidR="008219AD" w:rsidRPr="00CF14BD" w:rsidRDefault="008219AD">
            <w:pPr>
              <w:rPr>
                <w:rFonts w:cs="Arial"/>
                <w:sz w:val="18"/>
                <w:szCs w:val="18"/>
              </w:rPr>
            </w:pPr>
            <w:r w:rsidRPr="00CF14BD">
              <w:rPr>
                <w:rFonts w:cs="Arial"/>
                <w:sz w:val="18"/>
                <w:szCs w:val="18"/>
              </w:rPr>
              <w:t xml:space="preserve">Od 19.09.2020r. zgodnie z art. 34 ust. 3 pkt. 2 lit. d prawa budowlanego opinia geotechniczna jest elementem każdego projektu budowlanego. </w:t>
            </w:r>
          </w:p>
          <w:p w14:paraId="6F33397A" w14:textId="77777777" w:rsidR="008219AD" w:rsidRPr="00CF14BD" w:rsidRDefault="008219AD">
            <w:pPr>
              <w:rPr>
                <w:rFonts w:cs="Arial"/>
                <w:sz w:val="18"/>
                <w:szCs w:val="18"/>
              </w:rPr>
            </w:pPr>
            <w:r w:rsidRPr="00CF14BD">
              <w:rPr>
                <w:rFonts w:cs="Arial"/>
                <w:sz w:val="18"/>
                <w:szCs w:val="18"/>
              </w:rPr>
              <w:t xml:space="preserve">Opinia geotechniczna podlegająca zatwierdzeniu pozwoleniem na budowę powinna sygnalizować problem zanieczyszczenia terenu, gdzie ma być zlokalizowany obiekt budowlany. </w:t>
            </w:r>
          </w:p>
          <w:p w14:paraId="1B30F6DB" w14:textId="77777777" w:rsidR="008219AD" w:rsidRPr="00CF14BD" w:rsidRDefault="008219AD">
            <w:pPr>
              <w:rPr>
                <w:rFonts w:cs="Arial"/>
                <w:sz w:val="18"/>
                <w:szCs w:val="18"/>
              </w:rPr>
            </w:pPr>
            <w:r w:rsidRPr="00CF14BD">
              <w:rPr>
                <w:rFonts w:cs="Arial"/>
                <w:sz w:val="18"/>
                <w:szCs w:val="18"/>
              </w:rPr>
              <w:t>Weryfikacja przez organ wydający pozwolenie na budowę zgodności opinii geotechnicznej  z danymi umieszczonymi w publicznych rejestrach prowadzonych w formie elektronicznej przez Generalnego Dyrektora Ochrony Środowiska powinno mieć miejsce w postępowaniu o wydanie pozwolenia na budowę.</w:t>
            </w:r>
          </w:p>
          <w:p w14:paraId="407AFB03" w14:textId="77777777" w:rsidR="008219AD" w:rsidRPr="00CF14BD" w:rsidRDefault="008219AD">
            <w:pPr>
              <w:rPr>
                <w:rFonts w:cs="Arial"/>
                <w:sz w:val="18"/>
                <w:szCs w:val="18"/>
              </w:rPr>
            </w:pPr>
            <w:r w:rsidRPr="00CF14BD">
              <w:rPr>
                <w:rFonts w:cs="Arial"/>
                <w:sz w:val="18"/>
                <w:szCs w:val="18"/>
              </w:rPr>
              <w:t>Zgodnie z §  3 ust. 1 pkt 10 rozporządzenia Ministra Transportu, Budownictwa i Gospodarki Morskiej z dnia 25 kwietnia 2012 r. w sprawie ustalania geotechnicznych warunków </w:t>
            </w:r>
            <w:proofErr w:type="spellStart"/>
            <w:r w:rsidRPr="00CF14BD">
              <w:rPr>
                <w:rFonts w:cs="Arial"/>
                <w:sz w:val="18"/>
                <w:szCs w:val="18"/>
              </w:rPr>
              <w:t>posadawiania</w:t>
            </w:r>
            <w:proofErr w:type="spellEnd"/>
            <w:r w:rsidRPr="00CF14BD">
              <w:rPr>
                <w:rFonts w:cs="Arial"/>
                <w:sz w:val="18"/>
                <w:szCs w:val="18"/>
              </w:rPr>
              <w:t xml:space="preserve"> obiektów budowlanych geotechniczne warunki posadowienia to także ocena stopnia zanieczyszczenia podłoża gruntowego i doboru metody oczyszczania gruntów. Zgodnie z §  3 ust. 3 pkt 1 w/w rozporządzenia geotechniczne warunki posadowienia przedstawia się w formie m.in. opinii geotechnicznej, a zgodnie z §8 tego rozporządzenia opinia geotechniczna powinna ustalać przydatności  gruntów na potrzeby budownictwa. Teren wymagający </w:t>
            </w:r>
            <w:proofErr w:type="spellStart"/>
            <w:r w:rsidRPr="00CF14BD">
              <w:rPr>
                <w:rFonts w:cs="Arial"/>
                <w:sz w:val="18"/>
                <w:szCs w:val="18"/>
              </w:rPr>
              <w:t>remediacji</w:t>
            </w:r>
            <w:proofErr w:type="spellEnd"/>
            <w:r w:rsidRPr="00CF14BD">
              <w:rPr>
                <w:rFonts w:cs="Arial"/>
                <w:sz w:val="18"/>
                <w:szCs w:val="18"/>
              </w:rPr>
              <w:t xml:space="preserve"> bez jej przeprowadzenia może nie być przydatny na potrzeby budownictwa.  </w:t>
            </w:r>
          </w:p>
          <w:p w14:paraId="48FC788F" w14:textId="77777777" w:rsidR="008219AD" w:rsidRPr="00CF14BD" w:rsidRDefault="008219AD">
            <w:pPr>
              <w:rPr>
                <w:rFonts w:cs="Arial"/>
                <w:sz w:val="18"/>
                <w:szCs w:val="18"/>
              </w:rPr>
            </w:pPr>
            <w:r w:rsidRPr="00CF14BD">
              <w:rPr>
                <w:rFonts w:cs="Arial"/>
                <w:sz w:val="18"/>
                <w:szCs w:val="18"/>
              </w:rPr>
              <w:t xml:space="preserve">Powyższe zapisy oznaczają, że projektant przygotowujący projekt budowalny w opinii geotechnicznej  powinien zawsze ocenić sprawę zanieczyszczenia podłoża gruntowego. </w:t>
            </w:r>
          </w:p>
          <w:p w14:paraId="18A9D0F5" w14:textId="77777777" w:rsidR="008219AD" w:rsidRPr="00CF14BD" w:rsidRDefault="008219AD">
            <w:pPr>
              <w:rPr>
                <w:rFonts w:cs="Arial"/>
                <w:sz w:val="18"/>
                <w:szCs w:val="18"/>
              </w:rPr>
            </w:pPr>
            <w:r w:rsidRPr="00CF14BD">
              <w:rPr>
                <w:rFonts w:cs="Arial"/>
                <w:sz w:val="18"/>
                <w:szCs w:val="18"/>
              </w:rPr>
              <w:t xml:space="preserve">Czynnością minimalną na etapie przygotowywania opinii geotechnicznej w naszej ocenie jest sprawdzenie czy dany teren nie został wpisany do </w:t>
            </w:r>
            <w:r w:rsidRPr="00CF14BD">
              <w:rPr>
                <w:rFonts w:cs="Arial"/>
                <w:sz w:val="18"/>
                <w:szCs w:val="18"/>
              </w:rPr>
              <w:lastRenderedPageBreak/>
              <w:t xml:space="preserve">rejestrów terenów zanieczyszczonych prowadzonych przez Generalnego Dyrektora Ochrony Środowiska. Taka czynność nie wymaga przeprowadzenia żadnych badań gruntu. </w:t>
            </w:r>
          </w:p>
        </w:tc>
        <w:tc>
          <w:tcPr>
            <w:tcW w:w="4252" w:type="dxa"/>
            <w:tcBorders>
              <w:top w:val="single" w:sz="4" w:space="0" w:color="auto"/>
              <w:left w:val="single" w:sz="4" w:space="0" w:color="auto"/>
              <w:bottom w:val="single" w:sz="4" w:space="0" w:color="auto"/>
              <w:right w:val="single" w:sz="4" w:space="0" w:color="auto"/>
            </w:tcBorders>
          </w:tcPr>
          <w:p w14:paraId="108FBDEC" w14:textId="77777777" w:rsidR="00A33349" w:rsidRPr="00CF14BD" w:rsidRDefault="00A33349" w:rsidP="00A33349">
            <w:pPr>
              <w:rPr>
                <w:rFonts w:cs="Arial"/>
                <w:b/>
                <w:sz w:val="18"/>
                <w:szCs w:val="18"/>
              </w:rPr>
            </w:pPr>
            <w:r w:rsidRPr="00CF14BD">
              <w:rPr>
                <w:rFonts w:cs="Arial"/>
                <w:b/>
                <w:sz w:val="18"/>
                <w:szCs w:val="18"/>
              </w:rPr>
              <w:lastRenderedPageBreak/>
              <w:t>Uwaga nieuwzględniona.</w:t>
            </w:r>
          </w:p>
          <w:p w14:paraId="1BFA9A96" w14:textId="77777777" w:rsidR="008219AD" w:rsidRPr="00CF14BD" w:rsidRDefault="00A33349" w:rsidP="00A33349">
            <w:pPr>
              <w:rPr>
                <w:rFonts w:cs="Arial"/>
                <w:sz w:val="18"/>
                <w:szCs w:val="18"/>
              </w:rPr>
            </w:pPr>
            <w:r w:rsidRPr="00CF14BD">
              <w:rPr>
                <w:rFonts w:cs="Arial"/>
                <w:sz w:val="18"/>
                <w:szCs w:val="18"/>
              </w:rPr>
              <w:t>Rejestr historycznych zanieczyszczeń powierzchni ziemi nie ma charakteru aktu prawnego. Nie można więc wymagać zgodności inwestycji z takim rejestrem. Takie rozwiązanie mogłoby być kwestionowane z uwagi na niezgodność z art. 2, art. 31 ust. 3 i art. 87 Konstytucji RP.</w:t>
            </w:r>
          </w:p>
          <w:p w14:paraId="45C1F3A9" w14:textId="0A051800" w:rsidR="008E378E" w:rsidRPr="00CF14BD" w:rsidRDefault="00172ABF" w:rsidP="00A33349">
            <w:pPr>
              <w:rPr>
                <w:rFonts w:cs="Arial"/>
                <w:sz w:val="18"/>
                <w:szCs w:val="18"/>
              </w:rPr>
            </w:pPr>
            <w:r w:rsidRPr="00CF14BD">
              <w:rPr>
                <w:rFonts w:cs="Arial"/>
                <w:sz w:val="18"/>
                <w:szCs w:val="18"/>
              </w:rPr>
              <w:t>Ponadto propozycja wykracza poza cel nowelizacji (czyli cyfryzację procesu budowlanego i usprawnienie procesu budowlanego). Propozycja przewiduje bowiem nałożenie dodatkowego obciążenia na inwestora, które nie służy cyfryzacji.</w:t>
            </w:r>
          </w:p>
        </w:tc>
      </w:tr>
      <w:tr w:rsidR="00CF14BD" w:rsidRPr="007223F4" w14:paraId="63D21E1E" w14:textId="77777777" w:rsidTr="00FB5A28">
        <w:tc>
          <w:tcPr>
            <w:tcW w:w="556" w:type="dxa"/>
          </w:tcPr>
          <w:p w14:paraId="3E3E36FB" w14:textId="22B804D2" w:rsidR="00CF14BD" w:rsidRPr="00CF14BD" w:rsidRDefault="007D1A70" w:rsidP="00CF14BD">
            <w:pPr>
              <w:jc w:val="center"/>
              <w:rPr>
                <w:rFonts w:cs="Arial"/>
                <w:sz w:val="18"/>
                <w:szCs w:val="18"/>
              </w:rPr>
            </w:pPr>
            <w:r>
              <w:rPr>
                <w:rFonts w:cs="Arial"/>
                <w:sz w:val="18"/>
                <w:szCs w:val="18"/>
              </w:rPr>
              <w:lastRenderedPageBreak/>
              <w:t>5</w:t>
            </w:r>
            <w:r w:rsidR="00CF14BD" w:rsidRPr="00CF14BD">
              <w:rPr>
                <w:rFonts w:cs="Arial"/>
                <w:sz w:val="18"/>
                <w:szCs w:val="18"/>
              </w:rPr>
              <w:t>.</w:t>
            </w:r>
          </w:p>
        </w:tc>
        <w:tc>
          <w:tcPr>
            <w:tcW w:w="1424" w:type="dxa"/>
          </w:tcPr>
          <w:p w14:paraId="605C6368" w14:textId="66516D29" w:rsidR="00206EE5" w:rsidRDefault="00CF14BD" w:rsidP="00CF14BD">
            <w:pPr>
              <w:jc w:val="center"/>
              <w:rPr>
                <w:rFonts w:cs="Arial"/>
                <w:sz w:val="18"/>
                <w:szCs w:val="18"/>
              </w:rPr>
            </w:pPr>
            <w:r w:rsidRPr="00CF14BD">
              <w:rPr>
                <w:rFonts w:cs="Arial"/>
                <w:sz w:val="18"/>
                <w:szCs w:val="18"/>
              </w:rPr>
              <w:t xml:space="preserve">Art. </w:t>
            </w:r>
            <w:r w:rsidR="00206EE5">
              <w:rPr>
                <w:rFonts w:cs="Arial"/>
                <w:sz w:val="18"/>
                <w:szCs w:val="18"/>
              </w:rPr>
              <w:t>1 pkt 1</w:t>
            </w:r>
          </w:p>
          <w:p w14:paraId="73D01ADD" w14:textId="045E7729" w:rsidR="00CF14BD" w:rsidRPr="00CF14BD" w:rsidRDefault="00206EE5" w:rsidP="00CF14BD">
            <w:pPr>
              <w:jc w:val="center"/>
              <w:rPr>
                <w:rFonts w:cs="Arial"/>
                <w:sz w:val="18"/>
                <w:szCs w:val="18"/>
              </w:rPr>
            </w:pPr>
            <w:r>
              <w:rPr>
                <w:rFonts w:cs="Arial"/>
                <w:sz w:val="18"/>
                <w:szCs w:val="18"/>
              </w:rPr>
              <w:t xml:space="preserve">(art. </w:t>
            </w:r>
            <w:r w:rsidR="00CF14BD" w:rsidRPr="00CF14BD">
              <w:rPr>
                <w:rFonts w:cs="Arial"/>
                <w:sz w:val="18"/>
                <w:szCs w:val="18"/>
              </w:rPr>
              <w:t>3 pkt 13</w:t>
            </w:r>
            <w:r>
              <w:rPr>
                <w:rFonts w:cs="Arial"/>
                <w:sz w:val="18"/>
                <w:szCs w:val="18"/>
              </w:rPr>
              <w:t xml:space="preserve"> ustawy – Prawo budowlane)</w:t>
            </w:r>
          </w:p>
        </w:tc>
        <w:tc>
          <w:tcPr>
            <w:tcW w:w="1843" w:type="dxa"/>
          </w:tcPr>
          <w:p w14:paraId="11A38EC4" w14:textId="4797D83E"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40AA81E1" w14:textId="3A1F848A" w:rsidR="00CF14BD" w:rsidRPr="00CF14BD" w:rsidRDefault="00CF14BD" w:rsidP="00CF14BD">
            <w:pPr>
              <w:rPr>
                <w:rFonts w:cs="Arial"/>
                <w:sz w:val="18"/>
                <w:szCs w:val="18"/>
              </w:rPr>
            </w:pPr>
            <w:r w:rsidRPr="00CF14BD">
              <w:rPr>
                <w:rFonts w:cs="Arial"/>
                <w:sz w:val="18"/>
                <w:szCs w:val="18"/>
              </w:rPr>
              <w:t xml:space="preserve">Uważamy, że dziennik montażu powinien być prowadzony przy realizacji skomplikowanych konstrukcji stalowych lub prefabrykowanych żelbetowych. Proponujemy, by pozostał w uzasadnionych przypadkach załącznikiem do dziennika budowy.  </w:t>
            </w:r>
          </w:p>
        </w:tc>
        <w:tc>
          <w:tcPr>
            <w:tcW w:w="4252" w:type="dxa"/>
          </w:tcPr>
          <w:p w14:paraId="2BE2A743" w14:textId="77777777" w:rsidR="00CF14BD" w:rsidRPr="00206EE5" w:rsidRDefault="00045142" w:rsidP="00CF14BD">
            <w:pPr>
              <w:rPr>
                <w:rFonts w:cs="Arial"/>
                <w:b/>
                <w:sz w:val="18"/>
                <w:szCs w:val="18"/>
              </w:rPr>
            </w:pPr>
            <w:r w:rsidRPr="00206EE5">
              <w:rPr>
                <w:rFonts w:cs="Arial"/>
                <w:b/>
                <w:sz w:val="18"/>
                <w:szCs w:val="18"/>
              </w:rPr>
              <w:t>Uwaga nieuwzględniona.</w:t>
            </w:r>
          </w:p>
          <w:p w14:paraId="7A7B35F6" w14:textId="1676C033" w:rsidR="00045142" w:rsidRPr="00CF14BD" w:rsidRDefault="00206EE5" w:rsidP="00CF14BD">
            <w:pPr>
              <w:rPr>
                <w:rFonts w:cs="Arial"/>
                <w:sz w:val="18"/>
                <w:szCs w:val="18"/>
              </w:rPr>
            </w:pPr>
            <w:r>
              <w:rPr>
                <w:rFonts w:cs="Arial"/>
                <w:sz w:val="18"/>
                <w:szCs w:val="18"/>
              </w:rPr>
              <w:t>Przepisy dążą do ujednolicenia dokumentacji budowy. Nie ma różnicy między dziennikiem budowy i dziennikiem montażu. Dlatego nie ma powodu, by mnożyć byty prawne.</w:t>
            </w:r>
          </w:p>
        </w:tc>
      </w:tr>
      <w:tr w:rsidR="00CF14BD" w:rsidRPr="000D3255" w14:paraId="4ABAE58E" w14:textId="77777777" w:rsidTr="00FB5A28">
        <w:tc>
          <w:tcPr>
            <w:tcW w:w="556" w:type="dxa"/>
          </w:tcPr>
          <w:p w14:paraId="0EDA5991" w14:textId="22F58925" w:rsidR="00CF14BD" w:rsidRPr="00CF14BD" w:rsidRDefault="007D1A70" w:rsidP="00CF14BD">
            <w:pPr>
              <w:jc w:val="center"/>
              <w:rPr>
                <w:rFonts w:cs="Arial"/>
                <w:sz w:val="18"/>
                <w:szCs w:val="18"/>
              </w:rPr>
            </w:pPr>
            <w:r>
              <w:rPr>
                <w:rFonts w:cs="Arial"/>
                <w:sz w:val="18"/>
                <w:szCs w:val="18"/>
              </w:rPr>
              <w:t>6</w:t>
            </w:r>
            <w:r w:rsidR="00CF14BD" w:rsidRPr="00CF14BD">
              <w:rPr>
                <w:rFonts w:cs="Arial"/>
                <w:sz w:val="18"/>
                <w:szCs w:val="18"/>
              </w:rPr>
              <w:t>.</w:t>
            </w:r>
          </w:p>
        </w:tc>
        <w:tc>
          <w:tcPr>
            <w:tcW w:w="1424" w:type="dxa"/>
          </w:tcPr>
          <w:p w14:paraId="33C4A145" w14:textId="1BBD5A26" w:rsidR="00206EE5" w:rsidRDefault="00CF14BD" w:rsidP="00CF14BD">
            <w:pPr>
              <w:jc w:val="center"/>
              <w:rPr>
                <w:rFonts w:cs="Arial"/>
                <w:bCs/>
                <w:sz w:val="18"/>
                <w:szCs w:val="18"/>
              </w:rPr>
            </w:pPr>
            <w:r w:rsidRPr="00CF14BD">
              <w:rPr>
                <w:rFonts w:cs="Arial"/>
                <w:bCs/>
                <w:sz w:val="18"/>
                <w:szCs w:val="18"/>
              </w:rPr>
              <w:t xml:space="preserve">Art. </w:t>
            </w:r>
            <w:r w:rsidR="00206EE5">
              <w:rPr>
                <w:rFonts w:cs="Arial"/>
                <w:bCs/>
                <w:sz w:val="18"/>
                <w:szCs w:val="18"/>
              </w:rPr>
              <w:t>1 pkt 3 lit a</w:t>
            </w:r>
          </w:p>
          <w:p w14:paraId="69AABC08" w14:textId="617B4F23" w:rsidR="00CF14BD" w:rsidRPr="00CF14BD" w:rsidRDefault="00206EE5" w:rsidP="00CF14BD">
            <w:pPr>
              <w:jc w:val="center"/>
              <w:rPr>
                <w:rFonts w:cs="Arial"/>
                <w:sz w:val="18"/>
                <w:szCs w:val="18"/>
              </w:rPr>
            </w:pPr>
            <w:r>
              <w:rPr>
                <w:rFonts w:cs="Arial"/>
                <w:bCs/>
                <w:sz w:val="18"/>
                <w:szCs w:val="18"/>
              </w:rPr>
              <w:t xml:space="preserve">(art. </w:t>
            </w:r>
            <w:r w:rsidR="00CF14BD" w:rsidRPr="00CF14BD">
              <w:rPr>
                <w:rFonts w:cs="Arial"/>
                <w:bCs/>
                <w:sz w:val="18"/>
                <w:szCs w:val="18"/>
              </w:rPr>
              <w:t>12 ust. 9 pkt 9</w:t>
            </w:r>
            <w:r>
              <w:t xml:space="preserve"> </w:t>
            </w:r>
            <w:r w:rsidRPr="00206EE5">
              <w:rPr>
                <w:rFonts w:cs="Arial"/>
                <w:bCs/>
                <w:sz w:val="18"/>
                <w:szCs w:val="18"/>
              </w:rPr>
              <w:t>ustawy – Prawo budowlane)</w:t>
            </w:r>
          </w:p>
        </w:tc>
        <w:tc>
          <w:tcPr>
            <w:tcW w:w="1843" w:type="dxa"/>
          </w:tcPr>
          <w:p w14:paraId="55FC6D20" w14:textId="274FA43C"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069F7862" w14:textId="0003C407" w:rsidR="00CF14BD" w:rsidRPr="00CF14BD" w:rsidRDefault="00CF14BD" w:rsidP="00CF14BD">
            <w:pPr>
              <w:rPr>
                <w:rFonts w:cs="Arial"/>
                <w:sz w:val="18"/>
                <w:szCs w:val="18"/>
              </w:rPr>
            </w:pPr>
            <w:r w:rsidRPr="00CF14BD">
              <w:rPr>
                <w:rFonts w:cs="Arial"/>
                <w:sz w:val="18"/>
                <w:szCs w:val="18"/>
              </w:rPr>
              <w:t>Proponowany zapis „przekazują bezzwłocznie” jest zapisem nie precyzyjnym. Proponujemy określić nie przekraczalny termin np. 14 dni.</w:t>
            </w:r>
          </w:p>
        </w:tc>
        <w:tc>
          <w:tcPr>
            <w:tcW w:w="4252" w:type="dxa"/>
          </w:tcPr>
          <w:p w14:paraId="0CB6AE4C" w14:textId="77777777" w:rsidR="00CF14BD" w:rsidRPr="00206EE5" w:rsidRDefault="00206EE5" w:rsidP="00CF14BD">
            <w:pPr>
              <w:rPr>
                <w:rFonts w:cs="Arial"/>
                <w:b/>
                <w:sz w:val="18"/>
                <w:szCs w:val="18"/>
              </w:rPr>
            </w:pPr>
            <w:r w:rsidRPr="00206EE5">
              <w:rPr>
                <w:rFonts w:cs="Arial"/>
                <w:b/>
                <w:sz w:val="18"/>
                <w:szCs w:val="18"/>
              </w:rPr>
              <w:t>Uwaga nieuwzględniona.</w:t>
            </w:r>
          </w:p>
          <w:p w14:paraId="7E2E2128" w14:textId="1105E4D6" w:rsidR="00206EE5" w:rsidRPr="00CF14BD" w:rsidRDefault="00206EE5" w:rsidP="00CF14BD">
            <w:pPr>
              <w:rPr>
                <w:rFonts w:cs="Arial"/>
                <w:sz w:val="18"/>
                <w:szCs w:val="18"/>
              </w:rPr>
            </w:pPr>
            <w:r>
              <w:rPr>
                <w:rFonts w:cs="Arial"/>
                <w:sz w:val="18"/>
                <w:szCs w:val="18"/>
              </w:rPr>
              <w:t>Termin 14 dni czasami mógłby być nierealny do spełnienia, zwłaszcza w przypadku okresów sesji lub modernizacji albo awarii systemu, za pomocą przekazuje się informacje.</w:t>
            </w:r>
          </w:p>
        </w:tc>
      </w:tr>
      <w:tr w:rsidR="00CF14BD" w:rsidRPr="000D3255" w14:paraId="25F3D0D7" w14:textId="77777777" w:rsidTr="00FB5A28">
        <w:tc>
          <w:tcPr>
            <w:tcW w:w="556" w:type="dxa"/>
          </w:tcPr>
          <w:p w14:paraId="4FBDBACE" w14:textId="165C7B43" w:rsidR="00CF14BD" w:rsidRPr="00CF14BD" w:rsidRDefault="007D1A70" w:rsidP="00CF14BD">
            <w:pPr>
              <w:jc w:val="center"/>
              <w:rPr>
                <w:rFonts w:cs="Arial"/>
                <w:sz w:val="18"/>
                <w:szCs w:val="18"/>
              </w:rPr>
            </w:pPr>
            <w:r>
              <w:rPr>
                <w:rFonts w:cs="Arial"/>
                <w:sz w:val="18"/>
                <w:szCs w:val="18"/>
              </w:rPr>
              <w:t>7.</w:t>
            </w:r>
          </w:p>
        </w:tc>
        <w:tc>
          <w:tcPr>
            <w:tcW w:w="1424" w:type="dxa"/>
          </w:tcPr>
          <w:p w14:paraId="2662C180" w14:textId="327EA815" w:rsidR="00206EE5" w:rsidRDefault="00CF14BD" w:rsidP="00CF14BD">
            <w:pPr>
              <w:jc w:val="center"/>
              <w:rPr>
                <w:rFonts w:cs="Arial"/>
                <w:bCs/>
                <w:sz w:val="18"/>
                <w:szCs w:val="18"/>
              </w:rPr>
            </w:pPr>
            <w:r w:rsidRPr="00CF14BD">
              <w:rPr>
                <w:rFonts w:cs="Arial"/>
                <w:bCs/>
                <w:sz w:val="18"/>
                <w:szCs w:val="18"/>
              </w:rPr>
              <w:t>Art.</w:t>
            </w:r>
            <w:r w:rsidR="00206EE5">
              <w:rPr>
                <w:rFonts w:cs="Arial"/>
                <w:bCs/>
                <w:sz w:val="18"/>
                <w:szCs w:val="18"/>
              </w:rPr>
              <w:t xml:space="preserve"> 1 pkt 16</w:t>
            </w:r>
          </w:p>
          <w:p w14:paraId="3CB444FB" w14:textId="45DE4458" w:rsidR="00CF14BD" w:rsidRPr="00CF14BD" w:rsidRDefault="00206EE5" w:rsidP="00CF14BD">
            <w:pPr>
              <w:jc w:val="center"/>
              <w:rPr>
                <w:rFonts w:cs="Arial"/>
                <w:sz w:val="18"/>
                <w:szCs w:val="18"/>
              </w:rPr>
            </w:pPr>
            <w:r>
              <w:rPr>
                <w:rFonts w:cs="Arial"/>
                <w:bCs/>
                <w:sz w:val="18"/>
                <w:szCs w:val="18"/>
              </w:rPr>
              <w:t xml:space="preserve">(art. </w:t>
            </w:r>
            <w:r w:rsidR="00CF14BD" w:rsidRPr="00CF14BD">
              <w:rPr>
                <w:rFonts w:cs="Arial"/>
                <w:bCs/>
                <w:sz w:val="18"/>
                <w:szCs w:val="18"/>
              </w:rPr>
              <w:t>47</w:t>
            </w:r>
            <w:r>
              <w:t xml:space="preserve"> </w:t>
            </w:r>
            <w:r w:rsidRPr="00206EE5">
              <w:rPr>
                <w:rFonts w:cs="Arial"/>
                <w:bCs/>
                <w:sz w:val="18"/>
                <w:szCs w:val="18"/>
              </w:rPr>
              <w:t>ustawy – Prawo budowlane)</w:t>
            </w:r>
          </w:p>
        </w:tc>
        <w:tc>
          <w:tcPr>
            <w:tcW w:w="1843" w:type="dxa"/>
          </w:tcPr>
          <w:p w14:paraId="6AC72A59" w14:textId="355C4B58"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75B07803" w14:textId="6F71D1D1" w:rsidR="00CF14BD" w:rsidRPr="00CF14BD" w:rsidRDefault="00CF14BD" w:rsidP="00CF14BD">
            <w:pPr>
              <w:rPr>
                <w:rFonts w:cs="Arial"/>
                <w:sz w:val="18"/>
                <w:szCs w:val="18"/>
              </w:rPr>
            </w:pPr>
            <w:r w:rsidRPr="00CF14BD">
              <w:rPr>
                <w:rFonts w:cs="Arial"/>
                <w:sz w:val="18"/>
                <w:szCs w:val="18"/>
              </w:rPr>
              <w:t xml:space="preserve">Należy doprecyzować zapisy, jednoznacznie określające jednoosobową odpowiedzialność kierownika budowy, za właściwe prowadzenie dziennika budowy. </w:t>
            </w:r>
          </w:p>
        </w:tc>
        <w:tc>
          <w:tcPr>
            <w:tcW w:w="4252" w:type="dxa"/>
          </w:tcPr>
          <w:p w14:paraId="0B68F3AB" w14:textId="77777777" w:rsidR="00CF14BD" w:rsidRPr="002C3B42" w:rsidRDefault="00206EE5" w:rsidP="00CF14BD">
            <w:pPr>
              <w:rPr>
                <w:rFonts w:cs="Arial"/>
                <w:b/>
                <w:sz w:val="18"/>
                <w:szCs w:val="18"/>
              </w:rPr>
            </w:pPr>
            <w:r w:rsidRPr="002C3B42">
              <w:rPr>
                <w:rFonts w:cs="Arial"/>
                <w:b/>
                <w:sz w:val="18"/>
                <w:szCs w:val="18"/>
              </w:rPr>
              <w:t>Uwaga niezrozumiała.</w:t>
            </w:r>
          </w:p>
          <w:p w14:paraId="0DF909A6" w14:textId="759D6091" w:rsidR="00206EE5" w:rsidRPr="00CF14BD" w:rsidRDefault="00206EE5" w:rsidP="00CF14BD">
            <w:pPr>
              <w:rPr>
                <w:rFonts w:cs="Arial"/>
                <w:sz w:val="18"/>
                <w:szCs w:val="18"/>
              </w:rPr>
            </w:pPr>
            <w:r>
              <w:rPr>
                <w:rFonts w:cs="Arial"/>
                <w:sz w:val="18"/>
                <w:szCs w:val="18"/>
              </w:rPr>
              <w:t>Kierownik budowy jest zawsze jeden na terenie budowy i odpowiada indywidualnie za swoje obowiązki. Nie wiadomo, jaki przepis miałby być w tym zakresie doprecyzowany, zwłaszcza że wskazany art. 47 ustawy – Prawo budowlane dotyczy w</w:t>
            </w:r>
            <w:r w:rsidRPr="00206EE5">
              <w:rPr>
                <w:rFonts w:cs="Arial"/>
                <w:sz w:val="18"/>
                <w:szCs w:val="18"/>
              </w:rPr>
              <w:t>ejści</w:t>
            </w:r>
            <w:r>
              <w:rPr>
                <w:rFonts w:cs="Arial"/>
                <w:sz w:val="18"/>
                <w:szCs w:val="18"/>
              </w:rPr>
              <w:t>a</w:t>
            </w:r>
            <w:r w:rsidRPr="00206EE5">
              <w:rPr>
                <w:rFonts w:cs="Arial"/>
                <w:sz w:val="18"/>
                <w:szCs w:val="18"/>
              </w:rPr>
              <w:t xml:space="preserve"> do sąsiedniego budynku, lokalu lub na teren sąsiedniej nieruchomości</w:t>
            </w:r>
            <w:r>
              <w:rPr>
                <w:rFonts w:cs="Arial"/>
                <w:sz w:val="18"/>
                <w:szCs w:val="18"/>
              </w:rPr>
              <w:t>.</w:t>
            </w:r>
          </w:p>
        </w:tc>
      </w:tr>
      <w:tr w:rsidR="00CF14BD" w:rsidRPr="000D3255" w14:paraId="24E9CFE0" w14:textId="77777777" w:rsidTr="00FB5A28">
        <w:tc>
          <w:tcPr>
            <w:tcW w:w="556" w:type="dxa"/>
          </w:tcPr>
          <w:p w14:paraId="55746AA1" w14:textId="6CFC7EB1" w:rsidR="00CF14BD" w:rsidRPr="00CF14BD" w:rsidRDefault="007D1A70" w:rsidP="00CF14BD">
            <w:pPr>
              <w:jc w:val="center"/>
              <w:rPr>
                <w:rFonts w:cs="Arial"/>
                <w:sz w:val="18"/>
                <w:szCs w:val="18"/>
              </w:rPr>
            </w:pPr>
            <w:r>
              <w:rPr>
                <w:rFonts w:cs="Arial"/>
                <w:sz w:val="18"/>
                <w:szCs w:val="18"/>
              </w:rPr>
              <w:t>8.</w:t>
            </w:r>
          </w:p>
        </w:tc>
        <w:tc>
          <w:tcPr>
            <w:tcW w:w="1424" w:type="dxa"/>
          </w:tcPr>
          <w:p w14:paraId="030A3BB8" w14:textId="6BC0B397" w:rsidR="00206EE5" w:rsidRDefault="00CF14BD" w:rsidP="00CF14BD">
            <w:pPr>
              <w:jc w:val="center"/>
              <w:rPr>
                <w:rFonts w:cs="Arial"/>
                <w:sz w:val="18"/>
                <w:szCs w:val="18"/>
              </w:rPr>
            </w:pPr>
            <w:r w:rsidRPr="00CF14BD">
              <w:rPr>
                <w:rFonts w:cs="Arial"/>
                <w:sz w:val="18"/>
                <w:szCs w:val="18"/>
              </w:rPr>
              <w:t xml:space="preserve">Art. </w:t>
            </w:r>
            <w:r w:rsidR="00206EE5">
              <w:rPr>
                <w:rFonts w:cs="Arial"/>
                <w:sz w:val="18"/>
                <w:szCs w:val="18"/>
              </w:rPr>
              <w:t>1 pkt 16</w:t>
            </w:r>
          </w:p>
          <w:p w14:paraId="6E2B77FB" w14:textId="4DD61F91" w:rsidR="00CF14BD" w:rsidRPr="00CF14BD" w:rsidRDefault="00206EE5" w:rsidP="00CF14BD">
            <w:pPr>
              <w:jc w:val="center"/>
              <w:rPr>
                <w:rFonts w:cs="Arial"/>
                <w:sz w:val="18"/>
                <w:szCs w:val="18"/>
              </w:rPr>
            </w:pPr>
            <w:r>
              <w:rPr>
                <w:rFonts w:cs="Arial"/>
                <w:sz w:val="18"/>
                <w:szCs w:val="18"/>
              </w:rPr>
              <w:t xml:space="preserve">(art. </w:t>
            </w:r>
            <w:r w:rsidR="00CF14BD" w:rsidRPr="00CF14BD">
              <w:rPr>
                <w:rFonts w:cs="Arial"/>
                <w:sz w:val="18"/>
                <w:szCs w:val="18"/>
              </w:rPr>
              <w:t>47c ust. 1   oraz art. 47k ust.2 i 47n</w:t>
            </w:r>
            <w:r>
              <w:t xml:space="preserve"> </w:t>
            </w:r>
            <w:r w:rsidRPr="00206EE5">
              <w:rPr>
                <w:rFonts w:cs="Arial"/>
                <w:sz w:val="18"/>
                <w:szCs w:val="18"/>
              </w:rPr>
              <w:t>ustawy – Prawo budowlane)</w:t>
            </w:r>
          </w:p>
        </w:tc>
        <w:tc>
          <w:tcPr>
            <w:tcW w:w="1843" w:type="dxa"/>
          </w:tcPr>
          <w:p w14:paraId="14A6BBB1" w14:textId="30C335A1"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5B7B312B" w14:textId="6F091CAC" w:rsidR="00CF14BD" w:rsidRPr="00CF14BD" w:rsidRDefault="00CF14BD" w:rsidP="00CF14BD">
            <w:pPr>
              <w:rPr>
                <w:rFonts w:cs="Arial"/>
                <w:sz w:val="18"/>
                <w:szCs w:val="18"/>
              </w:rPr>
            </w:pPr>
            <w:r w:rsidRPr="00CF14BD">
              <w:rPr>
                <w:rFonts w:cs="Arial"/>
                <w:bCs/>
                <w:sz w:val="18"/>
                <w:szCs w:val="18"/>
              </w:rPr>
              <w:t xml:space="preserve">Art. 47c ust. 1  </w:t>
            </w:r>
            <w:r w:rsidRPr="00CF14BD">
              <w:rPr>
                <w:rFonts w:cs="Arial"/>
                <w:sz w:val="18"/>
                <w:szCs w:val="18"/>
              </w:rPr>
              <w:t xml:space="preserve"> oraz </w:t>
            </w:r>
            <w:r w:rsidRPr="00CF14BD">
              <w:rPr>
                <w:rFonts w:cs="Arial"/>
                <w:bCs/>
                <w:sz w:val="18"/>
                <w:szCs w:val="18"/>
              </w:rPr>
              <w:t xml:space="preserve">art. 47k ust.2 i 47n </w:t>
            </w:r>
            <w:r w:rsidRPr="00CF14BD">
              <w:rPr>
                <w:rFonts w:cs="Arial"/>
                <w:sz w:val="18"/>
                <w:szCs w:val="18"/>
              </w:rPr>
              <w:t xml:space="preserve">mogą powodować nieporozumienia co do obowiązków kierownika budowy i inwestora. Art. 47c ust. 1 stwierdza jednoznacznie odpowiedzialność kierownika budowy za prowadzenie dziennika budowy. Naszym zdaniem to on powinien, po wydaniu dziennika w postaci elektronicznej, zamknąć dziennik w wydaniu papierowym powiadamiając o tym inwestora. W art. 47n – do udostępniania dziennika budowy powinien być upoważniony tylko kierownik budowy. </w:t>
            </w:r>
          </w:p>
        </w:tc>
        <w:tc>
          <w:tcPr>
            <w:tcW w:w="4252" w:type="dxa"/>
          </w:tcPr>
          <w:p w14:paraId="4015BD76" w14:textId="77777777" w:rsidR="00137D11" w:rsidRDefault="00137D11" w:rsidP="00CF14BD">
            <w:pPr>
              <w:rPr>
                <w:rFonts w:cs="Arial"/>
                <w:b/>
                <w:sz w:val="18"/>
                <w:szCs w:val="18"/>
              </w:rPr>
            </w:pPr>
            <w:r w:rsidRPr="00206EE5">
              <w:rPr>
                <w:rFonts w:cs="Arial"/>
                <w:b/>
                <w:sz w:val="18"/>
                <w:szCs w:val="18"/>
              </w:rPr>
              <w:t>Uwaga nieuwzględniona.</w:t>
            </w:r>
          </w:p>
          <w:p w14:paraId="201A1D7C" w14:textId="10FC74B3" w:rsidR="00137D11" w:rsidRPr="00CF14BD" w:rsidRDefault="00137D11" w:rsidP="00CF14BD">
            <w:pPr>
              <w:rPr>
                <w:rFonts w:cs="Arial"/>
                <w:sz w:val="18"/>
                <w:szCs w:val="18"/>
              </w:rPr>
            </w:pPr>
            <w:r>
              <w:rPr>
                <w:rFonts w:cs="Arial"/>
                <w:sz w:val="18"/>
                <w:szCs w:val="18"/>
              </w:rPr>
              <w:t>Kierownik budowy będzie zamykał dziennik budowy. Jednak czasem się zdarza, że kierownika budowy nie ma z uwagi na przerwę na budowie. Stąd musi istnieć możliwość zamknięcia dziennika w przypadku wskazanym w art. 47k ust. 2 przez inwestora.</w:t>
            </w:r>
          </w:p>
        </w:tc>
      </w:tr>
      <w:tr w:rsidR="00CF14BD" w:rsidRPr="000D3255" w14:paraId="6D00C40B" w14:textId="77777777" w:rsidTr="00FB5A28">
        <w:tc>
          <w:tcPr>
            <w:tcW w:w="556" w:type="dxa"/>
          </w:tcPr>
          <w:p w14:paraId="46A90278" w14:textId="4F43B50C" w:rsidR="00CF14BD" w:rsidRPr="00CF14BD" w:rsidRDefault="007D1A70" w:rsidP="00CF14BD">
            <w:pPr>
              <w:jc w:val="center"/>
              <w:rPr>
                <w:rFonts w:cs="Arial"/>
                <w:sz w:val="18"/>
                <w:szCs w:val="18"/>
              </w:rPr>
            </w:pPr>
            <w:r>
              <w:rPr>
                <w:rFonts w:cs="Arial"/>
                <w:sz w:val="18"/>
                <w:szCs w:val="18"/>
              </w:rPr>
              <w:t>9.</w:t>
            </w:r>
          </w:p>
        </w:tc>
        <w:tc>
          <w:tcPr>
            <w:tcW w:w="1424" w:type="dxa"/>
          </w:tcPr>
          <w:p w14:paraId="36B9EB5A" w14:textId="3C872506" w:rsidR="00206EE5" w:rsidRDefault="00206EE5" w:rsidP="00CF14BD">
            <w:pPr>
              <w:jc w:val="center"/>
              <w:rPr>
                <w:rFonts w:cs="Arial"/>
                <w:bCs/>
                <w:sz w:val="18"/>
                <w:szCs w:val="18"/>
              </w:rPr>
            </w:pPr>
            <w:r w:rsidRPr="00206EE5">
              <w:rPr>
                <w:rFonts w:cs="Arial"/>
                <w:bCs/>
                <w:sz w:val="18"/>
                <w:szCs w:val="18"/>
              </w:rPr>
              <w:t>Art. 1 pkt 16</w:t>
            </w:r>
          </w:p>
          <w:p w14:paraId="5CD08E28" w14:textId="545365EE" w:rsidR="00CF14BD" w:rsidRPr="00CF14BD" w:rsidRDefault="00206EE5" w:rsidP="00CF14BD">
            <w:pPr>
              <w:jc w:val="center"/>
              <w:rPr>
                <w:rFonts w:cs="Arial"/>
                <w:sz w:val="18"/>
                <w:szCs w:val="18"/>
              </w:rPr>
            </w:pPr>
            <w:r>
              <w:rPr>
                <w:rFonts w:cs="Arial"/>
                <w:bCs/>
                <w:sz w:val="18"/>
                <w:szCs w:val="18"/>
              </w:rPr>
              <w:t>(a</w:t>
            </w:r>
            <w:r w:rsidR="00CF14BD" w:rsidRPr="00CF14BD">
              <w:rPr>
                <w:rFonts w:cs="Arial"/>
                <w:bCs/>
                <w:sz w:val="18"/>
                <w:szCs w:val="18"/>
              </w:rPr>
              <w:t>rt. 47g ust. 1</w:t>
            </w:r>
            <w:r>
              <w:t xml:space="preserve"> </w:t>
            </w:r>
            <w:r w:rsidRPr="00206EE5">
              <w:rPr>
                <w:rFonts w:cs="Arial"/>
                <w:bCs/>
                <w:sz w:val="18"/>
                <w:szCs w:val="18"/>
              </w:rPr>
              <w:t>ustawy – Prawo budowlane)</w:t>
            </w:r>
          </w:p>
        </w:tc>
        <w:tc>
          <w:tcPr>
            <w:tcW w:w="1843" w:type="dxa"/>
          </w:tcPr>
          <w:p w14:paraId="47EA8932" w14:textId="4BED1FFA"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0B9E15E3" w14:textId="7D6ECBC4" w:rsidR="00CF14BD" w:rsidRPr="00CF14BD" w:rsidRDefault="00CF14BD" w:rsidP="00CF14BD">
            <w:pPr>
              <w:rPr>
                <w:rFonts w:cs="Arial"/>
                <w:sz w:val="18"/>
                <w:szCs w:val="18"/>
              </w:rPr>
            </w:pPr>
            <w:r w:rsidRPr="00CF14BD">
              <w:rPr>
                <w:rFonts w:cs="Arial"/>
                <w:sz w:val="18"/>
                <w:szCs w:val="18"/>
              </w:rPr>
              <w:t>Proponujemy uściślić sposób wystąpienia o wydanie dziennika budowy. Czy pisemnie, elektronicznie czy także ustnie? W praktyce w różnych starostwach występuje każda z opcji.</w:t>
            </w:r>
          </w:p>
        </w:tc>
        <w:tc>
          <w:tcPr>
            <w:tcW w:w="4252" w:type="dxa"/>
          </w:tcPr>
          <w:p w14:paraId="5F33415E" w14:textId="77777777" w:rsidR="00137D11" w:rsidRDefault="00137D11" w:rsidP="00137D11">
            <w:pPr>
              <w:rPr>
                <w:rFonts w:cs="Arial"/>
                <w:b/>
                <w:sz w:val="18"/>
                <w:szCs w:val="18"/>
              </w:rPr>
            </w:pPr>
            <w:r w:rsidRPr="00206EE5">
              <w:rPr>
                <w:rFonts w:cs="Arial"/>
                <w:b/>
                <w:sz w:val="18"/>
                <w:szCs w:val="18"/>
              </w:rPr>
              <w:t>Uwaga nieuwzględniona.</w:t>
            </w:r>
          </w:p>
          <w:p w14:paraId="30DE0185" w14:textId="3F736672" w:rsidR="00CF14BD" w:rsidRDefault="00137D11" w:rsidP="00137D11">
            <w:pPr>
              <w:rPr>
                <w:rFonts w:cs="Arial"/>
                <w:sz w:val="18"/>
                <w:szCs w:val="18"/>
              </w:rPr>
            </w:pPr>
            <w:r>
              <w:rPr>
                <w:rFonts w:cs="Arial"/>
                <w:sz w:val="18"/>
                <w:szCs w:val="18"/>
              </w:rPr>
              <w:t>Dla dziennika budowlanego stosuje się ogólne zasady (czyli można wystąpić elektronicznie, pisemnie czy osobiście). Należy pozostawić obecne rozwiązania w tym zakresie.</w:t>
            </w:r>
          </w:p>
          <w:p w14:paraId="4ABA6D52" w14:textId="20F96FD7" w:rsidR="00137D11" w:rsidRPr="00CF14BD" w:rsidRDefault="00137D11" w:rsidP="00137D11">
            <w:pPr>
              <w:rPr>
                <w:rFonts w:cs="Arial"/>
                <w:sz w:val="18"/>
                <w:szCs w:val="18"/>
              </w:rPr>
            </w:pPr>
            <w:r>
              <w:rPr>
                <w:rFonts w:cs="Arial"/>
                <w:sz w:val="18"/>
                <w:szCs w:val="18"/>
              </w:rPr>
              <w:t>Natomiast o wydanie dziennika budowy w postaci elektronicznej będzie trzeba wystąpić poprzez system EDB.</w:t>
            </w:r>
          </w:p>
        </w:tc>
      </w:tr>
      <w:tr w:rsidR="00CF14BD" w:rsidRPr="000D3255" w14:paraId="53A3EB52" w14:textId="77777777" w:rsidTr="00FB5A28">
        <w:tc>
          <w:tcPr>
            <w:tcW w:w="556" w:type="dxa"/>
          </w:tcPr>
          <w:p w14:paraId="1DFAB40B" w14:textId="3BE3E162" w:rsidR="00CF14BD" w:rsidRPr="00CF14BD" w:rsidRDefault="007D1A70" w:rsidP="00CF14BD">
            <w:pPr>
              <w:jc w:val="center"/>
              <w:rPr>
                <w:rFonts w:cs="Arial"/>
                <w:sz w:val="18"/>
                <w:szCs w:val="18"/>
              </w:rPr>
            </w:pPr>
            <w:r>
              <w:rPr>
                <w:rFonts w:cs="Arial"/>
                <w:sz w:val="18"/>
                <w:szCs w:val="18"/>
              </w:rPr>
              <w:lastRenderedPageBreak/>
              <w:t>10.</w:t>
            </w:r>
          </w:p>
        </w:tc>
        <w:tc>
          <w:tcPr>
            <w:tcW w:w="1424" w:type="dxa"/>
          </w:tcPr>
          <w:p w14:paraId="41193398" w14:textId="77777777" w:rsidR="00206EE5" w:rsidRDefault="00206EE5" w:rsidP="00CF14BD">
            <w:pPr>
              <w:jc w:val="center"/>
              <w:rPr>
                <w:rFonts w:cs="Arial"/>
                <w:bCs/>
                <w:sz w:val="18"/>
                <w:szCs w:val="18"/>
              </w:rPr>
            </w:pPr>
            <w:r w:rsidRPr="00206EE5">
              <w:rPr>
                <w:rFonts w:cs="Arial"/>
                <w:bCs/>
                <w:sz w:val="18"/>
                <w:szCs w:val="18"/>
              </w:rPr>
              <w:t xml:space="preserve">Art. 1 pkt </w:t>
            </w:r>
            <w:r>
              <w:rPr>
                <w:rFonts w:cs="Arial"/>
                <w:bCs/>
                <w:sz w:val="18"/>
                <w:szCs w:val="18"/>
              </w:rPr>
              <w:t>21</w:t>
            </w:r>
          </w:p>
          <w:p w14:paraId="35D9C737" w14:textId="487E93A0" w:rsidR="00CF14BD" w:rsidRPr="00CF14BD" w:rsidRDefault="00206EE5" w:rsidP="00CF14BD">
            <w:pPr>
              <w:jc w:val="center"/>
              <w:rPr>
                <w:rFonts w:cs="Arial"/>
                <w:sz w:val="18"/>
                <w:szCs w:val="18"/>
              </w:rPr>
            </w:pPr>
            <w:r>
              <w:rPr>
                <w:rFonts w:cs="Arial"/>
                <w:bCs/>
                <w:sz w:val="18"/>
                <w:szCs w:val="18"/>
              </w:rPr>
              <w:t>(a</w:t>
            </w:r>
            <w:r w:rsidR="00CF14BD" w:rsidRPr="00CF14BD">
              <w:rPr>
                <w:rFonts w:cs="Arial"/>
                <w:bCs/>
                <w:sz w:val="18"/>
                <w:szCs w:val="18"/>
              </w:rPr>
              <w:t>rt. 60b</w:t>
            </w:r>
            <w:r>
              <w:t xml:space="preserve"> </w:t>
            </w:r>
            <w:r w:rsidRPr="00206EE5">
              <w:rPr>
                <w:rFonts w:cs="Arial"/>
                <w:bCs/>
                <w:sz w:val="18"/>
                <w:szCs w:val="18"/>
              </w:rPr>
              <w:t>ustawy – Prawo budowlane)</w:t>
            </w:r>
          </w:p>
        </w:tc>
        <w:tc>
          <w:tcPr>
            <w:tcW w:w="1843" w:type="dxa"/>
          </w:tcPr>
          <w:p w14:paraId="7EBC4BD0" w14:textId="62F0A664"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18B56BAB" w14:textId="2F5AAC23" w:rsidR="00CF14BD" w:rsidRPr="00CF14BD" w:rsidRDefault="00CF14BD" w:rsidP="00CF14BD">
            <w:pPr>
              <w:rPr>
                <w:rFonts w:cs="Arial"/>
                <w:sz w:val="18"/>
                <w:szCs w:val="18"/>
              </w:rPr>
            </w:pPr>
            <w:r w:rsidRPr="00CF14BD">
              <w:rPr>
                <w:rFonts w:cs="Arial"/>
                <w:sz w:val="18"/>
                <w:szCs w:val="18"/>
              </w:rPr>
              <w:t>Uważamy za stosowne uszczegółowić definicje budownictwa zagrodowego i letniskowego. Budownictwo zagrodowe może posiadać wiele jednostkowych budynków zagrodowych w ramach jednego gospodarstwa rodzinnego, a każdy z budynków może być przeznaczony dla kilku lub kilkunastu czy kilkudziesięciu sztuk trzody lub bydła. Różnica w klasyfikacji budynku zasadnicza.</w:t>
            </w:r>
          </w:p>
        </w:tc>
        <w:tc>
          <w:tcPr>
            <w:tcW w:w="4252" w:type="dxa"/>
          </w:tcPr>
          <w:p w14:paraId="7DBC2F33" w14:textId="77777777" w:rsidR="00137D11" w:rsidRDefault="00137D11" w:rsidP="00137D11">
            <w:pPr>
              <w:rPr>
                <w:rFonts w:cs="Arial"/>
                <w:b/>
                <w:sz w:val="18"/>
                <w:szCs w:val="18"/>
              </w:rPr>
            </w:pPr>
            <w:r w:rsidRPr="00206EE5">
              <w:rPr>
                <w:rFonts w:cs="Arial"/>
                <w:b/>
                <w:sz w:val="18"/>
                <w:szCs w:val="18"/>
              </w:rPr>
              <w:t>Uwaga nieuwzględniona.</w:t>
            </w:r>
          </w:p>
          <w:p w14:paraId="7FD7ECF9" w14:textId="77777777" w:rsidR="00CF14BD" w:rsidRDefault="00137D11" w:rsidP="00137D11">
            <w:pPr>
              <w:rPr>
                <w:rFonts w:cs="Arial"/>
                <w:sz w:val="18"/>
                <w:szCs w:val="18"/>
              </w:rPr>
            </w:pPr>
            <w:r>
              <w:rPr>
                <w:rFonts w:cs="Arial"/>
                <w:sz w:val="18"/>
                <w:szCs w:val="18"/>
              </w:rPr>
              <w:t>Przepis jest powtórzeniem obecnie funkcjonujących rozwiązań prawnych. Rozwiązania te funkcjonują od wielu lat.</w:t>
            </w:r>
          </w:p>
          <w:p w14:paraId="02F03167" w14:textId="3D17F539" w:rsidR="00137D11" w:rsidRPr="00CF14BD" w:rsidRDefault="00137D11" w:rsidP="00137D11">
            <w:pPr>
              <w:rPr>
                <w:rFonts w:cs="Arial"/>
                <w:sz w:val="18"/>
                <w:szCs w:val="18"/>
              </w:rPr>
            </w:pPr>
            <w:r>
              <w:rPr>
                <w:rFonts w:cs="Arial"/>
                <w:sz w:val="18"/>
                <w:szCs w:val="18"/>
              </w:rPr>
              <w:t>Natomiast w uwadze brak jest konkretnej propozycji, w jaki sposób przepis miałby być uszczegółowiony.</w:t>
            </w:r>
          </w:p>
        </w:tc>
      </w:tr>
      <w:tr w:rsidR="00CF14BD" w:rsidRPr="000D3255" w14:paraId="134BFEE1" w14:textId="77777777" w:rsidTr="00FB5A28">
        <w:tc>
          <w:tcPr>
            <w:tcW w:w="556" w:type="dxa"/>
          </w:tcPr>
          <w:p w14:paraId="075EA113" w14:textId="37CAE356" w:rsidR="00CF14BD" w:rsidRPr="00CF14BD" w:rsidRDefault="007D1A70" w:rsidP="00CF14BD">
            <w:pPr>
              <w:jc w:val="center"/>
              <w:rPr>
                <w:rFonts w:cs="Arial"/>
                <w:sz w:val="18"/>
                <w:szCs w:val="18"/>
              </w:rPr>
            </w:pPr>
            <w:r>
              <w:rPr>
                <w:rFonts w:cs="Arial"/>
                <w:sz w:val="18"/>
                <w:szCs w:val="18"/>
              </w:rPr>
              <w:t>11.</w:t>
            </w:r>
          </w:p>
        </w:tc>
        <w:tc>
          <w:tcPr>
            <w:tcW w:w="1424" w:type="dxa"/>
          </w:tcPr>
          <w:p w14:paraId="26D33388" w14:textId="7F4813F4" w:rsidR="00206EE5" w:rsidRDefault="00206EE5" w:rsidP="00CF14BD">
            <w:pPr>
              <w:jc w:val="center"/>
              <w:rPr>
                <w:rFonts w:cs="Arial"/>
                <w:bCs/>
                <w:sz w:val="18"/>
                <w:szCs w:val="18"/>
              </w:rPr>
            </w:pPr>
            <w:r w:rsidRPr="00206EE5">
              <w:rPr>
                <w:rFonts w:cs="Arial"/>
                <w:bCs/>
                <w:sz w:val="18"/>
                <w:szCs w:val="18"/>
              </w:rPr>
              <w:t xml:space="preserve">Art. 1 pkt </w:t>
            </w:r>
            <w:r>
              <w:rPr>
                <w:rFonts w:cs="Arial"/>
                <w:bCs/>
                <w:sz w:val="18"/>
                <w:szCs w:val="18"/>
              </w:rPr>
              <w:t>21</w:t>
            </w:r>
          </w:p>
          <w:p w14:paraId="54561C42" w14:textId="6F3547C7" w:rsidR="00CF14BD" w:rsidRPr="00CF14BD" w:rsidRDefault="00206EE5" w:rsidP="00CF14BD">
            <w:pPr>
              <w:jc w:val="center"/>
              <w:rPr>
                <w:rFonts w:cs="Arial"/>
                <w:sz w:val="18"/>
                <w:szCs w:val="18"/>
              </w:rPr>
            </w:pPr>
            <w:r>
              <w:rPr>
                <w:rFonts w:cs="Arial"/>
                <w:bCs/>
                <w:sz w:val="18"/>
                <w:szCs w:val="18"/>
              </w:rPr>
              <w:t>(a</w:t>
            </w:r>
            <w:r w:rsidR="00CF14BD" w:rsidRPr="00CF14BD">
              <w:rPr>
                <w:rFonts w:cs="Arial"/>
                <w:bCs/>
                <w:sz w:val="18"/>
                <w:szCs w:val="18"/>
              </w:rPr>
              <w:t>rt. 60b</w:t>
            </w:r>
            <w:r>
              <w:t xml:space="preserve"> </w:t>
            </w:r>
            <w:r w:rsidRPr="00206EE5">
              <w:rPr>
                <w:rFonts w:cs="Arial"/>
                <w:bCs/>
                <w:sz w:val="18"/>
                <w:szCs w:val="18"/>
              </w:rPr>
              <w:t>ustawy – Prawo budowlane)</w:t>
            </w:r>
          </w:p>
        </w:tc>
        <w:tc>
          <w:tcPr>
            <w:tcW w:w="1843" w:type="dxa"/>
          </w:tcPr>
          <w:p w14:paraId="0686FF53" w14:textId="452C2BBC" w:rsidR="00CF14BD" w:rsidRPr="00CF14BD" w:rsidRDefault="00CF14BD" w:rsidP="00CF14BD">
            <w:pPr>
              <w:jc w:val="center"/>
              <w:rPr>
                <w:rFonts w:cs="Arial"/>
                <w:sz w:val="18"/>
                <w:szCs w:val="18"/>
              </w:rPr>
            </w:pPr>
            <w:r w:rsidRPr="00CF14BD">
              <w:rPr>
                <w:sz w:val="18"/>
                <w:szCs w:val="18"/>
              </w:rPr>
              <w:t>Izba Projektowania Budowlanego</w:t>
            </w:r>
          </w:p>
        </w:tc>
        <w:tc>
          <w:tcPr>
            <w:tcW w:w="6237" w:type="dxa"/>
          </w:tcPr>
          <w:p w14:paraId="03FDC37C" w14:textId="559B741C" w:rsidR="00CF14BD" w:rsidRPr="00CF14BD" w:rsidRDefault="00CF14BD" w:rsidP="00CF14BD">
            <w:pPr>
              <w:rPr>
                <w:rFonts w:cs="Arial"/>
                <w:sz w:val="18"/>
                <w:szCs w:val="18"/>
              </w:rPr>
            </w:pPr>
            <w:r w:rsidRPr="00CF14BD">
              <w:rPr>
                <w:rFonts w:cs="Arial"/>
                <w:sz w:val="18"/>
                <w:szCs w:val="18"/>
              </w:rPr>
              <w:t xml:space="preserve">Rozporządzenie „o warunkach technicznych jakim powinny odpowiadać budynki i ich usytuowanie” zawarto definicję budownictwa rekreacyjnego, a w ustawie występuje budownictwo letniskowe.  Konieczne jest ujednolicenie zapisu. </w:t>
            </w:r>
          </w:p>
        </w:tc>
        <w:tc>
          <w:tcPr>
            <w:tcW w:w="4252" w:type="dxa"/>
          </w:tcPr>
          <w:p w14:paraId="2072BF06" w14:textId="77777777" w:rsidR="00137D11" w:rsidRDefault="00137D11" w:rsidP="00137D11">
            <w:pPr>
              <w:rPr>
                <w:rFonts w:cs="Arial"/>
                <w:b/>
                <w:sz w:val="18"/>
                <w:szCs w:val="18"/>
              </w:rPr>
            </w:pPr>
            <w:r w:rsidRPr="00206EE5">
              <w:rPr>
                <w:rFonts w:cs="Arial"/>
                <w:b/>
                <w:sz w:val="18"/>
                <w:szCs w:val="18"/>
              </w:rPr>
              <w:t>Uwaga nieuwzględniona.</w:t>
            </w:r>
          </w:p>
          <w:p w14:paraId="39412598" w14:textId="2D5651B2" w:rsidR="00CF14BD" w:rsidRPr="00CF14BD" w:rsidRDefault="00137D11" w:rsidP="00CF14BD">
            <w:pPr>
              <w:rPr>
                <w:rFonts w:cs="Arial"/>
                <w:sz w:val="18"/>
                <w:szCs w:val="18"/>
              </w:rPr>
            </w:pPr>
            <w:r>
              <w:rPr>
                <w:rFonts w:cs="Arial"/>
                <w:sz w:val="18"/>
                <w:szCs w:val="18"/>
              </w:rPr>
              <w:t xml:space="preserve">Ustawa ma pierwszeństwo przed rozporządzeniem. Budownictwo letniskowe </w:t>
            </w:r>
            <w:r w:rsidR="0069662A">
              <w:rPr>
                <w:rFonts w:cs="Arial"/>
                <w:sz w:val="18"/>
                <w:szCs w:val="18"/>
              </w:rPr>
              <w:t xml:space="preserve">występuje w ustawie od wielu lat i w kilku miejscach. Natomiast w rozporządzeniu </w:t>
            </w:r>
            <w:r w:rsidR="0069662A" w:rsidRPr="0069662A">
              <w:rPr>
                <w:rFonts w:cs="Arial"/>
                <w:sz w:val="18"/>
                <w:szCs w:val="18"/>
              </w:rPr>
              <w:t>o warunkach technicznych jakim powinny odpowiadać budynki i ich usytuowanie</w:t>
            </w:r>
            <w:r w:rsidR="0069662A">
              <w:rPr>
                <w:rFonts w:cs="Arial"/>
                <w:sz w:val="18"/>
                <w:szCs w:val="18"/>
              </w:rPr>
              <w:t xml:space="preserve"> pojęcie „budownictwo rekreacyjne” ani nie jest zdefiniowane, ani nawet nie występuje.</w:t>
            </w:r>
          </w:p>
        </w:tc>
      </w:tr>
      <w:tr w:rsidR="00CF14BD" w:rsidRPr="00CB71AF" w14:paraId="2F841577" w14:textId="77777777" w:rsidTr="00FB5A28">
        <w:tc>
          <w:tcPr>
            <w:tcW w:w="556" w:type="dxa"/>
          </w:tcPr>
          <w:p w14:paraId="11B82BA2" w14:textId="50CD1321" w:rsidR="00CF14BD" w:rsidRPr="00CB71AF" w:rsidRDefault="007D1A70" w:rsidP="00B5156D">
            <w:pPr>
              <w:jc w:val="center"/>
              <w:rPr>
                <w:sz w:val="18"/>
                <w:szCs w:val="16"/>
              </w:rPr>
            </w:pPr>
            <w:r w:rsidRPr="00CB71AF">
              <w:rPr>
                <w:sz w:val="18"/>
                <w:szCs w:val="16"/>
              </w:rPr>
              <w:t>12.</w:t>
            </w:r>
          </w:p>
        </w:tc>
        <w:tc>
          <w:tcPr>
            <w:tcW w:w="1424" w:type="dxa"/>
          </w:tcPr>
          <w:p w14:paraId="616EB161" w14:textId="0475233E" w:rsidR="00CF14BD" w:rsidRPr="00CB71AF" w:rsidRDefault="00090FD1" w:rsidP="00B5156D">
            <w:pPr>
              <w:jc w:val="center"/>
              <w:rPr>
                <w:sz w:val="18"/>
                <w:szCs w:val="16"/>
              </w:rPr>
            </w:pPr>
            <w:r w:rsidRPr="00CB71AF">
              <w:rPr>
                <w:sz w:val="18"/>
                <w:szCs w:val="16"/>
              </w:rPr>
              <w:t>Przepisy przejściowe</w:t>
            </w:r>
          </w:p>
        </w:tc>
        <w:tc>
          <w:tcPr>
            <w:tcW w:w="1843" w:type="dxa"/>
          </w:tcPr>
          <w:p w14:paraId="6E97B3AC" w14:textId="0A097219" w:rsidR="00CF14BD" w:rsidRPr="00CB71AF" w:rsidRDefault="00090FD1" w:rsidP="00B5156D">
            <w:pPr>
              <w:jc w:val="center"/>
              <w:rPr>
                <w:sz w:val="18"/>
                <w:szCs w:val="16"/>
              </w:rPr>
            </w:pPr>
            <w:r w:rsidRPr="00CB71AF">
              <w:rPr>
                <w:sz w:val="18"/>
                <w:szCs w:val="16"/>
              </w:rPr>
              <w:t>Krzysztof Siasta</w:t>
            </w:r>
          </w:p>
        </w:tc>
        <w:tc>
          <w:tcPr>
            <w:tcW w:w="6237" w:type="dxa"/>
          </w:tcPr>
          <w:p w14:paraId="02D3DFE2" w14:textId="07772CCB" w:rsidR="00090FD1" w:rsidRPr="00CB71AF" w:rsidRDefault="00090FD1" w:rsidP="00090FD1">
            <w:pPr>
              <w:rPr>
                <w:sz w:val="18"/>
                <w:szCs w:val="16"/>
              </w:rPr>
            </w:pPr>
            <w:r w:rsidRPr="00CB71AF">
              <w:rPr>
                <w:sz w:val="18"/>
                <w:szCs w:val="16"/>
              </w:rPr>
              <w:t>Pragnę zwrócić uwagę że dzienniki budowy drukuje się na zaś i jest potrzeba uregulowania kwestii co zrobić z dziennikami budowy które są wydrukowane,</w:t>
            </w:r>
            <w:r w:rsidR="00A747DE">
              <w:rPr>
                <w:sz w:val="18"/>
                <w:szCs w:val="16"/>
              </w:rPr>
              <w:t xml:space="preserve"> </w:t>
            </w:r>
            <w:r w:rsidRPr="00CB71AF">
              <w:rPr>
                <w:sz w:val="18"/>
                <w:szCs w:val="16"/>
              </w:rPr>
              <w:t>stoją w pudłach na magazynie a nie są jeszcze wydane przez upoważnione do tego Organy</w:t>
            </w:r>
          </w:p>
          <w:p w14:paraId="682C5379" w14:textId="3EB980C5" w:rsidR="00090FD1" w:rsidRPr="00CB71AF" w:rsidRDefault="00090FD1" w:rsidP="00090FD1">
            <w:pPr>
              <w:rPr>
                <w:sz w:val="18"/>
                <w:szCs w:val="16"/>
              </w:rPr>
            </w:pPr>
            <w:r w:rsidRPr="00CB71AF">
              <w:rPr>
                <w:sz w:val="18"/>
                <w:szCs w:val="16"/>
              </w:rPr>
              <w:t>Przykładowo w moim wydawnictwie na magazynie takich dzienników budowy jest jeszcze tysiące sztuk</w:t>
            </w:r>
          </w:p>
          <w:p w14:paraId="04FB61A6" w14:textId="7C46AF21" w:rsidR="00090FD1" w:rsidRPr="00CB71AF" w:rsidRDefault="00090FD1" w:rsidP="00090FD1">
            <w:pPr>
              <w:rPr>
                <w:sz w:val="18"/>
                <w:szCs w:val="16"/>
              </w:rPr>
            </w:pPr>
            <w:r w:rsidRPr="00CB71AF">
              <w:rPr>
                <w:sz w:val="18"/>
                <w:szCs w:val="16"/>
              </w:rPr>
              <w:t>Zostały poniesione bardzo wysokie nakłady finansowe aby te dzienniki budowy wyprodukować</w:t>
            </w:r>
          </w:p>
          <w:p w14:paraId="3ADDD234" w14:textId="77777777" w:rsidR="00090FD1" w:rsidRPr="00CB71AF" w:rsidRDefault="00090FD1" w:rsidP="00090FD1">
            <w:pPr>
              <w:rPr>
                <w:sz w:val="18"/>
                <w:szCs w:val="16"/>
              </w:rPr>
            </w:pPr>
            <w:r w:rsidRPr="00CB71AF">
              <w:rPr>
                <w:sz w:val="18"/>
                <w:szCs w:val="16"/>
              </w:rPr>
              <w:t>Bardzo dobrym rozwiązaniem jeśli chodzi o budowlaną tablicę informacyjną było założenie że stary i nowy wzór budowlanej tablicy informacyjnej obowiązuje równolegle przez rok</w:t>
            </w:r>
          </w:p>
          <w:p w14:paraId="2D92FDD4" w14:textId="77777777" w:rsidR="00090FD1" w:rsidRPr="00CB71AF" w:rsidRDefault="00090FD1" w:rsidP="00090FD1">
            <w:pPr>
              <w:rPr>
                <w:sz w:val="18"/>
                <w:szCs w:val="16"/>
              </w:rPr>
            </w:pPr>
            <w:r w:rsidRPr="00CB71AF">
              <w:rPr>
                <w:sz w:val="18"/>
                <w:szCs w:val="16"/>
              </w:rPr>
              <w:t>Proszę aby podobne rozwiązanie Ustawodawca przyjął w projekcie prac legislacyjnych dotyczących dziennika budowy</w:t>
            </w:r>
          </w:p>
          <w:p w14:paraId="295C35FE" w14:textId="77777777" w:rsidR="00090FD1" w:rsidRPr="00CB71AF" w:rsidRDefault="00090FD1" w:rsidP="00090FD1">
            <w:pPr>
              <w:rPr>
                <w:sz w:val="18"/>
                <w:szCs w:val="16"/>
              </w:rPr>
            </w:pPr>
            <w:r w:rsidRPr="00CB71AF">
              <w:rPr>
                <w:sz w:val="18"/>
                <w:szCs w:val="16"/>
              </w:rPr>
              <w:t>Czas jednego roku w którym obowiązywał by stary i nowy wzór dziennika budowy pozwoli wydawcom na sprzedaż starego wzoru i spokojne wejście w druk nowego wzoru dziennika budowy</w:t>
            </w:r>
          </w:p>
          <w:p w14:paraId="4CD4BABB" w14:textId="1F96EE75" w:rsidR="00CF14BD" w:rsidRPr="00CB71AF" w:rsidRDefault="00090FD1" w:rsidP="00090FD1">
            <w:pPr>
              <w:rPr>
                <w:sz w:val="18"/>
                <w:szCs w:val="16"/>
              </w:rPr>
            </w:pPr>
            <w:r w:rsidRPr="00CB71AF">
              <w:rPr>
                <w:sz w:val="18"/>
                <w:szCs w:val="16"/>
              </w:rPr>
              <w:t>Szanowni Państwo proszę o wzięcie pod uwagę wyżej wymienionych kwestii w pracach legislacyjnych nad projektem dotyczącym dziennika budowy</w:t>
            </w:r>
          </w:p>
        </w:tc>
        <w:tc>
          <w:tcPr>
            <w:tcW w:w="4252" w:type="dxa"/>
          </w:tcPr>
          <w:p w14:paraId="2BD74EE9" w14:textId="77777777" w:rsidR="00CF14BD" w:rsidRPr="00CB71AF" w:rsidRDefault="00090FD1" w:rsidP="00B5156D">
            <w:pPr>
              <w:rPr>
                <w:b/>
                <w:sz w:val="18"/>
                <w:szCs w:val="16"/>
              </w:rPr>
            </w:pPr>
            <w:r w:rsidRPr="00CB71AF">
              <w:rPr>
                <w:b/>
                <w:sz w:val="18"/>
                <w:szCs w:val="16"/>
              </w:rPr>
              <w:t>Uwaga uwzględniona.</w:t>
            </w:r>
          </w:p>
          <w:p w14:paraId="180C6B7B" w14:textId="65C6EBBE" w:rsidR="00090FD1" w:rsidRPr="00CB71AF" w:rsidRDefault="00090FD1" w:rsidP="00B5156D">
            <w:pPr>
              <w:rPr>
                <w:sz w:val="18"/>
                <w:szCs w:val="16"/>
              </w:rPr>
            </w:pPr>
            <w:r w:rsidRPr="00CB71AF">
              <w:rPr>
                <w:sz w:val="18"/>
                <w:szCs w:val="16"/>
              </w:rPr>
              <w:t>Zostanie dodany przepis przejściowy.</w:t>
            </w:r>
          </w:p>
        </w:tc>
      </w:tr>
    </w:tbl>
    <w:p w14:paraId="11FD968C" w14:textId="77777777" w:rsidR="00B363EE" w:rsidRPr="00E14EF5" w:rsidRDefault="00B363EE" w:rsidP="00A67170">
      <w:pPr>
        <w:rPr>
          <w:sz w:val="20"/>
          <w:szCs w:val="20"/>
        </w:rPr>
      </w:pPr>
    </w:p>
    <w:sectPr w:rsidR="00B363EE" w:rsidRPr="00E14EF5" w:rsidSect="0057606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nsid w:val="14FD6158"/>
    <w:multiLevelType w:val="multilevel"/>
    <w:tmpl w:val="E6A26C54"/>
    <w:lvl w:ilvl="0">
      <w:start w:val="1"/>
      <w:numFmt w:val="upperRoman"/>
      <w:lvlText w:val="%1."/>
      <w:lvlJc w:val="righ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95E"/>
    <w:rsid w:val="000000B1"/>
    <w:rsid w:val="000119CD"/>
    <w:rsid w:val="000256D1"/>
    <w:rsid w:val="00045142"/>
    <w:rsid w:val="000831B8"/>
    <w:rsid w:val="000863C1"/>
    <w:rsid w:val="00090FD1"/>
    <w:rsid w:val="000B5D3B"/>
    <w:rsid w:val="000D1068"/>
    <w:rsid w:val="000D3255"/>
    <w:rsid w:val="000E0BBF"/>
    <w:rsid w:val="000F271B"/>
    <w:rsid w:val="0012084B"/>
    <w:rsid w:val="00127DC0"/>
    <w:rsid w:val="00137D11"/>
    <w:rsid w:val="00145DE8"/>
    <w:rsid w:val="00170926"/>
    <w:rsid w:val="001728C2"/>
    <w:rsid w:val="00172ABF"/>
    <w:rsid w:val="001E2AE9"/>
    <w:rsid w:val="001E6782"/>
    <w:rsid w:val="00205E47"/>
    <w:rsid w:val="00206EE5"/>
    <w:rsid w:val="002243F2"/>
    <w:rsid w:val="0025007F"/>
    <w:rsid w:val="002564E6"/>
    <w:rsid w:val="00273D3B"/>
    <w:rsid w:val="002C3B42"/>
    <w:rsid w:val="002D33F6"/>
    <w:rsid w:val="002D77AF"/>
    <w:rsid w:val="002E589F"/>
    <w:rsid w:val="002E7614"/>
    <w:rsid w:val="00306F23"/>
    <w:rsid w:val="003137D3"/>
    <w:rsid w:val="00321848"/>
    <w:rsid w:val="00323B3F"/>
    <w:rsid w:val="00355985"/>
    <w:rsid w:val="00360690"/>
    <w:rsid w:val="00365B38"/>
    <w:rsid w:val="00373532"/>
    <w:rsid w:val="00374453"/>
    <w:rsid w:val="00414E36"/>
    <w:rsid w:val="004157CD"/>
    <w:rsid w:val="00475023"/>
    <w:rsid w:val="0049363F"/>
    <w:rsid w:val="00495C48"/>
    <w:rsid w:val="004A0227"/>
    <w:rsid w:val="004A3B22"/>
    <w:rsid w:val="004B2BB6"/>
    <w:rsid w:val="004C0B0A"/>
    <w:rsid w:val="004C60D8"/>
    <w:rsid w:val="004E2921"/>
    <w:rsid w:val="00510514"/>
    <w:rsid w:val="00512397"/>
    <w:rsid w:val="00512EE0"/>
    <w:rsid w:val="00555D13"/>
    <w:rsid w:val="00557317"/>
    <w:rsid w:val="0057606A"/>
    <w:rsid w:val="005A1BAF"/>
    <w:rsid w:val="005F526E"/>
    <w:rsid w:val="00627801"/>
    <w:rsid w:val="00652A97"/>
    <w:rsid w:val="00654863"/>
    <w:rsid w:val="00657516"/>
    <w:rsid w:val="00661EB3"/>
    <w:rsid w:val="0066346E"/>
    <w:rsid w:val="00672245"/>
    <w:rsid w:val="0069662A"/>
    <w:rsid w:val="00696F71"/>
    <w:rsid w:val="006A212C"/>
    <w:rsid w:val="006E36C2"/>
    <w:rsid w:val="006E5B89"/>
    <w:rsid w:val="006F36D1"/>
    <w:rsid w:val="00710798"/>
    <w:rsid w:val="007223F4"/>
    <w:rsid w:val="007224FA"/>
    <w:rsid w:val="00760CBF"/>
    <w:rsid w:val="00787146"/>
    <w:rsid w:val="0079624B"/>
    <w:rsid w:val="007B074E"/>
    <w:rsid w:val="007D1A70"/>
    <w:rsid w:val="007F3ED8"/>
    <w:rsid w:val="007F42CA"/>
    <w:rsid w:val="008219AD"/>
    <w:rsid w:val="00823C7A"/>
    <w:rsid w:val="00853A3C"/>
    <w:rsid w:val="00873580"/>
    <w:rsid w:val="00874A50"/>
    <w:rsid w:val="008A36C9"/>
    <w:rsid w:val="008B188A"/>
    <w:rsid w:val="008E36C0"/>
    <w:rsid w:val="008E378E"/>
    <w:rsid w:val="008F7446"/>
    <w:rsid w:val="009351FD"/>
    <w:rsid w:val="009363CC"/>
    <w:rsid w:val="00942060"/>
    <w:rsid w:val="009604E7"/>
    <w:rsid w:val="009904A7"/>
    <w:rsid w:val="00992573"/>
    <w:rsid w:val="009B025B"/>
    <w:rsid w:val="009C34C0"/>
    <w:rsid w:val="009C67D8"/>
    <w:rsid w:val="00A06F44"/>
    <w:rsid w:val="00A33349"/>
    <w:rsid w:val="00A443B6"/>
    <w:rsid w:val="00A4615F"/>
    <w:rsid w:val="00A5195E"/>
    <w:rsid w:val="00A57109"/>
    <w:rsid w:val="00A67170"/>
    <w:rsid w:val="00A747DE"/>
    <w:rsid w:val="00A97924"/>
    <w:rsid w:val="00AA0E7B"/>
    <w:rsid w:val="00AA4396"/>
    <w:rsid w:val="00AD5D79"/>
    <w:rsid w:val="00AE21A7"/>
    <w:rsid w:val="00AE709F"/>
    <w:rsid w:val="00B02F24"/>
    <w:rsid w:val="00B06BDF"/>
    <w:rsid w:val="00B11448"/>
    <w:rsid w:val="00B13650"/>
    <w:rsid w:val="00B363EE"/>
    <w:rsid w:val="00B50A61"/>
    <w:rsid w:val="00B50F8F"/>
    <w:rsid w:val="00B5156D"/>
    <w:rsid w:val="00B7090E"/>
    <w:rsid w:val="00BB47BD"/>
    <w:rsid w:val="00BC0195"/>
    <w:rsid w:val="00BD51DF"/>
    <w:rsid w:val="00C44B58"/>
    <w:rsid w:val="00C951CE"/>
    <w:rsid w:val="00CB71AF"/>
    <w:rsid w:val="00CD378B"/>
    <w:rsid w:val="00CE238E"/>
    <w:rsid w:val="00CF14BD"/>
    <w:rsid w:val="00D02976"/>
    <w:rsid w:val="00D05A9F"/>
    <w:rsid w:val="00D14577"/>
    <w:rsid w:val="00D2408B"/>
    <w:rsid w:val="00D66148"/>
    <w:rsid w:val="00D92968"/>
    <w:rsid w:val="00D92C6D"/>
    <w:rsid w:val="00D934CF"/>
    <w:rsid w:val="00DB1604"/>
    <w:rsid w:val="00DB77E2"/>
    <w:rsid w:val="00DB7B7F"/>
    <w:rsid w:val="00DC12FF"/>
    <w:rsid w:val="00DD46C8"/>
    <w:rsid w:val="00DD6F2A"/>
    <w:rsid w:val="00E04585"/>
    <w:rsid w:val="00E13256"/>
    <w:rsid w:val="00E14EF5"/>
    <w:rsid w:val="00E17F5E"/>
    <w:rsid w:val="00E268AD"/>
    <w:rsid w:val="00E31D5E"/>
    <w:rsid w:val="00E35133"/>
    <w:rsid w:val="00E46E49"/>
    <w:rsid w:val="00E960B5"/>
    <w:rsid w:val="00EA2C82"/>
    <w:rsid w:val="00EB09E2"/>
    <w:rsid w:val="00EB45BE"/>
    <w:rsid w:val="00EB5E69"/>
    <w:rsid w:val="00ED0005"/>
    <w:rsid w:val="00EF6FAE"/>
    <w:rsid w:val="00F0090C"/>
    <w:rsid w:val="00F04A92"/>
    <w:rsid w:val="00F17219"/>
    <w:rsid w:val="00F8401E"/>
    <w:rsid w:val="00F95D92"/>
    <w:rsid w:val="00FA0FA0"/>
    <w:rsid w:val="00FA65AA"/>
    <w:rsid w:val="00FB1B1C"/>
    <w:rsid w:val="00FB49B0"/>
    <w:rsid w:val="00FB4B20"/>
    <w:rsid w:val="00FB5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36D1"/>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8219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36D1"/>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821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9602">
      <w:bodyDiv w:val="1"/>
      <w:marLeft w:val="0"/>
      <w:marRight w:val="0"/>
      <w:marTop w:val="0"/>
      <w:marBottom w:val="0"/>
      <w:divBdr>
        <w:top w:val="none" w:sz="0" w:space="0" w:color="auto"/>
        <w:left w:val="none" w:sz="0" w:space="0" w:color="auto"/>
        <w:bottom w:val="none" w:sz="0" w:space="0" w:color="auto"/>
        <w:right w:val="none" w:sz="0" w:space="0" w:color="auto"/>
      </w:divBdr>
    </w:div>
    <w:div w:id="70086026">
      <w:bodyDiv w:val="1"/>
      <w:marLeft w:val="0"/>
      <w:marRight w:val="0"/>
      <w:marTop w:val="0"/>
      <w:marBottom w:val="0"/>
      <w:divBdr>
        <w:top w:val="none" w:sz="0" w:space="0" w:color="auto"/>
        <w:left w:val="none" w:sz="0" w:space="0" w:color="auto"/>
        <w:bottom w:val="none" w:sz="0" w:space="0" w:color="auto"/>
        <w:right w:val="none" w:sz="0" w:space="0" w:color="auto"/>
      </w:divBdr>
    </w:div>
    <w:div w:id="177700729">
      <w:bodyDiv w:val="1"/>
      <w:marLeft w:val="0"/>
      <w:marRight w:val="0"/>
      <w:marTop w:val="0"/>
      <w:marBottom w:val="0"/>
      <w:divBdr>
        <w:top w:val="none" w:sz="0" w:space="0" w:color="auto"/>
        <w:left w:val="none" w:sz="0" w:space="0" w:color="auto"/>
        <w:bottom w:val="none" w:sz="0" w:space="0" w:color="auto"/>
        <w:right w:val="none" w:sz="0" w:space="0" w:color="auto"/>
      </w:divBdr>
    </w:div>
    <w:div w:id="452871328">
      <w:bodyDiv w:val="1"/>
      <w:marLeft w:val="0"/>
      <w:marRight w:val="0"/>
      <w:marTop w:val="0"/>
      <w:marBottom w:val="0"/>
      <w:divBdr>
        <w:top w:val="none" w:sz="0" w:space="0" w:color="auto"/>
        <w:left w:val="none" w:sz="0" w:space="0" w:color="auto"/>
        <w:bottom w:val="none" w:sz="0" w:space="0" w:color="auto"/>
        <w:right w:val="none" w:sz="0" w:space="0" w:color="auto"/>
      </w:divBdr>
    </w:div>
    <w:div w:id="539247284">
      <w:bodyDiv w:val="1"/>
      <w:marLeft w:val="0"/>
      <w:marRight w:val="0"/>
      <w:marTop w:val="0"/>
      <w:marBottom w:val="0"/>
      <w:divBdr>
        <w:top w:val="none" w:sz="0" w:space="0" w:color="auto"/>
        <w:left w:val="none" w:sz="0" w:space="0" w:color="auto"/>
        <w:bottom w:val="none" w:sz="0" w:space="0" w:color="auto"/>
        <w:right w:val="none" w:sz="0" w:space="0" w:color="auto"/>
      </w:divBdr>
    </w:div>
    <w:div w:id="548028895">
      <w:bodyDiv w:val="1"/>
      <w:marLeft w:val="0"/>
      <w:marRight w:val="0"/>
      <w:marTop w:val="0"/>
      <w:marBottom w:val="0"/>
      <w:divBdr>
        <w:top w:val="none" w:sz="0" w:space="0" w:color="auto"/>
        <w:left w:val="none" w:sz="0" w:space="0" w:color="auto"/>
        <w:bottom w:val="none" w:sz="0" w:space="0" w:color="auto"/>
        <w:right w:val="none" w:sz="0" w:space="0" w:color="auto"/>
      </w:divBdr>
    </w:div>
    <w:div w:id="595947300">
      <w:bodyDiv w:val="1"/>
      <w:marLeft w:val="0"/>
      <w:marRight w:val="0"/>
      <w:marTop w:val="0"/>
      <w:marBottom w:val="0"/>
      <w:divBdr>
        <w:top w:val="none" w:sz="0" w:space="0" w:color="auto"/>
        <w:left w:val="none" w:sz="0" w:space="0" w:color="auto"/>
        <w:bottom w:val="none" w:sz="0" w:space="0" w:color="auto"/>
        <w:right w:val="none" w:sz="0" w:space="0" w:color="auto"/>
      </w:divBdr>
    </w:div>
    <w:div w:id="635992187">
      <w:bodyDiv w:val="1"/>
      <w:marLeft w:val="0"/>
      <w:marRight w:val="0"/>
      <w:marTop w:val="0"/>
      <w:marBottom w:val="0"/>
      <w:divBdr>
        <w:top w:val="none" w:sz="0" w:space="0" w:color="auto"/>
        <w:left w:val="none" w:sz="0" w:space="0" w:color="auto"/>
        <w:bottom w:val="none" w:sz="0" w:space="0" w:color="auto"/>
        <w:right w:val="none" w:sz="0" w:space="0" w:color="auto"/>
      </w:divBdr>
    </w:div>
    <w:div w:id="664935293">
      <w:bodyDiv w:val="1"/>
      <w:marLeft w:val="0"/>
      <w:marRight w:val="0"/>
      <w:marTop w:val="0"/>
      <w:marBottom w:val="0"/>
      <w:divBdr>
        <w:top w:val="none" w:sz="0" w:space="0" w:color="auto"/>
        <w:left w:val="none" w:sz="0" w:space="0" w:color="auto"/>
        <w:bottom w:val="none" w:sz="0" w:space="0" w:color="auto"/>
        <w:right w:val="none" w:sz="0" w:space="0" w:color="auto"/>
      </w:divBdr>
    </w:div>
    <w:div w:id="718165151">
      <w:bodyDiv w:val="1"/>
      <w:marLeft w:val="0"/>
      <w:marRight w:val="0"/>
      <w:marTop w:val="0"/>
      <w:marBottom w:val="0"/>
      <w:divBdr>
        <w:top w:val="none" w:sz="0" w:space="0" w:color="auto"/>
        <w:left w:val="none" w:sz="0" w:space="0" w:color="auto"/>
        <w:bottom w:val="none" w:sz="0" w:space="0" w:color="auto"/>
        <w:right w:val="none" w:sz="0" w:space="0" w:color="auto"/>
      </w:divBdr>
    </w:div>
    <w:div w:id="731663031">
      <w:bodyDiv w:val="1"/>
      <w:marLeft w:val="0"/>
      <w:marRight w:val="0"/>
      <w:marTop w:val="0"/>
      <w:marBottom w:val="0"/>
      <w:divBdr>
        <w:top w:val="none" w:sz="0" w:space="0" w:color="auto"/>
        <w:left w:val="none" w:sz="0" w:space="0" w:color="auto"/>
        <w:bottom w:val="none" w:sz="0" w:space="0" w:color="auto"/>
        <w:right w:val="none" w:sz="0" w:space="0" w:color="auto"/>
      </w:divBdr>
    </w:div>
    <w:div w:id="899558650">
      <w:bodyDiv w:val="1"/>
      <w:marLeft w:val="0"/>
      <w:marRight w:val="0"/>
      <w:marTop w:val="0"/>
      <w:marBottom w:val="0"/>
      <w:divBdr>
        <w:top w:val="none" w:sz="0" w:space="0" w:color="auto"/>
        <w:left w:val="none" w:sz="0" w:space="0" w:color="auto"/>
        <w:bottom w:val="none" w:sz="0" w:space="0" w:color="auto"/>
        <w:right w:val="none" w:sz="0" w:space="0" w:color="auto"/>
      </w:divBdr>
    </w:div>
    <w:div w:id="916595094">
      <w:bodyDiv w:val="1"/>
      <w:marLeft w:val="0"/>
      <w:marRight w:val="0"/>
      <w:marTop w:val="0"/>
      <w:marBottom w:val="0"/>
      <w:divBdr>
        <w:top w:val="none" w:sz="0" w:space="0" w:color="auto"/>
        <w:left w:val="none" w:sz="0" w:space="0" w:color="auto"/>
        <w:bottom w:val="none" w:sz="0" w:space="0" w:color="auto"/>
        <w:right w:val="none" w:sz="0" w:space="0" w:color="auto"/>
      </w:divBdr>
    </w:div>
    <w:div w:id="920528203">
      <w:bodyDiv w:val="1"/>
      <w:marLeft w:val="0"/>
      <w:marRight w:val="0"/>
      <w:marTop w:val="0"/>
      <w:marBottom w:val="0"/>
      <w:divBdr>
        <w:top w:val="none" w:sz="0" w:space="0" w:color="auto"/>
        <w:left w:val="none" w:sz="0" w:space="0" w:color="auto"/>
        <w:bottom w:val="none" w:sz="0" w:space="0" w:color="auto"/>
        <w:right w:val="none" w:sz="0" w:space="0" w:color="auto"/>
      </w:divBdr>
    </w:div>
    <w:div w:id="1004748273">
      <w:bodyDiv w:val="1"/>
      <w:marLeft w:val="0"/>
      <w:marRight w:val="0"/>
      <w:marTop w:val="0"/>
      <w:marBottom w:val="0"/>
      <w:divBdr>
        <w:top w:val="none" w:sz="0" w:space="0" w:color="auto"/>
        <w:left w:val="none" w:sz="0" w:space="0" w:color="auto"/>
        <w:bottom w:val="none" w:sz="0" w:space="0" w:color="auto"/>
        <w:right w:val="none" w:sz="0" w:space="0" w:color="auto"/>
      </w:divBdr>
    </w:div>
    <w:div w:id="1011643385">
      <w:bodyDiv w:val="1"/>
      <w:marLeft w:val="0"/>
      <w:marRight w:val="0"/>
      <w:marTop w:val="0"/>
      <w:marBottom w:val="0"/>
      <w:divBdr>
        <w:top w:val="none" w:sz="0" w:space="0" w:color="auto"/>
        <w:left w:val="none" w:sz="0" w:space="0" w:color="auto"/>
        <w:bottom w:val="none" w:sz="0" w:space="0" w:color="auto"/>
        <w:right w:val="none" w:sz="0" w:space="0" w:color="auto"/>
      </w:divBdr>
    </w:div>
    <w:div w:id="1093940876">
      <w:bodyDiv w:val="1"/>
      <w:marLeft w:val="0"/>
      <w:marRight w:val="0"/>
      <w:marTop w:val="0"/>
      <w:marBottom w:val="0"/>
      <w:divBdr>
        <w:top w:val="none" w:sz="0" w:space="0" w:color="auto"/>
        <w:left w:val="none" w:sz="0" w:space="0" w:color="auto"/>
        <w:bottom w:val="none" w:sz="0" w:space="0" w:color="auto"/>
        <w:right w:val="none" w:sz="0" w:space="0" w:color="auto"/>
      </w:divBdr>
    </w:div>
    <w:div w:id="1102336381">
      <w:bodyDiv w:val="1"/>
      <w:marLeft w:val="0"/>
      <w:marRight w:val="0"/>
      <w:marTop w:val="0"/>
      <w:marBottom w:val="0"/>
      <w:divBdr>
        <w:top w:val="none" w:sz="0" w:space="0" w:color="auto"/>
        <w:left w:val="none" w:sz="0" w:space="0" w:color="auto"/>
        <w:bottom w:val="none" w:sz="0" w:space="0" w:color="auto"/>
        <w:right w:val="none" w:sz="0" w:space="0" w:color="auto"/>
      </w:divBdr>
    </w:div>
    <w:div w:id="1103958481">
      <w:bodyDiv w:val="1"/>
      <w:marLeft w:val="0"/>
      <w:marRight w:val="0"/>
      <w:marTop w:val="0"/>
      <w:marBottom w:val="0"/>
      <w:divBdr>
        <w:top w:val="none" w:sz="0" w:space="0" w:color="auto"/>
        <w:left w:val="none" w:sz="0" w:space="0" w:color="auto"/>
        <w:bottom w:val="none" w:sz="0" w:space="0" w:color="auto"/>
        <w:right w:val="none" w:sz="0" w:space="0" w:color="auto"/>
      </w:divBdr>
    </w:div>
    <w:div w:id="1147436358">
      <w:bodyDiv w:val="1"/>
      <w:marLeft w:val="0"/>
      <w:marRight w:val="0"/>
      <w:marTop w:val="0"/>
      <w:marBottom w:val="0"/>
      <w:divBdr>
        <w:top w:val="none" w:sz="0" w:space="0" w:color="auto"/>
        <w:left w:val="none" w:sz="0" w:space="0" w:color="auto"/>
        <w:bottom w:val="none" w:sz="0" w:space="0" w:color="auto"/>
        <w:right w:val="none" w:sz="0" w:space="0" w:color="auto"/>
      </w:divBdr>
    </w:div>
    <w:div w:id="1318069449">
      <w:bodyDiv w:val="1"/>
      <w:marLeft w:val="0"/>
      <w:marRight w:val="0"/>
      <w:marTop w:val="0"/>
      <w:marBottom w:val="0"/>
      <w:divBdr>
        <w:top w:val="none" w:sz="0" w:space="0" w:color="auto"/>
        <w:left w:val="none" w:sz="0" w:space="0" w:color="auto"/>
        <w:bottom w:val="none" w:sz="0" w:space="0" w:color="auto"/>
        <w:right w:val="none" w:sz="0" w:space="0" w:color="auto"/>
      </w:divBdr>
    </w:div>
    <w:div w:id="1387945952">
      <w:bodyDiv w:val="1"/>
      <w:marLeft w:val="0"/>
      <w:marRight w:val="0"/>
      <w:marTop w:val="0"/>
      <w:marBottom w:val="0"/>
      <w:divBdr>
        <w:top w:val="none" w:sz="0" w:space="0" w:color="auto"/>
        <w:left w:val="none" w:sz="0" w:space="0" w:color="auto"/>
        <w:bottom w:val="none" w:sz="0" w:space="0" w:color="auto"/>
        <w:right w:val="none" w:sz="0" w:space="0" w:color="auto"/>
      </w:divBdr>
    </w:div>
    <w:div w:id="1459837629">
      <w:bodyDiv w:val="1"/>
      <w:marLeft w:val="0"/>
      <w:marRight w:val="0"/>
      <w:marTop w:val="0"/>
      <w:marBottom w:val="0"/>
      <w:divBdr>
        <w:top w:val="none" w:sz="0" w:space="0" w:color="auto"/>
        <w:left w:val="none" w:sz="0" w:space="0" w:color="auto"/>
        <w:bottom w:val="none" w:sz="0" w:space="0" w:color="auto"/>
        <w:right w:val="none" w:sz="0" w:space="0" w:color="auto"/>
      </w:divBdr>
    </w:div>
    <w:div w:id="1699355184">
      <w:bodyDiv w:val="1"/>
      <w:marLeft w:val="0"/>
      <w:marRight w:val="0"/>
      <w:marTop w:val="0"/>
      <w:marBottom w:val="0"/>
      <w:divBdr>
        <w:top w:val="none" w:sz="0" w:space="0" w:color="auto"/>
        <w:left w:val="none" w:sz="0" w:space="0" w:color="auto"/>
        <w:bottom w:val="none" w:sz="0" w:space="0" w:color="auto"/>
        <w:right w:val="none" w:sz="0" w:space="0" w:color="auto"/>
      </w:divBdr>
    </w:div>
    <w:div w:id="1874413797">
      <w:bodyDiv w:val="1"/>
      <w:marLeft w:val="0"/>
      <w:marRight w:val="0"/>
      <w:marTop w:val="0"/>
      <w:marBottom w:val="0"/>
      <w:divBdr>
        <w:top w:val="none" w:sz="0" w:space="0" w:color="auto"/>
        <w:left w:val="none" w:sz="0" w:space="0" w:color="auto"/>
        <w:bottom w:val="none" w:sz="0" w:space="0" w:color="auto"/>
        <w:right w:val="none" w:sz="0" w:space="0" w:color="auto"/>
      </w:divBdr>
    </w:div>
    <w:div w:id="1951039418">
      <w:bodyDiv w:val="1"/>
      <w:marLeft w:val="0"/>
      <w:marRight w:val="0"/>
      <w:marTop w:val="0"/>
      <w:marBottom w:val="0"/>
      <w:divBdr>
        <w:top w:val="none" w:sz="0" w:space="0" w:color="auto"/>
        <w:left w:val="none" w:sz="0" w:space="0" w:color="auto"/>
        <w:bottom w:val="none" w:sz="0" w:space="0" w:color="auto"/>
        <w:right w:val="none" w:sz="0" w:space="0" w:color="auto"/>
      </w:divBdr>
    </w:div>
    <w:div w:id="1954827157">
      <w:bodyDiv w:val="1"/>
      <w:marLeft w:val="0"/>
      <w:marRight w:val="0"/>
      <w:marTop w:val="0"/>
      <w:marBottom w:val="0"/>
      <w:divBdr>
        <w:top w:val="none" w:sz="0" w:space="0" w:color="auto"/>
        <w:left w:val="none" w:sz="0" w:space="0" w:color="auto"/>
        <w:bottom w:val="none" w:sz="0" w:space="0" w:color="auto"/>
        <w:right w:val="none" w:sz="0" w:space="0" w:color="auto"/>
      </w:divBdr>
    </w:div>
    <w:div w:id="213150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013CB-4768-4942-AB83-07978F97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1976</Words>
  <Characters>11856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Kozłowski</dc:creator>
  <cp:lastModifiedBy>Autor</cp:lastModifiedBy>
  <cp:revision>2</cp:revision>
  <dcterms:created xsi:type="dcterms:W3CDTF">2021-07-26T10:07:00Z</dcterms:created>
  <dcterms:modified xsi:type="dcterms:W3CDTF">2021-07-26T10:07:00Z</dcterms:modified>
</cp:coreProperties>
</file>