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CB" w:rsidRPr="00653ACB" w:rsidRDefault="00653ACB" w:rsidP="001E19EC">
      <w:pPr>
        <w:spacing w:after="0" w:line="240" w:lineRule="auto"/>
        <w:ind w:left="4248" w:firstLine="1706"/>
        <w:rPr>
          <w:rFonts w:ascii="Times New Roman" w:hAnsi="Times New Roman" w:cs="Times New Roman"/>
          <w:i/>
          <w:lang w:eastAsia="pl-PL"/>
        </w:rPr>
      </w:pPr>
      <w:bookmarkStart w:id="0" w:name="_GoBack"/>
      <w:bookmarkEnd w:id="0"/>
    </w:p>
    <w:p w:rsidR="00C44BE1" w:rsidRPr="00C44BE1" w:rsidRDefault="00C44BE1" w:rsidP="00C44BE1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pl-PL"/>
        </w:rPr>
      </w:pPr>
      <w:r w:rsidRPr="00C44BE1">
        <w:rPr>
          <w:rFonts w:ascii="Times New Roman" w:hAnsi="Times New Roman" w:cs="Times New Roman"/>
          <w:szCs w:val="24"/>
          <w:lang w:eastAsia="pl-PL"/>
        </w:rPr>
        <w:t>Zatwierdzone:</w:t>
      </w:r>
    </w:p>
    <w:p w:rsidR="00C44BE1" w:rsidRPr="00C44BE1" w:rsidRDefault="00196795" w:rsidP="00C44BE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</w:t>
      </w:r>
      <w:r w:rsidR="00C44BE1">
        <w:rPr>
          <w:rFonts w:ascii="Times New Roman" w:hAnsi="Times New Roman" w:cs="Times New Roman"/>
          <w:b/>
          <w:szCs w:val="24"/>
        </w:rPr>
        <w:t xml:space="preserve"> Zarządu NFOŚiGW nr B/48/1/2014  z dnia 11.09</w:t>
      </w:r>
      <w:r w:rsidR="00C44BE1" w:rsidRPr="00C44BE1">
        <w:rPr>
          <w:rFonts w:ascii="Times New Roman" w:hAnsi="Times New Roman" w:cs="Times New Roman"/>
          <w:b/>
          <w:szCs w:val="24"/>
        </w:rPr>
        <w:t>.2014 r.</w:t>
      </w:r>
    </w:p>
    <w:p w:rsidR="00196795" w:rsidRDefault="00196795" w:rsidP="001967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Zmienione:</w:t>
      </w:r>
    </w:p>
    <w:p w:rsidR="00196795" w:rsidRDefault="00196795" w:rsidP="00532DF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Decyzją Dyrektora Biura nr 45/DB/2014 z dnia 23.12</w:t>
      </w:r>
      <w:r w:rsidRPr="00196795">
        <w:rPr>
          <w:rFonts w:ascii="Times New Roman" w:hAnsi="Times New Roman"/>
          <w:b/>
        </w:rPr>
        <w:t>.2014 r.</w:t>
      </w:r>
    </w:p>
    <w:p w:rsidR="00532DF1" w:rsidRPr="00196795" w:rsidRDefault="00532DF1" w:rsidP="00532DF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Cs w:val="24"/>
        </w:rPr>
        <w:t>Uchwałą Zarządu NFOŚiGW nr A/11/1/2021  z dnia 15.02.2021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:rsidR="00637AEA" w:rsidRDefault="00637AEA" w:rsidP="00C44B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7AEA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37AEA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37AEA" w:rsidRPr="00F03CC8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CC8">
        <w:rPr>
          <w:rFonts w:ascii="Times New Roman" w:hAnsi="Times New Roman" w:cs="Times New Roman"/>
          <w:b/>
          <w:bCs/>
          <w:sz w:val="36"/>
          <w:szCs w:val="36"/>
        </w:rPr>
        <w:t xml:space="preserve">Wytyczne w zakresie kosztów kwalifikowanych </w:t>
      </w:r>
    </w:p>
    <w:p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:rsidR="00637AEA" w:rsidRPr="00415498" w:rsidRDefault="00637AEA" w:rsidP="005C7224">
      <w:pPr>
        <w:jc w:val="center"/>
      </w:pPr>
    </w:p>
    <w:p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:rsidR="00637AEA" w:rsidRPr="00805AB3" w:rsidRDefault="005F7750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614170" cy="1884680"/>
            <wp:effectExtent l="19050" t="0" r="5080" b="0"/>
            <wp:docPr id="1" name="Obraz 0" descr="logo_kolor_bez_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kolor_bez_naz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:rsidR="00637AEA" w:rsidRDefault="00637AEA" w:rsidP="00415498">
      <w:pPr>
        <w:jc w:val="center"/>
        <w:rPr>
          <w:rFonts w:ascii="Times New Roman" w:hAnsi="Times New Roman" w:cs="Times New Roman"/>
          <w:i/>
          <w:iCs/>
        </w:rPr>
      </w:pPr>
    </w:p>
    <w:p w:rsidR="008B2ADF" w:rsidRDefault="008B2ADF" w:rsidP="0041549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B2ADF" w:rsidRDefault="008B2ADF" w:rsidP="008B2ADF">
      <w:pPr>
        <w:rPr>
          <w:i/>
        </w:rPr>
      </w:pPr>
    </w:p>
    <w:p w:rsidR="008B2ADF" w:rsidRDefault="008B2ADF" w:rsidP="008B2ADF">
      <w:pPr>
        <w:rPr>
          <w:i/>
        </w:rPr>
      </w:pPr>
    </w:p>
    <w:p w:rsidR="008B2ADF" w:rsidRDefault="008B2ADF" w:rsidP="008B2ADF">
      <w:pPr>
        <w:rPr>
          <w:i/>
        </w:rPr>
      </w:pPr>
    </w:p>
    <w:p w:rsidR="008B2ADF" w:rsidRPr="008B2ADF" w:rsidRDefault="008B2ADF" w:rsidP="008B2ADF">
      <w:pPr>
        <w:rPr>
          <w:rFonts w:ascii="Times New Roman" w:hAnsi="Times New Roman" w:cs="Times New Roman"/>
          <w:i/>
        </w:rPr>
      </w:pPr>
    </w:p>
    <w:p w:rsidR="008B2ADF" w:rsidRDefault="008B2ADF" w:rsidP="008B2AD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33471C" w:rsidRPr="00637FBD" w:rsidRDefault="00637AEA" w:rsidP="00637FB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Warszawa, </w:t>
      </w:r>
      <w:r w:rsidR="00532DF1">
        <w:rPr>
          <w:rFonts w:ascii="Times New Roman" w:hAnsi="Times New Roman" w:cs="Times New Roman"/>
          <w:b/>
          <w:iCs/>
          <w:sz w:val="28"/>
          <w:szCs w:val="28"/>
        </w:rPr>
        <w:t>luty</w:t>
      </w:r>
      <w:r w:rsidR="001758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2DF1">
        <w:rPr>
          <w:rFonts w:ascii="Times New Roman" w:hAnsi="Times New Roman" w:cs="Times New Roman"/>
          <w:b/>
          <w:iCs/>
          <w:sz w:val="28"/>
          <w:szCs w:val="28"/>
        </w:rPr>
        <w:t>2021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 r.</w:t>
      </w:r>
    </w:p>
    <w:p w:rsidR="00B02563" w:rsidRDefault="00B02563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2563" w:rsidRDefault="00B02563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7AEA" w:rsidRPr="00F70C22" w:rsidRDefault="00637AEA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0C22">
        <w:rPr>
          <w:rFonts w:ascii="Times New Roman" w:hAnsi="Times New Roman" w:cs="Times New Roman"/>
          <w:b/>
          <w:bCs/>
          <w:iCs/>
          <w:sz w:val="28"/>
          <w:szCs w:val="28"/>
        </w:rPr>
        <w:t>SPIS TREŚCI</w:t>
      </w:r>
    </w:p>
    <w:p w:rsidR="00E67D20" w:rsidRPr="00E67D20" w:rsidRDefault="009A487B">
      <w:pPr>
        <w:pStyle w:val="Spistreci1"/>
        <w:rPr>
          <w:rFonts w:ascii="Times New Roman" w:eastAsiaTheme="minorEastAsia" w:hAnsi="Times New Roman"/>
          <w:i w:val="0"/>
          <w:iCs w:val="0"/>
          <w:sz w:val="24"/>
          <w:szCs w:val="24"/>
          <w:lang w:eastAsia="pl-PL"/>
        </w:rPr>
      </w:pPr>
      <w:r w:rsidRPr="00E67D20">
        <w:rPr>
          <w:rFonts w:ascii="Times New Roman" w:hAnsi="Times New Roman"/>
          <w:i w:val="0"/>
          <w:sz w:val="24"/>
          <w:szCs w:val="24"/>
        </w:rPr>
        <w:fldChar w:fldCharType="begin"/>
      </w:r>
      <w:r w:rsidR="00637AEA" w:rsidRPr="00E67D20">
        <w:rPr>
          <w:rFonts w:ascii="Times New Roman" w:hAnsi="Times New Roman"/>
          <w:i w:val="0"/>
          <w:sz w:val="24"/>
          <w:szCs w:val="24"/>
        </w:rPr>
        <w:instrText xml:space="preserve"> TOC \o "1-3" \h \z \u </w:instrText>
      </w:r>
      <w:r w:rsidRPr="00E67D20">
        <w:rPr>
          <w:rFonts w:ascii="Times New Roman" w:hAnsi="Times New Roman"/>
          <w:i w:val="0"/>
          <w:sz w:val="24"/>
          <w:szCs w:val="24"/>
        </w:rPr>
        <w:fldChar w:fldCharType="separate"/>
      </w:r>
      <w:hyperlink w:anchor="_Toc392494274" w:history="1">
        <w:r w:rsidR="00E67D20" w:rsidRPr="00E67D20">
          <w:rPr>
            <w:rStyle w:val="Hipercze"/>
            <w:rFonts w:ascii="Times New Roman" w:hAnsi="Times New Roman"/>
            <w:i w:val="0"/>
            <w:sz w:val="24"/>
            <w:szCs w:val="24"/>
          </w:rPr>
          <w:t>1. WSTĘP</w:t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ab/>
        </w:r>
        <w:r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instrText xml:space="preserve"> PAGEREF _Toc392494274 \h </w:instrText>
        </w:r>
        <w:r w:rsidRPr="00E67D20">
          <w:rPr>
            <w:rFonts w:ascii="Times New Roman" w:hAnsi="Times New Roman"/>
            <w:i w:val="0"/>
            <w:webHidden/>
            <w:sz w:val="24"/>
            <w:szCs w:val="24"/>
          </w:rPr>
        </w:r>
        <w:r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>3</w:t>
        </w:r>
        <w:r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1"/>
        <w:rPr>
          <w:rFonts w:ascii="Times New Roman" w:eastAsiaTheme="minorEastAsia" w:hAnsi="Times New Roman"/>
          <w:i w:val="0"/>
          <w:iCs w:val="0"/>
          <w:sz w:val="24"/>
          <w:szCs w:val="24"/>
          <w:lang w:eastAsia="pl-PL"/>
        </w:rPr>
      </w:pPr>
      <w:hyperlink w:anchor="_Toc392494275" w:history="1">
        <w:r w:rsidR="00E67D20" w:rsidRPr="00E67D20">
          <w:rPr>
            <w:rStyle w:val="Hipercze"/>
            <w:rFonts w:ascii="Times New Roman" w:hAnsi="Times New Roman"/>
            <w:i w:val="0"/>
            <w:sz w:val="24"/>
            <w:szCs w:val="24"/>
          </w:rPr>
          <w:t>2. OGÓLNE WARUNKI DOTYCZĄCE KWALIFIKOWANIA KOSZTÓW</w:t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instrText xml:space="preserve"> PAGEREF _Toc392494275 \h </w:instrText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>4</w:t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76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2.1 Okres kwalifikowalności kosztów w ramach przedsięwzięcia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_Toc392494276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77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2.2 Warunki kwalifikowalności kosztów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_Toc392494277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78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2.3 Podmiot uprawniony do ponoszenia kosztów kwalifikowanych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_Toc392494278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79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2.4 Zakaz podwójnego finansowania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_Toc392494279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0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2.5 Podatek od towarów i usług (VAT)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_Toc392494280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1"/>
        <w:rPr>
          <w:rFonts w:ascii="Times New Roman" w:eastAsiaTheme="minorEastAsia" w:hAnsi="Times New Roman"/>
          <w:i w:val="0"/>
          <w:iCs w:val="0"/>
          <w:sz w:val="24"/>
          <w:szCs w:val="24"/>
          <w:lang w:eastAsia="pl-PL"/>
        </w:rPr>
      </w:pPr>
      <w:hyperlink w:anchor="_Toc392494281" w:history="1">
        <w:r w:rsidR="00E67D20" w:rsidRPr="00E67D20">
          <w:rPr>
            <w:rStyle w:val="Hipercze"/>
            <w:rFonts w:ascii="Times New Roman" w:hAnsi="Times New Roman"/>
            <w:i w:val="0"/>
            <w:sz w:val="24"/>
            <w:szCs w:val="24"/>
          </w:rPr>
          <w:t>3. KATEGORIE KOSZTÓW KWALIFIKOWANYCH</w:t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instrText xml:space="preserve"> PAGEREF _Toc392494281 \h </w:instrText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>7</w:t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2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3.1 Przygotowanie przedsięwzięcia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_Toc392494282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3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3.2 Zarządzanie przedsięwzięciem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_Toc392494283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4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3.3 Koszty informacji i promocji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_Toc392494284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5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3.4 Realizacja przedsięwzięcia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_Toc392494285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3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6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3.4.1 Nabycie nieruchomości niezabudowanej, nieruchomości zabudowanej, zakup gruntu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_Toc392494286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3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7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3.4.2 Roboty budowlane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_Toc392494287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3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8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3.4.3 Środki trwałe, sprzęt i wyposażenie, wartości niematerialne i prawne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_Toc392494288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3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89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3.4.4 Pozostałe koszty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_Toc392494289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90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3.5 Komponent Edukacji Ekologicznej Przedsięwzięcia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_Toc392494290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1"/>
        <w:rPr>
          <w:rFonts w:ascii="Times New Roman" w:eastAsiaTheme="minorEastAsia" w:hAnsi="Times New Roman"/>
          <w:i w:val="0"/>
          <w:iCs w:val="0"/>
          <w:sz w:val="24"/>
          <w:szCs w:val="24"/>
          <w:lang w:eastAsia="pl-PL"/>
        </w:rPr>
      </w:pPr>
      <w:hyperlink w:anchor="_Toc392494291" w:history="1">
        <w:r w:rsidR="00E67D20" w:rsidRPr="00E67D20">
          <w:rPr>
            <w:rStyle w:val="Hipercze"/>
            <w:rFonts w:ascii="Times New Roman" w:hAnsi="Times New Roman"/>
            <w:i w:val="0"/>
            <w:sz w:val="24"/>
            <w:szCs w:val="24"/>
          </w:rPr>
          <w:t>4. KATEGORIE KOSZTÓW NIEKWALIFIKOWANYCH</w:t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instrText xml:space="preserve"> PAGEREF _Toc392494291 \h </w:instrText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/>
            <w:i w:val="0"/>
            <w:webHidden/>
            <w:sz w:val="24"/>
            <w:szCs w:val="24"/>
          </w:rPr>
          <w:t>12</w:t>
        </w:r>
        <w:r w:rsidR="009A487B" w:rsidRPr="00E67D20">
          <w:rPr>
            <w:rFonts w:ascii="Times New Roman" w:hAnsi="Times New Roman"/>
            <w:i w:val="0"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92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4.1. Koszty pośrednie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_Toc392494292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7D20" w:rsidRPr="00E67D20" w:rsidRDefault="001A4840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392494293" w:history="1">
        <w:r w:rsidR="00E67D20" w:rsidRPr="00E67D20">
          <w:rPr>
            <w:rStyle w:val="Hipercze"/>
            <w:rFonts w:ascii="Times New Roman" w:hAnsi="Times New Roman"/>
            <w:noProof/>
            <w:sz w:val="24"/>
            <w:szCs w:val="24"/>
          </w:rPr>
          <w:t>4.2. Pozostałe kategorie kosztów niekwalifikowanych</w:t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_Toc392494293 \h </w:instrTex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7D20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9A487B" w:rsidRPr="00E67D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55E2E" w:rsidRDefault="009A487B" w:rsidP="00155E2E">
      <w:pPr>
        <w:tabs>
          <w:tab w:val="left" w:pos="7976"/>
        </w:tabs>
      </w:pPr>
      <w:r w:rsidRPr="00E67D20">
        <w:rPr>
          <w:rFonts w:ascii="Times New Roman" w:hAnsi="Times New Roman" w:cs="Times New Roman"/>
          <w:sz w:val="24"/>
          <w:szCs w:val="24"/>
        </w:rPr>
        <w:fldChar w:fldCharType="end"/>
      </w:r>
      <w:r w:rsidR="00B80DF6">
        <w:rPr>
          <w:rFonts w:ascii="Times New Roman" w:hAnsi="Times New Roman"/>
          <w:i/>
          <w:sz w:val="24"/>
          <w:szCs w:val="24"/>
        </w:rPr>
        <w:tab/>
      </w:r>
    </w:p>
    <w:p w:rsidR="00637AEA" w:rsidRPr="00B212E0" w:rsidRDefault="00637AEA" w:rsidP="00425188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392494274"/>
      <w:r w:rsidRPr="00B212E0">
        <w:rPr>
          <w:rFonts w:ascii="Times New Roman" w:hAnsi="Times New Roman" w:cs="Times New Roman"/>
          <w:sz w:val="28"/>
          <w:szCs w:val="28"/>
        </w:rPr>
        <w:lastRenderedPageBreak/>
        <w:t>1. WSTĘP</w:t>
      </w:r>
      <w:bookmarkEnd w:id="1"/>
    </w:p>
    <w:p w:rsidR="00637AEA" w:rsidRDefault="00637AEA" w:rsidP="008546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17647" w:rsidRDefault="00637AEA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</w:t>
      </w:r>
      <w:r>
        <w:rPr>
          <w:rFonts w:ascii="Times New Roman" w:hAnsi="Times New Roman" w:cs="Times New Roman"/>
          <w:sz w:val="24"/>
          <w:szCs w:val="24"/>
        </w:rPr>
        <w:t>w zakresie kosztów</w:t>
      </w:r>
      <w:r w:rsidR="00F150C8">
        <w:rPr>
          <w:rFonts w:ascii="Times New Roman" w:hAnsi="Times New Roman" w:cs="Times New Roman"/>
          <w:sz w:val="24"/>
          <w:szCs w:val="24"/>
        </w:rPr>
        <w:t xml:space="preserve"> kwalifikowanych</w:t>
      </w:r>
      <w:r>
        <w:rPr>
          <w:rFonts w:ascii="Times New Roman" w:hAnsi="Times New Roman" w:cs="Times New Roman"/>
          <w:sz w:val="24"/>
          <w:szCs w:val="24"/>
        </w:rPr>
        <w:t xml:space="preserve">”, dalej także „Wytyczne”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określają </w:t>
      </w:r>
      <w:r>
        <w:rPr>
          <w:rFonts w:ascii="Times New Roman" w:hAnsi="Times New Roman" w:cs="Times New Roman"/>
          <w:sz w:val="24"/>
          <w:szCs w:val="24"/>
        </w:rPr>
        <w:t>ogólne zasady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kwalifikowalności kosztów oraz kategorie kosztów kwalifikowanych w przedsięwzięciach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143E43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43E43">
        <w:rPr>
          <w:rFonts w:ascii="Times New Roman" w:hAnsi="Times New Roman" w:cs="Times New Roman"/>
          <w:sz w:val="24"/>
          <w:szCs w:val="24"/>
        </w:rPr>
        <w:t>środk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NFOŚiGW</w:t>
      </w:r>
      <w:r w:rsidR="00CC4CE4">
        <w:rPr>
          <w:rFonts w:ascii="Times New Roman" w:hAnsi="Times New Roman" w:cs="Times New Roman"/>
          <w:sz w:val="24"/>
          <w:szCs w:val="24"/>
        </w:rPr>
        <w:t xml:space="preserve"> </w:t>
      </w:r>
      <w:r w:rsidR="00CC4CE4" w:rsidRPr="00CC4CE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ramach programów priorytetowych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 w:rsidR="00817647">
        <w:rPr>
          <w:rFonts w:ascii="Times New Roman" w:hAnsi="Times New Roman" w:cs="Times New Roman"/>
          <w:sz w:val="24"/>
          <w:szCs w:val="24"/>
        </w:rPr>
        <w:t>Wytyczne są skierowane do Wnioskodawców/Beneficjentów w zakresie przygotowania Wniosku i późniejszego rozliczania umowy, a także są podstawą dla NFOŚiGW do weryfikacji tych kosztów.</w:t>
      </w:r>
    </w:p>
    <w:p w:rsidR="00CC4CE4" w:rsidRPr="00CC4CE4" w:rsidRDefault="00CC4CE4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Wytyczne pozostają w zgodzie z </w:t>
      </w:r>
      <w:r>
        <w:rPr>
          <w:rFonts w:ascii="Times New Roman" w:hAnsi="Times New Roman" w:cs="Times New Roman"/>
          <w:sz w:val="24"/>
          <w:szCs w:val="24"/>
        </w:rPr>
        <w:t>powszechnie obowiązującymi przepisami prawa krajowego, w szczególności z 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rachunkowości,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podatku od towarów i usług,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finansach publicznych, </w:t>
      </w:r>
      <w:r>
        <w:rPr>
          <w:rFonts w:ascii="Times New Roman" w:hAnsi="Times New Roman" w:cs="Times New Roman"/>
          <w:sz w:val="24"/>
          <w:szCs w:val="24"/>
        </w:rPr>
        <w:t xml:space="preserve">ustawą </w:t>
      </w:r>
      <w:r w:rsidRPr="00143E43">
        <w:rPr>
          <w:rFonts w:ascii="Times New Roman" w:hAnsi="Times New Roman" w:cs="Times New Roman"/>
          <w:sz w:val="24"/>
          <w:szCs w:val="24"/>
        </w:rPr>
        <w:t>Prawo budowlane,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regulując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udzielanie pomocy publicznej.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zakresie nieuregulowanym niniejszymi Wytycznymi należy stosować obowiązujące przepisy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 naborów konkursowych (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143E43">
        <w:rPr>
          <w:rFonts w:ascii="Times New Roman" w:hAnsi="Times New Roman" w:cs="Times New Roman"/>
          <w:sz w:val="24"/>
          <w:szCs w:val="24"/>
        </w:rPr>
        <w:t>także do realizacji umowy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jej późniejszego rozliczenia)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obowiązujące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w dniu ogłoszenia konkursu. W przypadku naborów ciągłych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>ytyczne obowiązujące w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dniu złożenia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dofinansowanie.</w:t>
      </w:r>
    </w:p>
    <w:p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Program priorytetowy może wskazywać istotne ograniczenia, </w:t>
      </w:r>
      <w:r>
        <w:rPr>
          <w:rFonts w:ascii="Times New Roman" w:hAnsi="Times New Roman" w:cs="Times New Roman"/>
          <w:sz w:val="24"/>
          <w:szCs w:val="24"/>
        </w:rPr>
        <w:t xml:space="preserve">przewidywać </w:t>
      </w:r>
      <w:r w:rsidRPr="00143E43">
        <w:rPr>
          <w:rFonts w:ascii="Times New Roman" w:hAnsi="Times New Roman" w:cs="Times New Roman"/>
          <w:sz w:val="24"/>
          <w:szCs w:val="24"/>
        </w:rPr>
        <w:t xml:space="preserve">wyłączenia lub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143E43">
        <w:rPr>
          <w:rFonts w:ascii="Times New Roman" w:hAnsi="Times New Roman" w:cs="Times New Roman"/>
          <w:sz w:val="24"/>
          <w:szCs w:val="24"/>
        </w:rPr>
        <w:t>uszczegółowienia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dotyczące kosztów kwalifikowanych, które nie </w:t>
      </w:r>
      <w:r>
        <w:rPr>
          <w:rFonts w:ascii="Times New Roman" w:hAnsi="Times New Roman" w:cs="Times New Roman"/>
          <w:sz w:val="24"/>
          <w:szCs w:val="24"/>
        </w:rPr>
        <w:t>są określone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ytycznych. Może to wynikać m.in. z rodzaju przedsięwzięć możliwych do realizowania w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Pr="00143E43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priorytetow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uwarunkowań prawnych</w:t>
      </w:r>
      <w:r>
        <w:rPr>
          <w:rFonts w:ascii="Times New Roman" w:hAnsi="Times New Roman" w:cs="Times New Roman"/>
          <w:sz w:val="24"/>
          <w:szCs w:val="24"/>
        </w:rPr>
        <w:t>, dotyczących dofinansowywanych działań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 przedsięwzięć, w których dofinansowanie NFOŚiGW stanowić będzie współfinansowanie innych programów </w:t>
      </w:r>
      <w:r>
        <w:rPr>
          <w:rFonts w:ascii="Times New Roman" w:hAnsi="Times New Roman" w:cs="Times New Roman"/>
          <w:sz w:val="24"/>
          <w:szCs w:val="24"/>
        </w:rPr>
        <w:t xml:space="preserve">z udziałem środków </w:t>
      </w:r>
      <w:r w:rsidRPr="00143E43">
        <w:rPr>
          <w:rFonts w:ascii="Times New Roman" w:hAnsi="Times New Roman" w:cs="Times New Roman"/>
          <w:sz w:val="24"/>
          <w:szCs w:val="24"/>
        </w:rPr>
        <w:t>zagranicznych (jak np. Programu LIFE, POIiŚ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itd.), </w:t>
      </w:r>
      <w:r w:rsidR="009F17A1">
        <w:rPr>
          <w:rFonts w:ascii="Times New Roman" w:hAnsi="Times New Roman" w:cs="Times New Roman"/>
          <w:sz w:val="24"/>
          <w:szCs w:val="24"/>
        </w:rPr>
        <w:t xml:space="preserve"> </w:t>
      </w:r>
      <w:r w:rsidR="00134D7E">
        <w:rPr>
          <w:rFonts w:ascii="Times New Roman" w:hAnsi="Times New Roman" w:cs="Times New Roman"/>
          <w:sz w:val="24"/>
          <w:szCs w:val="24"/>
        </w:rPr>
        <w:t xml:space="preserve">koszty </w:t>
      </w:r>
      <w:r w:rsidR="00A06D5E">
        <w:rPr>
          <w:rFonts w:ascii="Times New Roman" w:hAnsi="Times New Roman" w:cs="Times New Roman"/>
          <w:sz w:val="24"/>
          <w:szCs w:val="24"/>
        </w:rPr>
        <w:t>kwalifikowane</w:t>
      </w:r>
      <w:r w:rsidR="00134D7E">
        <w:rPr>
          <w:rFonts w:ascii="Times New Roman" w:hAnsi="Times New Roman" w:cs="Times New Roman"/>
          <w:sz w:val="24"/>
          <w:szCs w:val="24"/>
        </w:rPr>
        <w:t xml:space="preserve"> </w:t>
      </w:r>
      <w:r w:rsidR="00CE4795">
        <w:rPr>
          <w:rFonts w:ascii="Times New Roman" w:hAnsi="Times New Roman" w:cs="Times New Roman"/>
          <w:sz w:val="24"/>
          <w:szCs w:val="24"/>
        </w:rPr>
        <w:t xml:space="preserve">są </w:t>
      </w:r>
      <w:r w:rsidR="009F17A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06D5E">
        <w:rPr>
          <w:rFonts w:ascii="Times New Roman" w:hAnsi="Times New Roman" w:cs="Times New Roman"/>
          <w:sz w:val="24"/>
          <w:szCs w:val="24"/>
        </w:rPr>
        <w:t>(co do kategorii</w:t>
      </w:r>
      <w:r w:rsidR="009F17A1">
        <w:rPr>
          <w:rFonts w:ascii="Times New Roman" w:hAnsi="Times New Roman" w:cs="Times New Roman"/>
          <w:sz w:val="24"/>
          <w:szCs w:val="24"/>
        </w:rPr>
        <w:t>) zgodn</w:t>
      </w:r>
      <w:r w:rsidR="00A06D5E">
        <w:rPr>
          <w:rFonts w:ascii="Times New Roman" w:hAnsi="Times New Roman" w:cs="Times New Roman"/>
          <w:sz w:val="24"/>
          <w:szCs w:val="24"/>
        </w:rPr>
        <w:t>ym</w:t>
      </w:r>
      <w:r w:rsidR="009F17A1">
        <w:rPr>
          <w:rFonts w:ascii="Times New Roman" w:hAnsi="Times New Roman" w:cs="Times New Roman"/>
          <w:sz w:val="24"/>
          <w:szCs w:val="24"/>
        </w:rPr>
        <w:t xml:space="preserve">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="00134D7E">
        <w:rPr>
          <w:rFonts w:ascii="Times New Roman" w:hAnsi="Times New Roman" w:cs="Times New Roman"/>
          <w:sz w:val="24"/>
          <w:szCs w:val="24"/>
        </w:rPr>
        <w:t xml:space="preserve">z wytycznymi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kwalifikowalności dla tych programów, </w:t>
      </w:r>
      <w:r>
        <w:rPr>
          <w:rFonts w:ascii="Times New Roman" w:hAnsi="Times New Roman" w:cs="Times New Roman"/>
          <w:sz w:val="24"/>
          <w:szCs w:val="24"/>
        </w:rPr>
        <w:t>chyba że program priorytetowy wskazuje inaczej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EA" w:rsidRDefault="00637AEA" w:rsidP="00143E43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2" w:name="_Toc392494275"/>
      <w:r w:rsidRPr="005E603D">
        <w:rPr>
          <w:rFonts w:ascii="Times New Roman" w:hAnsi="Times New Roman" w:cs="Times New Roman"/>
          <w:sz w:val="28"/>
          <w:szCs w:val="28"/>
        </w:rPr>
        <w:lastRenderedPageBreak/>
        <w:t>2. OGÓLNE WARUNKI DOTYCZĄCE KWALIFIKOWANIA KOSZTÓW</w:t>
      </w:r>
      <w:bookmarkEnd w:id="2"/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Weryfikacja kosztów kwalifikowanych dokonywana jest na etapie:</w:t>
      </w:r>
    </w:p>
    <w:p w:rsidR="00637AEA" w:rsidRPr="00143E43" w:rsidRDefault="00637AEA" w:rsidP="00143E43">
      <w:pPr>
        <w:pStyle w:val="Akapitzlist1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oceny wniosku o dofinansowanie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sz w:val="24"/>
          <w:szCs w:val="24"/>
        </w:rPr>
        <w:t>w celu zweryfikowania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czy przedstawione przedsięwzięcie może stanowić przedmiot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finansowania środkami NFOŚiGW oraz ustalenia kwoty/intensywności dofinansowania,</w:t>
      </w:r>
    </w:p>
    <w:p w:rsidR="00637AEA" w:rsidRPr="00143E43" w:rsidRDefault="00637AEA" w:rsidP="00143E4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uszczegółowienia wniosku o dofinansowanie przedsięwzięcia 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w celu weryfikacji poszczególnych pozycji harmonogramu rzeczowo-finansowego,</w:t>
      </w:r>
    </w:p>
    <w:p w:rsidR="00637AEA" w:rsidRDefault="00637AEA" w:rsidP="00143E43">
      <w:pPr>
        <w:pStyle w:val="Akapitzlist1"/>
        <w:numPr>
          <w:ilvl w:val="0"/>
          <w:numId w:val="7"/>
        </w:numPr>
        <w:spacing w:after="12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realizacji umowy przy przedkładaniu </w:t>
      </w:r>
      <w:r>
        <w:rPr>
          <w:rFonts w:ascii="Times New Roman" w:hAnsi="Times New Roman" w:cs="Times New Roman"/>
          <w:sz w:val="24"/>
          <w:szCs w:val="24"/>
        </w:rPr>
        <w:t xml:space="preserve">przez Beneficjentów do NFOŚiGW </w:t>
      </w:r>
      <w:r w:rsidRPr="00143E43">
        <w:rPr>
          <w:rFonts w:ascii="Times New Roman" w:hAnsi="Times New Roman" w:cs="Times New Roman"/>
          <w:sz w:val="24"/>
          <w:szCs w:val="24"/>
        </w:rPr>
        <w:t>wniosków o</w:t>
      </w:r>
      <w:r w:rsidR="00134D7E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płatność, w trakcie kontroli czy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trakcie zmiany warunków umowy,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143E43">
        <w:rPr>
          <w:rFonts w:ascii="Times New Roman" w:hAnsi="Times New Roman" w:cs="Times New Roman"/>
          <w:sz w:val="24"/>
          <w:szCs w:val="24"/>
        </w:rPr>
        <w:t>. w związku ze zmianą zakresu rzeczowego lub zmianą kosztów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>
      <w:pPr>
        <w:pStyle w:val="Akapitzlist1"/>
        <w:spacing w:after="12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 etapie oceny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wniosku i uszczegółowienia wniosku o dofinansowanie przedsięwzięcia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badane jest spełnienie potencjalnych warunków kwalifikowalności kosztów.</w:t>
      </w:r>
    </w:p>
    <w:p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3" w:name="_Toc392494276"/>
      <w:r w:rsidRPr="005E603D">
        <w:rPr>
          <w:rFonts w:ascii="Times New Roman" w:hAnsi="Times New Roman" w:cs="Times New Roman"/>
          <w:i w:val="0"/>
          <w:iCs w:val="0"/>
        </w:rPr>
        <w:t>2.1 Okres kwalifikowalności kosztów w ramach przedsięwzięcia</w:t>
      </w:r>
      <w:bookmarkEnd w:id="3"/>
    </w:p>
    <w:p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Przez okres kwalifikowalności kosztów należy rozumieć przedział czasowy ograniczony datami, w którym poniesione zostały koszty </w:t>
      </w:r>
      <w:r>
        <w:rPr>
          <w:rFonts w:ascii="Times New Roman" w:hAnsi="Times New Roman" w:cs="Times New Roman"/>
          <w:sz w:val="24"/>
          <w:szCs w:val="24"/>
        </w:rPr>
        <w:t>związane z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przedsięwzięcia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zaliczone do kosztów kwalifikowanych</w:t>
      </w:r>
      <w:r>
        <w:rPr>
          <w:rFonts w:ascii="Times New Roman" w:hAnsi="Times New Roman" w:cs="Times New Roman"/>
          <w:sz w:val="24"/>
          <w:szCs w:val="24"/>
        </w:rPr>
        <w:t xml:space="preserve"> , które</w:t>
      </w:r>
      <w:r w:rsidRPr="00143E43">
        <w:rPr>
          <w:rFonts w:ascii="Times New Roman" w:hAnsi="Times New Roman" w:cs="Times New Roman"/>
          <w:sz w:val="24"/>
          <w:szCs w:val="24"/>
        </w:rPr>
        <w:t xml:space="preserve"> stanowią podstawę do ustalenia kwoty dofinansowania.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poniesione poza okresem kwalifikowalności</w:t>
      </w:r>
      <w:r>
        <w:rPr>
          <w:rFonts w:ascii="Times New Roman" w:hAnsi="Times New Roman" w:cs="Times New Roman"/>
          <w:sz w:val="24"/>
          <w:szCs w:val="24"/>
        </w:rPr>
        <w:t>, mimo iż należą do kategorii wymienionych w p</w:t>
      </w:r>
      <w:r w:rsidR="0000644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0644C">
        <w:rPr>
          <w:rFonts w:ascii="Times New Roman" w:hAnsi="Times New Roman" w:cs="Times New Roman"/>
          <w:sz w:val="24"/>
          <w:szCs w:val="24"/>
        </w:rPr>
        <w:t>Wytycznych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mogą być zaliczone do kosztów kwalifikowanych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stanowić podstaw do ustalenia kwoty dofinansowania oraz późniejszych wypłat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Początkowa i końcowa data kwalifikowalności kosztów jest określona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każdym programie priorytetowym, z zastrzeżeniem zasad udzielania pomocy publicznej</w:t>
      </w:r>
      <w:r>
        <w:rPr>
          <w:rFonts w:ascii="Times New Roman" w:hAnsi="Times New Roman" w:cs="Times New Roman"/>
          <w:sz w:val="24"/>
          <w:szCs w:val="24"/>
        </w:rPr>
        <w:t>, oraz szczegółowo wskazana jest w umowie o 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AEA" w:rsidRDefault="00637AEA" w:rsidP="00143E43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4" w:name="_Toc392494277"/>
      <w:r w:rsidRPr="005E603D">
        <w:rPr>
          <w:rFonts w:ascii="Times New Roman" w:hAnsi="Times New Roman" w:cs="Times New Roman"/>
          <w:i w:val="0"/>
          <w:iCs w:val="0"/>
        </w:rPr>
        <w:t>2.2 Warunki kwalifikowalności kosztów</w:t>
      </w:r>
      <w:bookmarkEnd w:id="4"/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 kwalifikowany musi być zgodny z kategoriami kosztów wymienionymi w pkt 3</w:t>
      </w:r>
      <w:r w:rsidR="00CE4795">
        <w:rPr>
          <w:rFonts w:ascii="Times New Roman" w:hAnsi="Times New Roman" w:cs="Times New Roman"/>
          <w:sz w:val="24"/>
          <w:szCs w:val="24"/>
        </w:rPr>
        <w:t xml:space="preserve"> Wytycznych</w:t>
      </w:r>
      <w:r w:rsidRPr="00143E43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zastrzeżeniem warunków określonych w programie priorytetowym.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Za koszty kwalifikowane w ramach przedsięwzięcia uznane będą koszty faktycznie poniesione przez Beneficjenta spełniające wszystkie poniższe warunki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obowiązującymi przepisami prawa,</w:t>
      </w:r>
    </w:p>
    <w:p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są niezbędn</w:t>
      </w:r>
      <w:r>
        <w:rPr>
          <w:rFonts w:ascii="Times New Roman" w:hAnsi="Times New Roman" w:cs="Times New Roman"/>
          <w:sz w:val="24"/>
          <w:szCs w:val="24"/>
        </w:rPr>
        <w:t xml:space="preserve">e do realizacji przedsięwzięcia oraz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zapewniają wdrożenie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funkcjonowanie przedsięwzięcia oraz uzyskanie określonego efektu ekologicznego,</w:t>
      </w:r>
    </w:p>
    <w:p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w okresie kwalifikowalności</w:t>
      </w:r>
      <w:r>
        <w:rPr>
          <w:rFonts w:ascii="Times New Roman" w:hAnsi="Times New Roman" w:cs="Times New Roman"/>
          <w:sz w:val="24"/>
          <w:szCs w:val="24"/>
        </w:rPr>
        <w:t xml:space="preserve"> kosztów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przez Beneficjenta lub podmiot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A06D5E">
        <w:rPr>
          <w:rFonts w:ascii="Times New Roman" w:hAnsi="Times New Roman" w:cs="Times New Roman"/>
          <w:sz w:val="24"/>
          <w:szCs w:val="24"/>
        </w:rPr>
        <w:t>oważniony</w:t>
      </w:r>
      <w:r>
        <w:rPr>
          <w:rFonts w:ascii="Times New Roman" w:hAnsi="Times New Roman" w:cs="Times New Roman"/>
          <w:sz w:val="24"/>
          <w:szCs w:val="24"/>
        </w:rPr>
        <w:t xml:space="preserve"> do ponoszenia koszów, zaakceptowany przez NFOŚiGW i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wskazany w umowie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dofinansowanie,</w:t>
      </w:r>
    </w:p>
    <w:p w:rsidR="0087480A" w:rsidRPr="00143E43" w:rsidRDefault="0087480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umową o dofinansowanie, w szczególności z aktualnym harmonogramem rzeczowo-finansowym,</w:t>
      </w:r>
    </w:p>
    <w:p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udokumentowane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możliwe do zidentyfikowania w szczególności poprzez wprowadzenie </w:t>
      </w:r>
      <w:r w:rsidR="00A06D5E">
        <w:rPr>
          <w:rFonts w:ascii="Times New Roman" w:hAnsi="Times New Roman" w:cs="Times New Roman"/>
          <w:sz w:val="24"/>
          <w:szCs w:val="24"/>
        </w:rPr>
        <w:t>ich</w:t>
      </w:r>
      <w:r w:rsidR="008D21B0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do ewidencji księgowej</w:t>
      </w:r>
      <w:r w:rsidR="0087480A">
        <w:rPr>
          <w:rFonts w:ascii="Times New Roman" w:hAnsi="Times New Roman" w:cs="Times New Roman"/>
          <w:sz w:val="24"/>
          <w:szCs w:val="24"/>
        </w:rPr>
        <w:t xml:space="preserve"> </w:t>
      </w:r>
      <w:r w:rsidR="00A06D5E">
        <w:rPr>
          <w:rFonts w:ascii="Times New Roman" w:hAnsi="Times New Roman" w:cs="Times New Roman"/>
          <w:sz w:val="24"/>
          <w:szCs w:val="24"/>
        </w:rPr>
        <w:t>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ustalone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odpowiednimi standardami rachunkowości,  </w:t>
      </w:r>
    </w:p>
    <w:p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podlegają wyłączeniom z finansowania przez NFOŚiGW, o których mowa w pkt 4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3E43">
        <w:rPr>
          <w:rFonts w:ascii="Times New Roman" w:hAnsi="Times New Roman" w:cs="Times New Roman"/>
          <w:sz w:val="24"/>
          <w:szCs w:val="24"/>
        </w:rPr>
        <w:t>ytycznych, lub określonych w programie priorytetowym</w:t>
      </w:r>
      <w:r w:rsidRPr="00A34AA3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 w:rsidP="00143E43">
      <w:pPr>
        <w:pStyle w:val="Nagwek2"/>
        <w:spacing w:before="360" w:after="240" w:line="301" w:lineRule="auto"/>
        <w:rPr>
          <w:rFonts w:ascii="Times New Roman" w:hAnsi="Times New Roman" w:cs="Times New Roman"/>
          <w:i w:val="0"/>
          <w:iCs w:val="0"/>
        </w:rPr>
      </w:pPr>
      <w:bookmarkStart w:id="5" w:name="_Toc392494278"/>
      <w:r w:rsidRPr="005E603D">
        <w:rPr>
          <w:rFonts w:ascii="Times New Roman" w:hAnsi="Times New Roman" w:cs="Times New Roman"/>
          <w:i w:val="0"/>
          <w:iCs w:val="0"/>
        </w:rPr>
        <w:t>2.3 Podmiot uprawniony do ponoszenia kosztów kwalifikowanych</w:t>
      </w:r>
      <w:bookmarkEnd w:id="5"/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Podmiotem uprawnionym do ponoszenia kosztów kwalifikowanych jest Beneficjent.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uzasadnionych przypadkach i </w:t>
      </w:r>
      <w:r>
        <w:rPr>
          <w:rFonts w:ascii="Times New Roman" w:hAnsi="Times New Roman" w:cs="Times New Roman"/>
          <w:sz w:val="24"/>
          <w:szCs w:val="24"/>
        </w:rPr>
        <w:t>po akceptacji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NFOŚiGW może to być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143E43">
        <w:rPr>
          <w:rFonts w:ascii="Times New Roman" w:hAnsi="Times New Roman" w:cs="Times New Roman"/>
          <w:sz w:val="24"/>
          <w:szCs w:val="24"/>
        </w:rPr>
        <w:t>inny podmiot, który zostanie wskazany w umowie o dofinansowanie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tzw. podmiot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 </w:t>
      </w:r>
      <w:r w:rsidRPr="00143E43">
        <w:rPr>
          <w:rFonts w:ascii="Times New Roman" w:hAnsi="Times New Roman" w:cs="Times New Roman"/>
          <w:sz w:val="24"/>
          <w:szCs w:val="24"/>
        </w:rPr>
        <w:t>do ponoszenia kosztów</w:t>
      </w:r>
      <w:r>
        <w:rPr>
          <w:rFonts w:ascii="Times New Roman" w:hAnsi="Times New Roman" w:cs="Times New Roman"/>
          <w:sz w:val="24"/>
          <w:szCs w:val="24"/>
        </w:rPr>
        <w:t xml:space="preserve"> kwalifikowanych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43E43">
        <w:rPr>
          <w:rFonts w:ascii="Times New Roman" w:hAnsi="Times New Roman" w:cs="Times New Roman"/>
          <w:sz w:val="24"/>
          <w:szCs w:val="24"/>
        </w:rPr>
        <w:t xml:space="preserve">eżeli zakłada się udział podmiotu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upoważnionego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kosztów, należy do wniosku </w:t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dołączyć list intencyjny </w:t>
      </w:r>
      <w:r>
        <w:rPr>
          <w:rFonts w:ascii="Times New Roman" w:hAnsi="Times New Roman" w:cs="Times New Roman"/>
          <w:sz w:val="24"/>
          <w:szCs w:val="24"/>
        </w:rPr>
        <w:t xml:space="preserve">Beneficjenta </w:t>
      </w:r>
      <w:r w:rsidRPr="00143E43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we wniosku o dofinansowanie </w:t>
      </w:r>
      <w:r w:rsidRPr="00143E43">
        <w:rPr>
          <w:rFonts w:ascii="Times New Roman" w:hAnsi="Times New Roman" w:cs="Times New Roman"/>
          <w:sz w:val="24"/>
          <w:szCs w:val="24"/>
        </w:rPr>
        <w:t>określić strukturę własności majątku wytworzonego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realizacją przedsięwzięcia, zasady przepływów finansowych związanych z realizacją przedsięwzięcia oraz sposób zapewnienia trwałości przedsięwzięcia.</w:t>
      </w:r>
      <w:r w:rsidRPr="00143E43">
        <w:rPr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Umowa lub porozumienie zawarte między </w:t>
      </w:r>
      <w:r>
        <w:rPr>
          <w:rFonts w:ascii="Times New Roman" w:hAnsi="Times New Roman" w:cs="Times New Roman"/>
          <w:sz w:val="24"/>
          <w:szCs w:val="24"/>
        </w:rPr>
        <w:t xml:space="preserve">Beneficjentem a </w:t>
      </w:r>
      <w:r w:rsidRPr="00143E43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upoważnionym </w:t>
      </w:r>
      <w:r>
        <w:rPr>
          <w:rFonts w:ascii="Times New Roman" w:hAnsi="Times New Roman" w:cs="Times New Roman"/>
          <w:sz w:val="24"/>
          <w:szCs w:val="24"/>
        </w:rPr>
        <w:t xml:space="preserve">do ponoszenia kosztów kwalifikowanych </w:t>
      </w:r>
      <w:r w:rsidRPr="00143E43">
        <w:rPr>
          <w:rFonts w:ascii="Times New Roman" w:hAnsi="Times New Roman" w:cs="Times New Roman"/>
          <w:sz w:val="24"/>
          <w:szCs w:val="24"/>
        </w:rPr>
        <w:t xml:space="preserve">musi zostać złożone </w:t>
      </w:r>
      <w:r w:rsidR="008D21B0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143E43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>wypłatą środków o dofinansowanie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Realizacja przedsięwzięcia poprzez podmiot </w:t>
      </w:r>
      <w:r>
        <w:rPr>
          <w:rFonts w:ascii="Times New Roman" w:hAnsi="Times New Roman" w:cs="Times New Roman"/>
          <w:sz w:val="24"/>
          <w:szCs w:val="24"/>
        </w:rPr>
        <w:t xml:space="preserve">uprawniony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 nie zwalnia Beneficjenta z odpowiedzialności za prawidłową realizację przedsięwzięcia </w:t>
      </w:r>
      <w:r>
        <w:rPr>
          <w:rFonts w:ascii="Times New Roman" w:hAnsi="Times New Roman" w:cs="Times New Roman"/>
          <w:sz w:val="24"/>
          <w:szCs w:val="24"/>
        </w:rPr>
        <w:t>na warunkach określonych w</w:t>
      </w:r>
      <w:r w:rsidRPr="00143E43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dofinansowanie. </w:t>
      </w:r>
    </w:p>
    <w:p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6" w:name="_Toc392494279"/>
      <w:r w:rsidRPr="005E603D">
        <w:rPr>
          <w:rFonts w:ascii="Times New Roman" w:hAnsi="Times New Roman" w:cs="Times New Roman"/>
          <w:i w:val="0"/>
          <w:iCs w:val="0"/>
        </w:rPr>
        <w:t>2.4 Zakaz podwójnego finansowania</w:t>
      </w:r>
      <w:bookmarkEnd w:id="6"/>
      <w:r w:rsidRPr="005E603D">
        <w:rPr>
          <w:rFonts w:ascii="Times New Roman" w:hAnsi="Times New Roman" w:cs="Times New Roman"/>
          <w:i w:val="0"/>
          <w:iCs w:val="0"/>
        </w:rPr>
        <w:t xml:space="preserve">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Niedozwolone jest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podwójne finansowanie całkowitych lub częściowych kosztów przedsięwzięcia ze środków publicznych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(krajowych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unijnych</w:t>
      </w:r>
      <w:r w:rsidRPr="0021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lub zagranicznych). Zakaz ten nie dotyczy pożyczek 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przeznaczonych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>zachowani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płynności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finansowej przedsięwzięć współfinansowanych ze środków 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AEA" w:rsidRPr="00143E43" w:rsidRDefault="00637AEA" w:rsidP="00143E43">
      <w:pPr>
        <w:spacing w:after="120" w:line="30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Jako przykłady podwójnego finansowania uznaje się:</w:t>
      </w:r>
    </w:p>
    <w:p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tego samego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kosztu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 ramach różnych pr</w:t>
      </w:r>
      <w:r>
        <w:rPr>
          <w:rFonts w:ascii="Times New Roman" w:hAnsi="Times New Roman" w:cs="Times New Roman"/>
          <w:sz w:val="24"/>
          <w:szCs w:val="24"/>
          <w:lang w:eastAsia="pl-PL"/>
        </w:rPr>
        <w:t>zedsięwzięć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współfinansowanych z krajowych środków publicznych, funduszy strukturalnych lub Funduszu Spójności,</w:t>
      </w:r>
    </w:p>
    <w:p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poniesionego podatku </w:t>
      </w:r>
      <w:r>
        <w:rPr>
          <w:rFonts w:ascii="Times New Roman" w:hAnsi="Times New Roman" w:cs="Times New Roman"/>
          <w:sz w:val="24"/>
          <w:szCs w:val="24"/>
          <w:lang w:eastAsia="pl-PL"/>
        </w:rPr>
        <w:t>od towarów i usług (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VAT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 krajowych środków publicznych, a następnie odzyskanie tego podatku ze środków budżetu państwa 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w oparciu o ustawę o </w:t>
      </w:r>
      <w:r>
        <w:rPr>
          <w:rFonts w:ascii="Times New Roman" w:hAnsi="Times New Roman" w:cs="Times New Roman"/>
          <w:sz w:val="24"/>
          <w:szCs w:val="24"/>
          <w:lang w:eastAsia="pl-PL"/>
        </w:rPr>
        <w:t>podatku od towarów i usług (VAT)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zakupienie środka trwałego ze środków unijnych/zagranicznych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krajowych środków publicznych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a następnie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uznanie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kosztów amortyzacji tego środka trwałego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kwalifikowane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z krajowych środków publicznych,</w:t>
      </w:r>
    </w:p>
    <w:p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finansowanie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wynagrodzenia osoby zaangażowanej w realizację przedsięwzięcia wykonującej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zada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które mieszczą się w zakresie obowiązków służbowych wynikających ze stosunku pracy tej osoby.</w:t>
      </w:r>
    </w:p>
    <w:p w:rsidR="00637AEA" w:rsidRDefault="00637AEA" w:rsidP="00266109">
      <w:pPr>
        <w:pStyle w:val="Nagwek2"/>
        <w:spacing w:before="120" w:after="120" w:line="300" w:lineRule="auto"/>
        <w:rPr>
          <w:rFonts w:ascii="Times New Roman" w:hAnsi="Times New Roman" w:cs="Times New Roman"/>
          <w:i w:val="0"/>
          <w:iCs w:val="0"/>
        </w:rPr>
      </w:pPr>
      <w:bookmarkStart w:id="7" w:name="_Toc392494280"/>
      <w:r>
        <w:rPr>
          <w:rFonts w:ascii="Times New Roman" w:hAnsi="Times New Roman" w:cs="Times New Roman"/>
          <w:i w:val="0"/>
          <w:iCs w:val="0"/>
        </w:rPr>
        <w:t>2.</w:t>
      </w:r>
      <w:r w:rsidR="00495234">
        <w:rPr>
          <w:rFonts w:ascii="Times New Roman" w:hAnsi="Times New Roman" w:cs="Times New Roman"/>
          <w:i w:val="0"/>
          <w:iCs w:val="0"/>
        </w:rPr>
        <w:t>5</w:t>
      </w:r>
      <w:r w:rsidR="00495234" w:rsidRPr="005151D0">
        <w:rPr>
          <w:rFonts w:ascii="Times New Roman" w:hAnsi="Times New Roman" w:cs="Times New Roman"/>
          <w:i w:val="0"/>
          <w:iCs w:val="0"/>
        </w:rPr>
        <w:t xml:space="preserve"> </w:t>
      </w:r>
      <w:r w:rsidRPr="005151D0">
        <w:rPr>
          <w:rFonts w:ascii="Times New Roman" w:hAnsi="Times New Roman" w:cs="Times New Roman"/>
          <w:i w:val="0"/>
          <w:iCs w:val="0"/>
        </w:rPr>
        <w:t>Podatek od towarów i usług (VAT)</w:t>
      </w:r>
      <w:bookmarkEnd w:id="7"/>
    </w:p>
    <w:p w:rsidR="00637AEA" w:rsidRPr="00143E43" w:rsidRDefault="00637AEA" w:rsidP="00443F8E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Podatek od towarów i usług </w:t>
      </w:r>
      <w:r w:rsidR="00134D7E">
        <w:rPr>
          <w:rFonts w:ascii="Times New Roman" w:hAnsi="Times New Roman" w:cs="Times New Roman"/>
          <w:sz w:val="24"/>
          <w:szCs w:val="24"/>
        </w:rPr>
        <w:t>(</w:t>
      </w:r>
      <w:r w:rsidRPr="00143E43">
        <w:rPr>
          <w:rFonts w:ascii="Times New Roman" w:hAnsi="Times New Roman" w:cs="Times New Roman"/>
          <w:sz w:val="24"/>
          <w:szCs w:val="24"/>
        </w:rPr>
        <w:t>VAT</w:t>
      </w:r>
      <w:r w:rsidR="00134D7E"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kosztem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kwalifikowanym tylko wówczas, gdy jest on faktycznie i ostatecznie ponoszony przez Beneficjenta, a Beneficjent nie ma prawnej możliwości </w:t>
      </w:r>
      <w:r w:rsidR="0087480A">
        <w:rPr>
          <w:rFonts w:ascii="Times New Roman" w:hAnsi="Times New Roman" w:cs="Times New Roman"/>
          <w:sz w:val="24"/>
          <w:szCs w:val="24"/>
        </w:rPr>
        <w:t xml:space="preserve">odliczenia </w:t>
      </w:r>
      <w:r w:rsidRPr="00143E43">
        <w:rPr>
          <w:rFonts w:ascii="Times New Roman" w:hAnsi="Times New Roman" w:cs="Times New Roman"/>
          <w:sz w:val="24"/>
          <w:szCs w:val="24"/>
        </w:rPr>
        <w:t xml:space="preserve">podatku </w:t>
      </w:r>
      <w:r w:rsidR="0087480A">
        <w:rPr>
          <w:rFonts w:ascii="Times New Roman" w:hAnsi="Times New Roman" w:cs="Times New Roman"/>
          <w:sz w:val="24"/>
          <w:szCs w:val="24"/>
        </w:rPr>
        <w:t>naliczonego od podatku należnego w jakiejkolwiek części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="00134D7E" w:rsidRPr="00134D7E">
        <w:rPr>
          <w:rFonts w:ascii="Times New Roman" w:hAnsi="Times New Roman" w:cs="Times New Roman"/>
          <w:sz w:val="24"/>
          <w:szCs w:val="24"/>
        </w:rPr>
        <w:t xml:space="preserve"> </w:t>
      </w:r>
      <w:r w:rsidR="00134D7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34D7E" w:rsidRPr="00143E43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00644C">
        <w:rPr>
          <w:rFonts w:ascii="Times New Roman" w:hAnsi="Times New Roman" w:cs="Times New Roman"/>
          <w:sz w:val="24"/>
          <w:szCs w:val="24"/>
        </w:rPr>
        <w:t>u</w:t>
      </w:r>
      <w:r w:rsidR="00134D7E" w:rsidRPr="00143E43">
        <w:rPr>
          <w:rFonts w:ascii="Times New Roman" w:hAnsi="Times New Roman" w:cs="Times New Roman"/>
          <w:sz w:val="24"/>
          <w:szCs w:val="24"/>
        </w:rPr>
        <w:t>stawy o podatku od towarów i usług</w:t>
      </w:r>
      <w:r w:rsidRPr="00143E43">
        <w:rPr>
          <w:rFonts w:ascii="Times New Roman" w:hAnsi="Times New Roman" w:cs="Times New Roman"/>
          <w:sz w:val="24"/>
          <w:szCs w:val="24"/>
        </w:rPr>
        <w:t xml:space="preserve">. Podatek VAT, który można </w:t>
      </w:r>
      <w:r w:rsidR="00134D7E" w:rsidRPr="00143E43">
        <w:rPr>
          <w:rFonts w:ascii="Times New Roman" w:hAnsi="Times New Roman" w:cs="Times New Roman"/>
          <w:sz w:val="24"/>
          <w:szCs w:val="24"/>
        </w:rPr>
        <w:t>o</w:t>
      </w:r>
      <w:r w:rsidR="00134D7E">
        <w:rPr>
          <w:rFonts w:ascii="Times New Roman" w:hAnsi="Times New Roman" w:cs="Times New Roman"/>
          <w:sz w:val="24"/>
          <w:szCs w:val="24"/>
        </w:rPr>
        <w:t>dliczyć</w:t>
      </w:r>
      <w:r w:rsidRPr="00143E43">
        <w:rPr>
          <w:rFonts w:ascii="Times New Roman" w:hAnsi="Times New Roman" w:cs="Times New Roman"/>
          <w:sz w:val="24"/>
          <w:szCs w:val="24"/>
        </w:rPr>
        <w:t xml:space="preserve">, nie może być uznany za kwalifikowany, nawet jeżeli nie został faktycznie odzyskany przez Beneficjenta. Oznacza to, że w przypadkach, gdy Beneficjent może </w:t>
      </w:r>
      <w:r w:rsidR="00134D7E" w:rsidRPr="00143E43">
        <w:rPr>
          <w:rFonts w:ascii="Times New Roman" w:hAnsi="Times New Roman" w:cs="Times New Roman"/>
          <w:sz w:val="24"/>
          <w:szCs w:val="24"/>
        </w:rPr>
        <w:t>o</w:t>
      </w:r>
      <w:r w:rsidR="00134D7E">
        <w:rPr>
          <w:rFonts w:ascii="Times New Roman" w:hAnsi="Times New Roman" w:cs="Times New Roman"/>
          <w:sz w:val="24"/>
          <w:szCs w:val="24"/>
        </w:rPr>
        <w:t>dliczyć</w:t>
      </w:r>
      <w:r w:rsidR="00134D7E"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podatek VAT, ale rezygnuje z tej możliwości, podatek VAT nie jest </w:t>
      </w:r>
      <w:r>
        <w:rPr>
          <w:rFonts w:ascii="Times New Roman" w:hAnsi="Times New Roman" w:cs="Times New Roman"/>
          <w:sz w:val="24"/>
          <w:szCs w:val="24"/>
        </w:rPr>
        <w:t>kosztem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kwalifikowanym. </w:t>
      </w:r>
    </w:p>
    <w:p w:rsidR="00637AEA" w:rsidRDefault="00134D7E" w:rsidP="00443F8E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</w:t>
      </w:r>
      <w:r w:rsidR="008075CD">
        <w:rPr>
          <w:rFonts w:ascii="Times New Roman" w:hAnsi="Times New Roman" w:cs="Times New Roman"/>
          <w:sz w:val="24"/>
          <w:szCs w:val="24"/>
        </w:rPr>
        <w:t>ficjent zobowiązany jest złożyć oświadczenie, że w ramach realizowanego przedsięwzięcia będzie miał</w:t>
      </w:r>
      <w:r w:rsidR="00D86644">
        <w:rPr>
          <w:rFonts w:ascii="Times New Roman" w:hAnsi="Times New Roman" w:cs="Times New Roman"/>
          <w:sz w:val="24"/>
          <w:szCs w:val="24"/>
        </w:rPr>
        <w:t>/nie będzie miał</w:t>
      </w:r>
      <w:r w:rsidR="008075CD">
        <w:rPr>
          <w:rFonts w:ascii="Times New Roman" w:hAnsi="Times New Roman" w:cs="Times New Roman"/>
          <w:sz w:val="24"/>
          <w:szCs w:val="24"/>
        </w:rPr>
        <w:t xml:space="preserve"> </w:t>
      </w:r>
      <w:r w:rsidR="00D86644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8075CD">
        <w:rPr>
          <w:rFonts w:ascii="Times New Roman" w:hAnsi="Times New Roman" w:cs="Times New Roman"/>
          <w:sz w:val="24"/>
          <w:szCs w:val="24"/>
        </w:rPr>
        <w:t xml:space="preserve">odliczenia podatku VAT poniesionego w związku z realizacją przedsięwzięcia. </w:t>
      </w:r>
    </w:p>
    <w:p w:rsidR="00266109" w:rsidRPr="00143E43" w:rsidRDefault="00266109" w:rsidP="00443F8E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09">
        <w:rPr>
          <w:rFonts w:ascii="Times New Roman" w:hAnsi="Times New Roman" w:cs="Times New Roman"/>
          <w:sz w:val="24"/>
          <w:szCs w:val="24"/>
        </w:rPr>
        <w:t>W sytuacji, gdy VAT jest kosztem kwalifikowanym, Beneficjent zobowiązany jest przedstawić indywidualną interpretację Urzędu Skarbowego potwierdzającą brak możliwości odliczenia podatku od towarów i usług w związku z realizacją przedsięwzięcia, które jest finansowane w całości lub w części ze środków Narodowego Funduszu Ochrony Środowiska i Gospodarki Wodnej w ramach zawartej umowy o dofinansowanie. Indywidualnej interpretacji Urzędu Skarbowego nie składają: osoby prawne i jednostki organizacyjne działające na podstawie przepisów ustawy z dnia 17 maja 1989 r. o stosunku Państwa do Kościoła Katolickiego w Rzeczypospolitej Polskiej (t. j.: Dz. U. z 2019 poz. 1347, z późn. zm.), ustaw odnoszących się do innych kościołów działających na terytorium Rzeczypospolitej Polskiej oraz ustawy z 17 maja 1989 r. o gwarancjach wolności sumienia i wyznania (t. j.: Dz. U. z 2017 r. poz. 1153), jak również stowarzyszenia i fundacje powołane do życia przez te podmioty.</w:t>
      </w:r>
    </w:p>
    <w:p w:rsidR="00637AEA" w:rsidRDefault="00637AEA" w:rsidP="00143E43">
      <w:pPr>
        <w:pStyle w:val="Nagwek1"/>
        <w:spacing w:after="36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pl-PL"/>
        </w:rPr>
        <w:br w:type="page"/>
      </w:r>
      <w:bookmarkStart w:id="8" w:name="_Toc392494281"/>
      <w:r w:rsidRPr="005E603D">
        <w:rPr>
          <w:rFonts w:ascii="Times New Roman" w:hAnsi="Times New Roman" w:cs="Times New Roman"/>
          <w:sz w:val="28"/>
          <w:szCs w:val="28"/>
        </w:rPr>
        <w:t>3. KATEGORIE KOSZTÓW KWALIFIKOWANYCH</w:t>
      </w:r>
      <w:bookmarkEnd w:id="8"/>
    </w:p>
    <w:p w:rsidR="00263596" w:rsidRDefault="0068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NFOŚiGW może wprowadzić limitowanie wysokości kosztów kwalifikowanych </w:t>
      </w:r>
      <w:r w:rsidR="00637FB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w poszczególnych kategoriach,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programie  priorytetowym.</w:t>
      </w:r>
    </w:p>
    <w:p w:rsidR="00540D29" w:rsidRPr="00540D29" w:rsidRDefault="00540D29" w:rsidP="00540D29"/>
    <w:p w:rsidR="00637AEA" w:rsidRDefault="00637AEA" w:rsidP="00143E43">
      <w:pPr>
        <w:pStyle w:val="Nagwek2"/>
        <w:spacing w:after="240" w:line="300" w:lineRule="auto"/>
        <w:rPr>
          <w:rFonts w:ascii="Times New Roman" w:hAnsi="Times New Roman" w:cs="Times New Roman"/>
          <w:i w:val="0"/>
          <w:iCs w:val="0"/>
        </w:rPr>
      </w:pPr>
      <w:bookmarkStart w:id="9" w:name="_Toc392494282"/>
      <w:r w:rsidRPr="005E603D">
        <w:rPr>
          <w:rFonts w:ascii="Times New Roman" w:hAnsi="Times New Roman" w:cs="Times New Roman"/>
          <w:i w:val="0"/>
          <w:iCs w:val="0"/>
        </w:rPr>
        <w:t>3.1 Przygotowanie przedsięwzięcia</w:t>
      </w:r>
      <w:bookmarkEnd w:id="9"/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związane z przygotowaniem przedsięwzięcia mogą być uznane za kwalifikowane,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ile wiążą się z </w:t>
      </w:r>
      <w:r>
        <w:rPr>
          <w:rFonts w:ascii="Times New Roman" w:hAnsi="Times New Roman" w:cs="Times New Roman"/>
          <w:sz w:val="24"/>
          <w:szCs w:val="24"/>
        </w:rPr>
        <w:t>oprac</w:t>
      </w:r>
      <w:r w:rsidRPr="00143E43">
        <w:rPr>
          <w:rFonts w:ascii="Times New Roman" w:hAnsi="Times New Roman" w:cs="Times New Roman"/>
          <w:sz w:val="24"/>
          <w:szCs w:val="24"/>
        </w:rPr>
        <w:t xml:space="preserve">owaniem dokumentacji niezbędnej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3E43">
        <w:rPr>
          <w:rFonts w:ascii="Times New Roman" w:hAnsi="Times New Roman" w:cs="Times New Roman"/>
          <w:sz w:val="24"/>
          <w:szCs w:val="24"/>
        </w:rPr>
        <w:t xml:space="preserve"> planowanego przedsięwzięcia oraz uzyskaniem niezbędnych pozwoleń i decyzji</w:t>
      </w:r>
      <w:r>
        <w:rPr>
          <w:rFonts w:ascii="Times New Roman" w:hAnsi="Times New Roman" w:cs="Times New Roman"/>
          <w:sz w:val="24"/>
          <w:szCs w:val="24"/>
        </w:rPr>
        <w:t>, w szczególności są to koszty opracowania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:rsidR="00637AEA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planów i programów ochrony, planów zadań ochronnych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43E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studium wykonalności (jeżeli </w:t>
      </w:r>
      <w:r>
        <w:rPr>
          <w:rFonts w:ascii="Times New Roman" w:hAnsi="Times New Roman" w:cs="Times New Roman"/>
          <w:sz w:val="24"/>
          <w:szCs w:val="24"/>
        </w:rPr>
        <w:t>jest wymagane przez NFOŚiGW</w:t>
      </w:r>
      <w:r w:rsidRPr="00143E4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o oddziaływaniu na środowisko, </w:t>
      </w:r>
    </w:p>
    <w:p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43E43">
        <w:rPr>
          <w:rFonts w:ascii="Times New Roman" w:hAnsi="Times New Roman" w:cs="Times New Roman"/>
          <w:sz w:val="24"/>
          <w:szCs w:val="24"/>
        </w:rPr>
        <w:t xml:space="preserve"> (jeżeli</w:t>
      </w:r>
      <w:r>
        <w:rPr>
          <w:rFonts w:ascii="Times New Roman" w:hAnsi="Times New Roman" w:cs="Times New Roman"/>
          <w:sz w:val="24"/>
          <w:szCs w:val="24"/>
        </w:rPr>
        <w:t xml:space="preserve"> jest wymagany przez NFOŚiGW</w:t>
      </w:r>
      <w:r w:rsidRPr="00143E43">
        <w:rPr>
          <w:rFonts w:ascii="Times New Roman" w:hAnsi="Times New Roman" w:cs="Times New Roman"/>
          <w:sz w:val="24"/>
          <w:szCs w:val="24"/>
        </w:rPr>
        <w:t>)</w:t>
      </w:r>
      <w:r w:rsidRPr="00F03CC8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budowlane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wykonawcze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0" w:name="_Toc392494283"/>
      <w:r w:rsidRPr="005E603D">
        <w:rPr>
          <w:rFonts w:ascii="Times New Roman" w:hAnsi="Times New Roman" w:cs="Times New Roman"/>
          <w:i w:val="0"/>
          <w:iCs w:val="0"/>
        </w:rPr>
        <w:t>3.2 Zarządzanie przedsięwzięciem</w:t>
      </w:r>
      <w:bookmarkEnd w:id="10"/>
    </w:p>
    <w:p w:rsidR="00637AEA" w:rsidRPr="00A038A8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zarządzania to wszelkie koszty, które wiążą się z </w:t>
      </w:r>
      <w:r w:rsidRPr="00B41D22">
        <w:rPr>
          <w:rFonts w:ascii="Times New Roman" w:hAnsi="Times New Roman" w:cs="Times New Roman"/>
          <w:sz w:val="24"/>
          <w:szCs w:val="24"/>
        </w:rPr>
        <w:t>planowani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41D22">
        <w:rPr>
          <w:rFonts w:ascii="Times New Roman" w:hAnsi="Times New Roman" w:cs="Times New Roman"/>
          <w:sz w:val="24"/>
          <w:szCs w:val="24"/>
        </w:rPr>
        <w:t>,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i kontrol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zadań niezbędnych do osiągnięcia celów </w:t>
      </w:r>
      <w:hyperlink r:id="rId9" w:tooltip="Projekt (zarządzanie)" w:history="1">
        <w:r w:rsidRPr="0089781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przedsięwzięcia</w:t>
        </w:r>
      </w:hyperlink>
      <w:r w:rsidRPr="0089781E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kwalifikowane są koszty związan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3E43">
        <w:rPr>
          <w:rFonts w:ascii="Times New Roman" w:hAnsi="Times New Roman" w:cs="Times New Roman"/>
          <w:sz w:val="24"/>
          <w:szCs w:val="24"/>
        </w:rPr>
        <w:t>z zarządzaniem realizacją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niezbędnym zakresie (np. koordynacja) lub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określonym obowiązującymi przepisami </w:t>
      </w: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Pr="00143E43">
        <w:rPr>
          <w:rFonts w:ascii="Times New Roman" w:hAnsi="Times New Roman" w:cs="Times New Roman"/>
          <w:sz w:val="24"/>
          <w:szCs w:val="24"/>
        </w:rPr>
        <w:t xml:space="preserve">(np. inspektor nadzoru). </w:t>
      </w:r>
    </w:p>
    <w:p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Warunkiem koniecznym do uznania kosztów za kwalifikowane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poniesionych w związku z</w:t>
      </w:r>
      <w:r w:rsidR="008075CD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zarządzaniem przedsięwzięciem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jest ich szczegółowe opisanie oraz uzasadnienie we wniosku o dofinansowanie</w:t>
      </w:r>
      <w:r>
        <w:rPr>
          <w:rFonts w:ascii="Times New Roman" w:hAnsi="Times New Roman" w:cs="Times New Roman"/>
          <w:sz w:val="24"/>
          <w:szCs w:val="24"/>
        </w:rPr>
        <w:t xml:space="preserve">. Koszty te muszą zostać również </w:t>
      </w:r>
      <w:r w:rsidRPr="00143E43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umowie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o dofinansowanie. </w:t>
      </w:r>
    </w:p>
    <w:p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</w:t>
      </w:r>
      <w:r w:rsidRPr="005D1C0B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ywania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zadania na rzecz pr</w:t>
      </w:r>
      <w:r>
        <w:rPr>
          <w:rFonts w:ascii="Times New Roman" w:hAnsi="Times New Roman" w:cs="Times New Roman"/>
          <w:sz w:val="24"/>
          <w:szCs w:val="24"/>
        </w:rPr>
        <w:t xml:space="preserve">zedsięwzięcia przez </w:t>
      </w:r>
      <w:r w:rsidRPr="00143E43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 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wymagan</w:t>
      </w:r>
      <w:r w:rsidR="00006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jest, aby </w:t>
      </w:r>
      <w:r w:rsidRPr="00143E43">
        <w:rPr>
          <w:rFonts w:ascii="Times New Roman" w:hAnsi="Times New Roman" w:cs="Times New Roman"/>
          <w:sz w:val="24"/>
          <w:szCs w:val="24"/>
        </w:rPr>
        <w:t>opis stanowiska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3E43">
        <w:rPr>
          <w:rFonts w:ascii="Times New Roman" w:hAnsi="Times New Roman" w:cs="Times New Roman"/>
          <w:sz w:val="24"/>
          <w:szCs w:val="24"/>
        </w:rPr>
        <w:t>zakres obowiązków tej osoby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jaka część etatu </w:t>
      </w:r>
      <w:r>
        <w:rPr>
          <w:rFonts w:ascii="Times New Roman" w:hAnsi="Times New Roman" w:cs="Times New Roman"/>
          <w:sz w:val="24"/>
          <w:szCs w:val="24"/>
        </w:rPr>
        <w:t xml:space="preserve">(udział procentowy) </w:t>
      </w:r>
      <w:r w:rsidRPr="00143E43">
        <w:rPr>
          <w:rFonts w:ascii="Times New Roman" w:hAnsi="Times New Roman" w:cs="Times New Roman"/>
          <w:sz w:val="24"/>
          <w:szCs w:val="24"/>
        </w:rPr>
        <w:t>przypisana została do zarządzania pr</w:t>
      </w:r>
      <w:r>
        <w:rPr>
          <w:rFonts w:ascii="Times New Roman" w:hAnsi="Times New Roman" w:cs="Times New Roman"/>
          <w:sz w:val="24"/>
          <w:szCs w:val="24"/>
        </w:rPr>
        <w:t>zedsięwzięciem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ABC" w:rsidRPr="00143E43" w:rsidRDefault="00AD7ABC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25" w:rsidRDefault="00637AEA" w:rsidP="00F4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3C40E0">
        <w:rPr>
          <w:rFonts w:ascii="Times New Roman" w:hAnsi="Times New Roman" w:cs="Times New Roman"/>
          <w:sz w:val="24"/>
          <w:szCs w:val="24"/>
        </w:rPr>
        <w:t>kosztów zarz</w:t>
      </w:r>
      <w:r>
        <w:rPr>
          <w:rFonts w:ascii="Times New Roman" w:hAnsi="Times New Roman" w:cs="Times New Roman"/>
          <w:sz w:val="24"/>
          <w:szCs w:val="24"/>
        </w:rPr>
        <w:t xml:space="preserve">ądzania przedsięwzięciem </w:t>
      </w:r>
      <w:r w:rsidRPr="003C40E0">
        <w:rPr>
          <w:rFonts w:ascii="Times New Roman" w:hAnsi="Times New Roman" w:cs="Times New Roman"/>
          <w:sz w:val="24"/>
          <w:szCs w:val="24"/>
        </w:rPr>
        <w:t>nie m</w:t>
      </w:r>
      <w:r>
        <w:rPr>
          <w:rFonts w:ascii="Times New Roman" w:hAnsi="Times New Roman" w:cs="Times New Roman"/>
          <w:sz w:val="24"/>
          <w:szCs w:val="24"/>
        </w:rPr>
        <w:t>oże przekraczać 3</w:t>
      </w:r>
      <w:r w:rsidRPr="003C40E0">
        <w:rPr>
          <w:rFonts w:ascii="Times New Roman" w:hAnsi="Times New Roman" w:cs="Times New Roman"/>
          <w:sz w:val="24"/>
          <w:szCs w:val="24"/>
        </w:rPr>
        <w:t xml:space="preserve">% kosztów </w:t>
      </w:r>
      <w:r>
        <w:rPr>
          <w:rFonts w:ascii="Times New Roman" w:hAnsi="Times New Roman" w:cs="Times New Roman"/>
          <w:sz w:val="24"/>
          <w:szCs w:val="24"/>
        </w:rPr>
        <w:t>kwalifikowanych przedsięwzięcia, chyba, że program priorytetowy  stanowi inaczej.</w:t>
      </w:r>
    </w:p>
    <w:p w:rsidR="007C6F25" w:rsidRDefault="007C6F25" w:rsidP="007C6F25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11" w:name="_Toc392494284"/>
      <w:r>
        <w:rPr>
          <w:rFonts w:ascii="Times New Roman" w:hAnsi="Times New Roman" w:cs="Times New Roman"/>
          <w:i w:val="0"/>
          <w:iCs w:val="0"/>
        </w:rPr>
        <w:t xml:space="preserve">3.3 </w:t>
      </w:r>
      <w:r w:rsidRPr="005151D0">
        <w:rPr>
          <w:rFonts w:ascii="Times New Roman" w:hAnsi="Times New Roman" w:cs="Times New Roman"/>
          <w:i w:val="0"/>
          <w:iCs w:val="0"/>
        </w:rPr>
        <w:t>Koszty informacji i promocji</w:t>
      </w:r>
      <w:bookmarkEnd w:id="11"/>
    </w:p>
    <w:p w:rsidR="007C6F25" w:rsidRDefault="007C6F25" w:rsidP="007C6F25">
      <w:pPr>
        <w:spacing w:after="120" w:line="300" w:lineRule="auto"/>
        <w:jc w:val="both"/>
        <w:rPr>
          <w:rFonts w:ascii="Times New Roman" w:hAnsi="Times New Roman" w:cs="Times New Roman"/>
          <w:b/>
          <w:bCs/>
        </w:rPr>
      </w:pPr>
      <w:r w:rsidRPr="00143E43">
        <w:rPr>
          <w:rFonts w:ascii="Times New Roman" w:hAnsi="Times New Roman" w:cs="Times New Roman"/>
          <w:sz w:val="24"/>
          <w:szCs w:val="24"/>
        </w:rPr>
        <w:t>Koszty informacji i promocji związane</w:t>
      </w:r>
      <w:r w:rsidR="00F45E47">
        <w:rPr>
          <w:rFonts w:ascii="Times New Roman" w:hAnsi="Times New Roman" w:cs="Times New Roman"/>
          <w:sz w:val="24"/>
          <w:szCs w:val="24"/>
        </w:rPr>
        <w:t xml:space="preserve"> z upowszechnianiem informacji </w:t>
      </w:r>
      <w:r w:rsidRPr="00143E43">
        <w:rPr>
          <w:rFonts w:ascii="Times New Roman" w:hAnsi="Times New Roman" w:cs="Times New Roman"/>
          <w:sz w:val="24"/>
          <w:szCs w:val="24"/>
        </w:rPr>
        <w:t xml:space="preserve">o tym, że przedsięwzięcie jest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finansowane ze środków NFOŚiGW (koszty </w:t>
      </w:r>
      <w:r>
        <w:rPr>
          <w:rFonts w:ascii="Times New Roman" w:hAnsi="Times New Roman" w:cs="Times New Roman"/>
          <w:sz w:val="24"/>
          <w:szCs w:val="24"/>
        </w:rPr>
        <w:t xml:space="preserve">działań wskazanych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„Instrukcji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oznakowania przedsięwzięć dofinansowywanych ze środków NFOŚiGW”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tym m.in. </w:t>
      </w:r>
      <w:r w:rsidRPr="00143E43">
        <w:rPr>
          <w:rFonts w:ascii="Times New Roman" w:hAnsi="Times New Roman" w:cs="Times New Roman"/>
          <w:sz w:val="24"/>
          <w:szCs w:val="24"/>
        </w:rPr>
        <w:t>tablic informacyjnych, pamiątkowych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naklejek na ruchome składniki i elementy wyposażenia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  <w:r w:rsidRPr="00143E43">
        <w:rPr>
          <w:rFonts w:ascii="Times New Roman" w:hAnsi="Times New Roman" w:cs="Times New Roman"/>
          <w:sz w:val="24"/>
          <w:szCs w:val="24"/>
        </w:rPr>
        <w:t>) są kwalifikowane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EA" w:rsidRDefault="0063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E2E" w:rsidRPr="00155E2E" w:rsidRDefault="00155E2E" w:rsidP="00155E2E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12" w:name="_Toc392494285"/>
      <w:r w:rsidRPr="00155E2E">
        <w:rPr>
          <w:rFonts w:ascii="Times New Roman" w:hAnsi="Times New Roman" w:cs="Times New Roman"/>
          <w:i w:val="0"/>
        </w:rPr>
        <w:t>3.4 Realizacja przedsięwzięcia</w:t>
      </w:r>
      <w:bookmarkEnd w:id="12"/>
    </w:p>
    <w:p w:rsidR="00637AEA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13" w:name="_Toc392494286"/>
      <w:r w:rsidRPr="005E603D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5E603D">
        <w:rPr>
          <w:rFonts w:ascii="Times New Roman" w:hAnsi="Times New Roman" w:cs="Times New Roman"/>
          <w:sz w:val="28"/>
          <w:szCs w:val="28"/>
        </w:rPr>
        <w:t xml:space="preserve">.1 Nabycie nieruchomości niezabudowanej, </w:t>
      </w:r>
      <w:r>
        <w:rPr>
          <w:rFonts w:ascii="Times New Roman" w:hAnsi="Times New Roman" w:cs="Times New Roman"/>
          <w:sz w:val="28"/>
          <w:szCs w:val="28"/>
        </w:rPr>
        <w:t xml:space="preserve">nieruchomości </w:t>
      </w:r>
      <w:r w:rsidRPr="005E603D">
        <w:rPr>
          <w:rFonts w:ascii="Times New Roman" w:hAnsi="Times New Roman" w:cs="Times New Roman"/>
          <w:sz w:val="28"/>
          <w:szCs w:val="28"/>
        </w:rPr>
        <w:t>zabudowanej, zakup gruntu</w:t>
      </w:r>
      <w:bookmarkEnd w:id="13"/>
    </w:p>
    <w:p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nabycia nieruchomości niezabudowanej</w:t>
      </w:r>
      <w:r w:rsidR="00637AEA">
        <w:rPr>
          <w:rFonts w:ascii="Times New Roman" w:hAnsi="Times New Roman" w:cs="Times New Roman"/>
          <w:sz w:val="24"/>
          <w:szCs w:val="24"/>
        </w:rPr>
        <w:t xml:space="preserve">, nieruchomości </w:t>
      </w:r>
      <w:r w:rsidR="00637AEA" w:rsidRPr="00143E43">
        <w:rPr>
          <w:rFonts w:ascii="Times New Roman" w:hAnsi="Times New Roman" w:cs="Times New Roman"/>
          <w:sz w:val="24"/>
          <w:szCs w:val="24"/>
        </w:rPr>
        <w:t>zabudowanej czy zakup</w:t>
      </w:r>
      <w:r w:rsidR="00637AEA">
        <w:rPr>
          <w:rFonts w:ascii="Times New Roman" w:hAnsi="Times New Roman" w:cs="Times New Roman"/>
          <w:sz w:val="24"/>
          <w:szCs w:val="24"/>
        </w:rPr>
        <w:t>u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gruntu może być </w:t>
      </w:r>
      <w:r w:rsidR="00637AEA">
        <w:rPr>
          <w:rFonts w:ascii="Times New Roman" w:hAnsi="Times New Roman" w:cs="Times New Roman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sz w:val="24"/>
          <w:szCs w:val="24"/>
        </w:rPr>
        <w:t>kwalifikowany</w:t>
      </w:r>
      <w:r w:rsidR="00637AEA">
        <w:rPr>
          <w:rFonts w:ascii="Times New Roman" w:hAnsi="Times New Roman" w:cs="Times New Roman"/>
          <w:sz w:val="24"/>
          <w:szCs w:val="24"/>
        </w:rPr>
        <w:t>m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, jeżeli zostaną spełnione łącznie następujące warunki: </w:t>
      </w:r>
    </w:p>
    <w:p w:rsidR="00637AEA" w:rsidRDefault="00637AEA" w:rsidP="00143E43">
      <w:pPr>
        <w:pStyle w:val="Akapitzlist1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nabyta nieruchomość jest niezbędna dla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zostanie wykorzystana </w:t>
      </w:r>
      <w:r>
        <w:rPr>
          <w:rFonts w:ascii="Times New Roman" w:hAnsi="Times New Roman" w:cs="Times New Roman"/>
          <w:sz w:val="24"/>
          <w:szCs w:val="24"/>
        </w:rPr>
        <w:t>bezpośrednio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tzn. jako koszt kwalifikowany może być uznany tylko koszt takiej części nieruchomości, która jest niezbędna,</w:t>
      </w:r>
    </w:p>
    <w:p w:rsidR="00637AEA" w:rsidRPr="00143E43" w:rsidRDefault="0000644C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nabyt</w:t>
      </w:r>
      <w:r w:rsidR="00637AEA">
        <w:rPr>
          <w:rFonts w:ascii="Times New Roman" w:hAnsi="Times New Roman" w:cs="Times New Roman"/>
          <w:sz w:val="24"/>
          <w:szCs w:val="24"/>
        </w:rPr>
        <w:t>ej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37AEA">
        <w:rPr>
          <w:rFonts w:ascii="Times New Roman" w:hAnsi="Times New Roman" w:cs="Times New Roman"/>
          <w:sz w:val="24"/>
          <w:szCs w:val="24"/>
        </w:rPr>
        <w:t>ci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 przekracza jej wartości </w:t>
      </w:r>
      <w:r w:rsidR="00495234">
        <w:rPr>
          <w:rFonts w:ascii="Times New Roman" w:hAnsi="Times New Roman" w:cs="Times New Roman"/>
          <w:sz w:val="24"/>
          <w:szCs w:val="24"/>
        </w:rPr>
        <w:t>godziwej</w:t>
      </w:r>
      <w:r w:rsidR="00637AEA">
        <w:rPr>
          <w:rFonts w:ascii="Times New Roman" w:hAnsi="Times New Roman" w:cs="Times New Roman"/>
          <w:sz w:val="24"/>
          <w:szCs w:val="24"/>
        </w:rPr>
        <w:t>,</w:t>
      </w:r>
    </w:p>
    <w:p w:rsidR="00637AEA" w:rsidRPr="00F03CC8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C8">
        <w:rPr>
          <w:rFonts w:ascii="Times New Roman" w:hAnsi="Times New Roman" w:cs="Times New Roman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:rsidR="00A06D5E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nabycie nieruchomości zostało przewidziane we wniosku o dofinansowanie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bezpośrednio wskazane w umowie o dofinansowanie</w:t>
      </w:r>
      <w:r w:rsidR="00A06D5E">
        <w:rPr>
          <w:rFonts w:ascii="Times New Roman" w:hAnsi="Times New Roman" w:cs="Times New Roman"/>
          <w:sz w:val="24"/>
          <w:szCs w:val="24"/>
        </w:rPr>
        <w:t>,</w:t>
      </w:r>
    </w:p>
    <w:p w:rsidR="00637AEA" w:rsidRPr="00143E43" w:rsidRDefault="00A06D5E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związane z nabyciem są dokonywane na rzecz podmiotów zewnętrznych wobec Beneficjenta</w:t>
      </w:r>
      <w:r w:rsidR="00637AEA" w:rsidRPr="00143E43">
        <w:rPr>
          <w:rFonts w:ascii="Times New Roman" w:hAnsi="Times New Roman" w:cs="Times New Roman"/>
          <w:sz w:val="24"/>
          <w:szCs w:val="24"/>
        </w:rPr>
        <w:t>.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wskazany w lit. c powyżej</w:t>
      </w:r>
      <w:r w:rsidR="00F4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nie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przypadku nabycia </w:t>
      </w:r>
      <w:r>
        <w:rPr>
          <w:rFonts w:ascii="Times New Roman" w:hAnsi="Times New Roman" w:cs="Times New Roman"/>
          <w:sz w:val="24"/>
          <w:szCs w:val="24"/>
        </w:rPr>
        <w:t xml:space="preserve">na zasadzie pierwokupu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nieruchomości gruntowych niezbędnych do renaturyzacji siedlisk przyrodniczych oraz prowadzenia ochrony, restytucji bądź reintrodukcji gatunków w parkach narodowych,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w tym także nieruchomości zabudowanych pod warunkiem, że budowle i budynki zostaną przeznaczone do rozbiórki lub wykorzystan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celów statutowych parku narodowego,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a koszty te uznaje się za kwalifikowane.</w:t>
      </w:r>
    </w:p>
    <w:p w:rsidR="00637AEA" w:rsidRPr="00143E43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14" w:name="_Toc392494287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.2 Roboty budowlane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ramach tej kategorii kwalifikowane są koszty związane z przygotowaniem placu budowy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poniesione na roboty budowlane niezbędne do realizacji przedsięwzięcia, m.in.:  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infrastruktury technicznej związanej z nową inwestycją (instalacje wewnętrzne w obiektach technologicznych, przyłącza doprowadzające media do obiektów technologicznych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itp.),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remontów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adaptacji obiektów niezbędnych do realizacji przedsięwzięcia,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materiałó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>budowlano-montażowych,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demontażow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rozbiórkowych. </w:t>
      </w:r>
    </w:p>
    <w:p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Roboty budowlane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muszą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być prowadzone zgodnie z obowiązującym prawem,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szczególności zgodnie z ustawą Prawo budowlane.</w:t>
      </w:r>
    </w:p>
    <w:p w:rsidR="00D86644" w:rsidRPr="00143E43" w:rsidRDefault="00D8664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AEA" w:rsidRPr="00143E43" w:rsidRDefault="00637AEA" w:rsidP="00143E43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15" w:name="_Toc392494288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.3 Środki trwałe, sprzęt i wyposażenie, wartości niematerialne i prawne</w:t>
      </w:r>
      <w:bookmarkEnd w:id="15"/>
    </w:p>
    <w:p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nabycia środków trwałych, które będą na stałe zainstalowane w ramach przedsięwzięcia, będzie 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pod warunkiem, że środki te będą włączone w rejestr środków trwałych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eneficjenta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7AEA" w:rsidRPr="00143E43" w:rsidRDefault="00637AEA" w:rsidP="00143E43">
      <w:p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koszty te dotyczą nabycia: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maszyn, urządzeń i materiałów wraz z kosztami </w:t>
      </w:r>
      <w:r>
        <w:rPr>
          <w:rFonts w:ascii="Times New Roman" w:hAnsi="Times New Roman" w:cs="Times New Roman"/>
          <w:sz w:val="24"/>
          <w:szCs w:val="24"/>
        </w:rPr>
        <w:t>dostawy (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transportu, załadunku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wyładunku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narzędzi, przyrządów i aparatury, 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infrastruktury technicznej związanej z inwestycją,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instalacji/montażu i uruchomienia środków trwałych,</w:t>
      </w:r>
    </w:p>
    <w:p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wartości niematerialnych i prawnych w formie: oprogramowania, patentów, licencji, nieopatentowanej wiedzy technicznej, technologicznej lub z zakresu organizacji i zarządzania.</w:t>
      </w:r>
    </w:p>
    <w:p w:rsidR="00637AEA" w:rsidRPr="00143E43" w:rsidRDefault="00D1313F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Nabycie p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rzenośn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trwał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, które nie będą na stałe zainstalowane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w przedsięwzięciu (np. specjalistyczne pojazdy do monitorowania sieci kanalizacyjnej, samochody ratownictwa chemicznego, samochody ratowniczo–gaśnicze, specjalne samochody, kontenery i pojemniki na odpady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w przypadku przedsięwzięć polegających na sortowaniu odpadów u źródła ich powstania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pod warunkiem stosowania zasad dotyczących pomocy publicznej, specjalistyczny sprzęt komputerowy, itp. mo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być uznane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1A1B7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 spełnieniu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łącznie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następujących warunków: </w:t>
      </w:r>
    </w:p>
    <w:p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są niezbędne dla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przedsięwzięcia bądź dla poprawnego funkcjonowania infrastruktury wytworzonej w wyniku realizacji przedsięwzięcia, </w:t>
      </w:r>
    </w:p>
    <w:p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we wniosku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dofinansowanie wraz z uzasadnieniem konieczności ich zakupu, </w:t>
      </w:r>
    </w:p>
    <w:p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 umowie o dofinansowanie, </w:t>
      </w:r>
    </w:p>
    <w:p w:rsidR="00637AEA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włączone w rejestr środków trwałych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eneficjenta oraz koszt ten będzie traktowany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nakłady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inwestycyjn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ustawą 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rachunkowości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37AEA" w:rsidRDefault="00637AEA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81E">
        <w:rPr>
          <w:rFonts w:ascii="Times New Roman" w:hAnsi="Times New Roman" w:cs="Times New Roman"/>
          <w:color w:val="000000"/>
          <w:sz w:val="24"/>
          <w:szCs w:val="24"/>
        </w:rPr>
        <w:t>są ekonomicznie uzasadnione.</w:t>
      </w:r>
    </w:p>
    <w:p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Kosztem kwalifikowanym są również koszty nabycia sprzętu i wyposażenia, które nie stanowią środków trwałych </w:t>
      </w:r>
      <w:r w:rsidR="00495234">
        <w:rPr>
          <w:rFonts w:ascii="Times New Roman" w:hAnsi="Times New Roman" w:cs="Times New Roman"/>
          <w:color w:val="000000"/>
          <w:sz w:val="24"/>
          <w:szCs w:val="24"/>
        </w:rPr>
        <w:t xml:space="preserve">zgodnie z zasadami obowiązującymi u danego Beneficjenta, o ile nie są sprzeczne z obowiązującymi przepisami prawa. </w:t>
      </w:r>
    </w:p>
    <w:p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Koszty eksploatacyjne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koszty przeglądów,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części zamiennych,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ubezpieczeń, paliwa, napraw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nie są kwalifikowane, chyba że program priorytetowy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inaczej. </w:t>
      </w:r>
    </w:p>
    <w:p w:rsidR="00495234" w:rsidRPr="00443F8E" w:rsidRDefault="00495234" w:rsidP="00495234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color w:val="000000"/>
          <w:sz w:val="24"/>
          <w:szCs w:val="24"/>
        </w:rPr>
        <w:t xml:space="preserve">Dopuszcza się możliwość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nabycia środków trwałych w formie </w:t>
      </w:r>
      <w:r w:rsidRPr="00E95731">
        <w:rPr>
          <w:rFonts w:ascii="Times New Roman" w:hAnsi="Times New Roman" w:cs="Times New Roman"/>
          <w:color w:val="000000"/>
          <w:sz w:val="24"/>
          <w:szCs w:val="24"/>
        </w:rPr>
        <w:t xml:space="preserve">leasingu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rozumianego jako umowa, zgodnie z którą jedna ze stron (finansujący) oddaje drugiej stronie (korzystającemu, tj. Beneficjentowi) środki trwałe lub wartości niematerialne i prawne do odpłatnego używania lub również pobierania pożytków na czas oznaczony, przy czym środki te i wartości zaliczane są do aktywów trwałych korzystającego. </w:t>
      </w:r>
      <w:r w:rsidRPr="00E95731">
        <w:rPr>
          <w:rFonts w:ascii="Times New Roman" w:hAnsi="Times New Roman" w:cs="Times New Roman"/>
          <w:sz w:val="24"/>
          <w:szCs w:val="24"/>
        </w:rPr>
        <w:t xml:space="preserve">Maksymalna kwota kwalifikowana do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95731">
        <w:rPr>
          <w:rFonts w:ascii="Times New Roman" w:hAnsi="Times New Roman" w:cs="Times New Roman"/>
          <w:sz w:val="24"/>
          <w:szCs w:val="24"/>
        </w:rPr>
        <w:t xml:space="preserve">finansowania nie może przekroczyć wartości rynkowej leasingowanych aktywów. </w:t>
      </w:r>
      <w:r>
        <w:rPr>
          <w:rFonts w:ascii="Times New Roman" w:hAnsi="Times New Roman" w:cs="Times New Roman"/>
          <w:sz w:val="24"/>
          <w:szCs w:val="24"/>
        </w:rPr>
        <w:t xml:space="preserve">Kosztem kwalifikowanym jest wartość </w:t>
      </w:r>
      <w:r w:rsidR="007C6F25">
        <w:rPr>
          <w:rFonts w:ascii="Times New Roman" w:hAnsi="Times New Roman" w:cs="Times New Roman"/>
          <w:sz w:val="24"/>
          <w:szCs w:val="24"/>
        </w:rPr>
        <w:t xml:space="preserve">nabywanego </w:t>
      </w:r>
      <w:r>
        <w:rPr>
          <w:rFonts w:ascii="Times New Roman" w:hAnsi="Times New Roman" w:cs="Times New Roman"/>
          <w:sz w:val="24"/>
          <w:szCs w:val="24"/>
        </w:rPr>
        <w:t xml:space="preserve">środka trwałego </w:t>
      </w:r>
      <w:r w:rsidR="007C6F25">
        <w:rPr>
          <w:rFonts w:ascii="Times New Roman" w:hAnsi="Times New Roman" w:cs="Times New Roman"/>
          <w:sz w:val="24"/>
          <w:szCs w:val="24"/>
        </w:rPr>
        <w:t xml:space="preserve">odpowiadająca 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C6F25">
        <w:rPr>
          <w:rFonts w:ascii="Times New Roman" w:hAnsi="Times New Roman" w:cs="Times New Roman"/>
          <w:sz w:val="24"/>
          <w:szCs w:val="24"/>
        </w:rPr>
        <w:t>rat leasingowych będących spłatą kapitału leasingowanego przedmiotu.</w:t>
      </w:r>
    </w:p>
    <w:p w:rsidR="00495234" w:rsidRPr="00443F8E" w:rsidRDefault="00495234" w:rsidP="00495234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>Umowa leasingu musi przewidywać</w:t>
      </w:r>
      <w:r>
        <w:rPr>
          <w:rFonts w:ascii="Times New Roman" w:hAnsi="Times New Roman" w:cs="Times New Roman"/>
          <w:sz w:val="24"/>
          <w:szCs w:val="24"/>
        </w:rPr>
        <w:t xml:space="preserve"> przeniesienie własności przedmiotu leasingu na Beneficjenta.</w:t>
      </w:r>
      <w:r w:rsidRPr="00E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95731">
        <w:rPr>
          <w:rFonts w:ascii="Times New Roman" w:hAnsi="Times New Roman" w:cs="Times New Roman"/>
          <w:sz w:val="24"/>
          <w:szCs w:val="24"/>
        </w:rPr>
        <w:t>ależy mieć na uwadze, że planowany termin zakończenia przedsięwzięcia nie powinien przypadać wcześniej niż po dokonaniu przeniesienia własności przedmiotu objętego leasingiem na Beneficjenta, z uwzględnieniem możliwego okresu wydatkowania środków</w:t>
      </w:r>
      <w:r w:rsidR="001A1B72">
        <w:rPr>
          <w:rFonts w:ascii="Times New Roman" w:hAnsi="Times New Roman" w:cs="Times New Roman"/>
          <w:sz w:val="24"/>
          <w:szCs w:val="24"/>
        </w:rPr>
        <w:t>,</w:t>
      </w:r>
      <w:r w:rsidRPr="00E95731">
        <w:rPr>
          <w:rFonts w:ascii="Times New Roman" w:hAnsi="Times New Roman" w:cs="Times New Roman"/>
          <w:sz w:val="24"/>
          <w:szCs w:val="24"/>
        </w:rPr>
        <w:t xml:space="preserve">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E95731">
        <w:rPr>
          <w:rFonts w:ascii="Times New Roman" w:hAnsi="Times New Roman" w:cs="Times New Roman"/>
          <w:sz w:val="24"/>
          <w:szCs w:val="24"/>
        </w:rPr>
        <w:t>tj. dopuszczalnego okresu kwalifikowalności kosztów określonego w programie priorytetowym.</w:t>
      </w:r>
    </w:p>
    <w:p w:rsidR="00155E2E" w:rsidRDefault="00495234" w:rsidP="00155E2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 xml:space="preserve">Koszty niekwalifikowane związane z umową leasingu to: </w:t>
      </w:r>
    </w:p>
    <w:p w:rsidR="00155E2E" w:rsidRDefault="00495234" w:rsidP="00155E2E">
      <w:pPr>
        <w:pStyle w:val="Akapitzlist1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 xml:space="preserve">marża finansującego, </w:t>
      </w:r>
    </w:p>
    <w:p w:rsidR="00155E2E" w:rsidRDefault="00495234" w:rsidP="00155E2E">
      <w:pPr>
        <w:pStyle w:val="Akapitzlist1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 xml:space="preserve">odsetki od refinansowania kosztów, </w:t>
      </w:r>
    </w:p>
    <w:p w:rsidR="00155E2E" w:rsidRDefault="00495234" w:rsidP="00155E2E">
      <w:pPr>
        <w:pStyle w:val="Akapitzlist1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>podatki,</w:t>
      </w:r>
    </w:p>
    <w:p w:rsidR="00155E2E" w:rsidRDefault="00495234" w:rsidP="00155E2E">
      <w:pPr>
        <w:pStyle w:val="Akapitzlist1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>koszty ogólne</w:t>
      </w:r>
      <w:r>
        <w:rPr>
          <w:rFonts w:ascii="Times New Roman" w:hAnsi="Times New Roman" w:cs="Times New Roman"/>
          <w:sz w:val="24"/>
          <w:szCs w:val="24"/>
        </w:rPr>
        <w:t xml:space="preserve"> (pośrednie leasingobiorcy)</w:t>
      </w:r>
      <w:r w:rsidRPr="00E95731">
        <w:rPr>
          <w:rFonts w:ascii="Times New Roman" w:hAnsi="Times New Roman" w:cs="Times New Roman"/>
          <w:sz w:val="24"/>
          <w:szCs w:val="24"/>
        </w:rPr>
        <w:t>,</w:t>
      </w:r>
    </w:p>
    <w:p w:rsidR="00155E2E" w:rsidRPr="00155E2E" w:rsidRDefault="00495234" w:rsidP="00155E2E">
      <w:pPr>
        <w:pStyle w:val="Akapitzlist1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31">
        <w:rPr>
          <w:rFonts w:ascii="Times New Roman" w:hAnsi="Times New Roman" w:cs="Times New Roman"/>
          <w:sz w:val="24"/>
          <w:szCs w:val="24"/>
        </w:rPr>
        <w:t>opłaty ubezpieczeniowe.</w:t>
      </w:r>
    </w:p>
    <w:p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AEA" w:rsidRDefault="007C6F25" w:rsidP="007C6F25">
      <w:pPr>
        <w:pStyle w:val="Nagwek3"/>
        <w:spacing w:before="0" w:after="120"/>
        <w:rPr>
          <w:rFonts w:ascii="Times New Roman" w:hAnsi="Times New Roman" w:cs="Times New Roman"/>
          <w:sz w:val="28"/>
          <w:szCs w:val="28"/>
        </w:rPr>
      </w:pPr>
      <w:bookmarkStart w:id="16" w:name="_Toc392494289"/>
      <w:r>
        <w:rPr>
          <w:rFonts w:ascii="Times New Roman" w:hAnsi="Times New Roman" w:cs="Times New Roman"/>
          <w:sz w:val="28"/>
          <w:szCs w:val="28"/>
        </w:rPr>
        <w:t xml:space="preserve">3.4.4 </w:t>
      </w:r>
      <w:r w:rsidR="00637AEA" w:rsidRPr="00143E43">
        <w:rPr>
          <w:rFonts w:ascii="Times New Roman" w:hAnsi="Times New Roman" w:cs="Times New Roman"/>
          <w:sz w:val="28"/>
          <w:szCs w:val="28"/>
        </w:rPr>
        <w:t>Pozostałe koszty</w:t>
      </w:r>
      <w:bookmarkEnd w:id="16"/>
      <w:r w:rsidR="00637AEA" w:rsidRPr="0014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AEA" w:rsidRDefault="00637AEA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tej kategorii kosztów zaliczamy wszystkie p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ozostałe koszty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są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związane z realizacją przedsięwzięcia</w:t>
      </w:r>
      <w:r>
        <w:rPr>
          <w:rFonts w:ascii="Times New Roman" w:hAnsi="Times New Roman" w:cs="Times New Roman"/>
          <w:color w:val="000000"/>
          <w:sz w:val="24"/>
          <w:szCs w:val="24"/>
        </w:rPr>
        <w:t>, a nie zawierają się we wskazanych wcześniej kategoriach kosztów kwalifikowanych realizacj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i przedsięwzięcia. Obejmują one,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usługi obce, wynagrodzenia oraz materiały zużywalne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7AEA" w:rsidRPr="005151D0" w:rsidRDefault="00637AEA" w:rsidP="00086E28">
      <w:pPr>
        <w:pStyle w:val="Nagwek2"/>
        <w:spacing w:after="120"/>
        <w:rPr>
          <w:rFonts w:ascii="Times New Roman" w:hAnsi="Times New Roman" w:cs="Times New Roman"/>
          <w:i w:val="0"/>
          <w:iCs w:val="0"/>
        </w:rPr>
      </w:pPr>
      <w:bookmarkStart w:id="17" w:name="_Toc392494290"/>
      <w:r w:rsidRPr="005151D0">
        <w:rPr>
          <w:rFonts w:ascii="Times New Roman" w:hAnsi="Times New Roman" w:cs="Times New Roman"/>
          <w:i w:val="0"/>
          <w:iCs w:val="0"/>
        </w:rPr>
        <w:t>3.</w:t>
      </w:r>
      <w:r>
        <w:rPr>
          <w:rFonts w:ascii="Times New Roman" w:hAnsi="Times New Roman" w:cs="Times New Roman"/>
          <w:i w:val="0"/>
          <w:iCs w:val="0"/>
        </w:rPr>
        <w:t>5</w:t>
      </w:r>
      <w:r w:rsidRPr="005151D0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Komponent Edukacji Ekologicznej Przedsięwzięcia</w:t>
      </w:r>
      <w:bookmarkEnd w:id="17"/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przypadku, gdy działania edukacyjne </w:t>
      </w:r>
      <w:r>
        <w:rPr>
          <w:rFonts w:ascii="Times New Roman" w:hAnsi="Times New Roman" w:cs="Times New Roman"/>
          <w:sz w:val="24"/>
          <w:szCs w:val="24"/>
        </w:rPr>
        <w:t xml:space="preserve">nie stanowią głównego celu realizacji przedsięwzięcia, a </w:t>
      </w:r>
      <w:r w:rsidRPr="00143E43">
        <w:rPr>
          <w:rFonts w:ascii="Times New Roman" w:hAnsi="Times New Roman" w:cs="Times New Roman"/>
          <w:sz w:val="24"/>
          <w:szCs w:val="24"/>
        </w:rPr>
        <w:t>mają charakter dodatkowy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tj. stanowią Komponent Edukacji Ekologicznej Przedsięwzięcia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Pr="00FA4E30">
        <w:rPr>
          <w:rFonts w:ascii="Times New Roman" w:hAnsi="Times New Roman" w:cs="Times New Roman"/>
          <w:b/>
          <w:bCs/>
          <w:sz w:val="24"/>
          <w:szCs w:val="24"/>
        </w:rPr>
        <w:t>KEEP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 wynikający z zapisów programu priorytetowego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służący </w:t>
      </w:r>
      <w:r>
        <w:rPr>
          <w:rFonts w:ascii="Times New Roman" w:hAnsi="Times New Roman" w:cs="Times New Roman"/>
          <w:sz w:val="24"/>
          <w:szCs w:val="24"/>
        </w:rPr>
        <w:t>zwiększeniu świadomości ekologicznej (</w:t>
      </w:r>
      <w:r w:rsidRPr="00143E43">
        <w:rPr>
          <w:rFonts w:ascii="Times New Roman" w:hAnsi="Times New Roman" w:cs="Times New Roman"/>
          <w:sz w:val="24"/>
          <w:szCs w:val="24"/>
        </w:rPr>
        <w:t xml:space="preserve">jak np. </w:t>
      </w:r>
      <w:r w:rsidRPr="00F03CC8">
        <w:rPr>
          <w:rFonts w:ascii="Times New Roman" w:hAnsi="Times New Roman" w:cs="Times New Roman"/>
          <w:sz w:val="24"/>
          <w:szCs w:val="24"/>
        </w:rPr>
        <w:t>kampania edukacyjna towarzysząca budowie instalacji termicznego przekształcania odpadów),</w:t>
      </w:r>
      <w:r w:rsidRPr="00143E43">
        <w:rPr>
          <w:rFonts w:ascii="Times New Roman" w:hAnsi="Times New Roman" w:cs="Times New Roman"/>
          <w:sz w:val="24"/>
          <w:szCs w:val="24"/>
        </w:rPr>
        <w:t xml:space="preserve"> wówczas: </w:t>
      </w:r>
    </w:p>
    <w:p w:rsidR="00637AEA" w:rsidRPr="00143E43" w:rsidRDefault="00637AEA" w:rsidP="00143E43">
      <w:pPr>
        <w:numPr>
          <w:ilvl w:val="0"/>
          <w:numId w:val="3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koszty związane z realizacją działań edukacyjnych mogą zostać uznane za kwalifikowane w okresie realizacji przedsięwzięcia tylko i wyłącznie, jeżeli realizacja komponentu edukacyjnego jest działaniem wymaganym (obligatoryjnym) przez NFOŚiGW w związku z realizacją przedsięwzięcia o </w:t>
      </w:r>
      <w:r>
        <w:rPr>
          <w:rFonts w:ascii="Times New Roman" w:hAnsi="Times New Roman" w:cs="Times New Roman"/>
          <w:sz w:val="24"/>
          <w:szCs w:val="24"/>
        </w:rPr>
        <w:t xml:space="preserve">nieedukacyjnym </w:t>
      </w:r>
      <w:r w:rsidRPr="00143E43">
        <w:rPr>
          <w:rFonts w:ascii="Times New Roman" w:hAnsi="Times New Roman" w:cs="Times New Roman"/>
          <w:sz w:val="24"/>
          <w:szCs w:val="24"/>
        </w:rPr>
        <w:t>charakterze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 (np. inwestyc</w:t>
      </w:r>
      <w:r>
        <w:rPr>
          <w:rFonts w:ascii="Times New Roman" w:hAnsi="Times New Roman" w:cs="Times New Roman"/>
          <w:sz w:val="24"/>
          <w:szCs w:val="24"/>
        </w:rPr>
        <w:t>yjnym</w:t>
      </w:r>
      <w:r w:rsidRPr="00143E43">
        <w:rPr>
          <w:rFonts w:ascii="Times New Roman" w:hAnsi="Times New Roman" w:cs="Times New Roman"/>
          <w:sz w:val="24"/>
          <w:szCs w:val="24"/>
        </w:rPr>
        <w:t xml:space="preserve">) dofinansowywanego ze środków NFOŚiGW.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Obligatoryjność komponentu edukacyjnego określa program priorytetowy.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jest kosztem kwalifikowanym koszt związany z realizacją komponentu edukacyjnego w przedsięwzięciach, dla których działania te deklarowane są przez Beneficjenta jako działania dodatkowe (fakultatywne), które NFOŚiGW premiuje w postaci dodatkowej „premii punktowej” na etapie oceny wniosku o dofinansowanie.</w:t>
      </w:r>
    </w:p>
    <w:p w:rsidR="00637AEA" w:rsidRPr="00143E43" w:rsidRDefault="00637AEA" w:rsidP="00143E43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Zarówno w przedsięwzięciach z fakultatywnym, jak i obligatoryjnym  komponentem edukacyjnym realizowanym na etapie trwałości przedsięwzięcia, koszty takich działań edukacyjnych nie są kwalifikowane. </w:t>
      </w:r>
    </w:p>
    <w:p w:rsidR="00637AEA" w:rsidRDefault="00637AEA" w:rsidP="00DF5146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37AEA" w:rsidRPr="005151D0" w:rsidRDefault="00637AEA" w:rsidP="00EB7B1C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8" w:name="_Toc392494291"/>
      <w:r w:rsidRPr="005151D0">
        <w:rPr>
          <w:rFonts w:ascii="Times New Roman" w:hAnsi="Times New Roman" w:cs="Times New Roman"/>
          <w:sz w:val="28"/>
          <w:szCs w:val="28"/>
        </w:rPr>
        <w:t>4. KATEGORIE KOSZTÓW NIEKWALIFIKOWANYCH</w:t>
      </w:r>
      <w:bookmarkEnd w:id="18"/>
    </w:p>
    <w:p w:rsidR="00637AEA" w:rsidRDefault="00637AEA" w:rsidP="00DF40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55E2E" w:rsidRPr="00155E2E" w:rsidRDefault="00155E2E" w:rsidP="00155E2E">
      <w:pPr>
        <w:pStyle w:val="Nagwek2"/>
        <w:rPr>
          <w:rFonts w:ascii="Times New Roman" w:hAnsi="Times New Roman" w:cs="Times New Roman"/>
        </w:rPr>
      </w:pPr>
      <w:bookmarkStart w:id="19" w:name="_Toc392494292"/>
      <w:r w:rsidRPr="00155E2E">
        <w:rPr>
          <w:rFonts w:ascii="Times New Roman" w:hAnsi="Times New Roman" w:cs="Times New Roman"/>
          <w:i w:val="0"/>
        </w:rPr>
        <w:t>4.1. Koszty pośrednie</w:t>
      </w:r>
      <w:bookmarkEnd w:id="19"/>
    </w:p>
    <w:p w:rsidR="00D045B9" w:rsidRDefault="00F5429E" w:rsidP="00143E43">
      <w:pPr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pośrednie to </w:t>
      </w:r>
      <w:r w:rsidRPr="004D397D">
        <w:rPr>
          <w:rFonts w:ascii="Times New Roman" w:hAnsi="Times New Roman"/>
          <w:sz w:val="24"/>
          <w:szCs w:val="24"/>
        </w:rPr>
        <w:t>dodatkowe koszty funkcjonowania jednostki, ponoszone w związk</w:t>
      </w:r>
      <w:r>
        <w:rPr>
          <w:rFonts w:ascii="Times New Roman" w:hAnsi="Times New Roman"/>
          <w:sz w:val="24"/>
          <w:szCs w:val="24"/>
        </w:rPr>
        <w:t xml:space="preserve">u </w:t>
      </w:r>
      <w:r w:rsidR="004670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realizacją przedsięwzięcia (tj. </w:t>
      </w:r>
      <w:r w:rsidR="00757D0F">
        <w:rPr>
          <w:rFonts w:ascii="Times New Roman" w:hAnsi="Times New Roman"/>
          <w:sz w:val="24"/>
          <w:szCs w:val="24"/>
        </w:rPr>
        <w:t>wszystkie koszty</w:t>
      </w:r>
      <w:r w:rsidRPr="004D397D">
        <w:rPr>
          <w:rFonts w:ascii="Times New Roman" w:hAnsi="Times New Roman"/>
          <w:sz w:val="24"/>
          <w:szCs w:val="24"/>
        </w:rPr>
        <w:t xml:space="preserve">, które nie mogą być </w:t>
      </w:r>
      <w:r w:rsidR="001A1B72">
        <w:rPr>
          <w:rFonts w:ascii="Times New Roman" w:hAnsi="Times New Roman"/>
          <w:sz w:val="24"/>
          <w:szCs w:val="24"/>
        </w:rPr>
        <w:t>jednoznacznie</w:t>
      </w:r>
      <w:r w:rsidRPr="004D397D">
        <w:rPr>
          <w:rFonts w:ascii="Times New Roman" w:hAnsi="Times New Roman"/>
          <w:sz w:val="24"/>
          <w:szCs w:val="24"/>
        </w:rPr>
        <w:t xml:space="preserve"> wskazane przez Beneficjenta jako b</w:t>
      </w:r>
      <w:r w:rsidR="00757D0F">
        <w:rPr>
          <w:rFonts w:ascii="Times New Roman" w:hAnsi="Times New Roman"/>
          <w:sz w:val="24"/>
          <w:szCs w:val="24"/>
        </w:rPr>
        <w:t>ezpośrednio związane z przedsięwzięciem</w:t>
      </w:r>
      <w:r w:rsidRPr="004D397D">
        <w:rPr>
          <w:rFonts w:ascii="Times New Roman" w:hAnsi="Times New Roman"/>
          <w:sz w:val="24"/>
          <w:szCs w:val="24"/>
        </w:rPr>
        <w:t xml:space="preserve">, ale które można wskazać i uzasadnić w ramach systemu rachunkowości jako poniesione w związku </w:t>
      </w:r>
      <w:r w:rsidR="0046708F">
        <w:rPr>
          <w:rFonts w:ascii="Times New Roman" w:hAnsi="Times New Roman"/>
          <w:sz w:val="24"/>
          <w:szCs w:val="24"/>
        </w:rPr>
        <w:br/>
      </w:r>
      <w:r w:rsidRPr="004D397D">
        <w:rPr>
          <w:rFonts w:ascii="Times New Roman" w:hAnsi="Times New Roman"/>
          <w:sz w:val="24"/>
          <w:szCs w:val="24"/>
        </w:rPr>
        <w:t>z bezpośrednimi kosztami kwalifikowanymi projektu</w:t>
      </w:r>
      <w:r w:rsidR="00757D0F">
        <w:rPr>
          <w:rFonts w:ascii="Times New Roman" w:hAnsi="Times New Roman"/>
          <w:sz w:val="24"/>
          <w:szCs w:val="24"/>
        </w:rPr>
        <w:t>), uznaje się za niekwalifikowane, chyba że program priorytetowy stanowi inaczej.</w:t>
      </w:r>
    </w:p>
    <w:p w:rsidR="008F550B" w:rsidRDefault="008F550B" w:rsidP="00143E43">
      <w:pPr>
        <w:spacing w:after="12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E2E" w:rsidRPr="00155E2E" w:rsidRDefault="00155E2E" w:rsidP="00155E2E">
      <w:pPr>
        <w:pStyle w:val="Nagwek2"/>
        <w:rPr>
          <w:rFonts w:ascii="Times New Roman" w:hAnsi="Times New Roman" w:cs="Times New Roman"/>
        </w:rPr>
      </w:pPr>
      <w:bookmarkStart w:id="20" w:name="_Toc392494293"/>
      <w:r w:rsidRPr="00155E2E">
        <w:rPr>
          <w:rFonts w:ascii="Times New Roman" w:hAnsi="Times New Roman" w:cs="Times New Roman"/>
          <w:i w:val="0"/>
        </w:rPr>
        <w:t>4.2. Pozostałe kategorie kosztów niekwalifikowanych</w:t>
      </w:r>
      <w:bookmarkEnd w:id="20"/>
      <w:r w:rsidRPr="00155E2E">
        <w:rPr>
          <w:rFonts w:ascii="Times New Roman" w:hAnsi="Times New Roman" w:cs="Times New Roman"/>
          <w:i w:val="0"/>
        </w:rPr>
        <w:t xml:space="preserve"> </w:t>
      </w:r>
    </w:p>
    <w:p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koszty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niekwalifikowane uznaje się w szczególności: </w:t>
      </w:r>
    </w:p>
    <w:p w:rsidR="00637AEA" w:rsidRPr="00143E43" w:rsidRDefault="00637AEA" w:rsidP="004C5F4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wydatki poniesione poza okresem kwalifikowalności,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koszty opracowania wniosku o dofinansowanie (koszt wypełnienia formularza wniosku),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porad prawnych,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wkład rzeczowy,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</w:t>
      </w:r>
      <w:r w:rsidRPr="00143E43">
        <w:rPr>
          <w:rFonts w:ascii="Times New Roman" w:hAnsi="Times New Roman" w:cs="Times New Roman"/>
          <w:sz w:val="24"/>
          <w:szCs w:val="24"/>
        </w:rPr>
        <w:t xml:space="preserve"> niezwiązane z celami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odsetki od zadłużenia, obsługę zadłużenia i opłaty za opóźnienie płatności,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opłaty za transakcje finansowe i inne koszty czysto finansowe,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rezerwy na straty lub potencjalne przyszłe zobowiązania,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 xml:space="preserve"> naliczony podlegający odliczeniu</w:t>
      </w:r>
      <w:r w:rsidR="007C6F25">
        <w:rPr>
          <w:rFonts w:ascii="Times New Roman" w:hAnsi="Times New Roman" w:cs="Times New Roman"/>
          <w:sz w:val="24"/>
          <w:szCs w:val="24"/>
        </w:rPr>
        <w:t xml:space="preserve"> w jakiejkolwiek części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grzywny, kary i koszty postępowania sądowego,  </w:t>
      </w:r>
    </w:p>
    <w:p w:rsidR="00637AEA" w:rsidRPr="00143E4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świadczenia finansowane ze środków zakładowego funduszu świadczeń socjalnych, odpisy na zakładowy fundusz świadczeń socjalnych, odprawy emerytalno-rentowe, nagrody </w:t>
      </w:r>
      <w:r w:rsidR="00F5429E">
        <w:rPr>
          <w:rFonts w:ascii="Times New Roman" w:hAnsi="Times New Roman" w:cs="Times New Roman"/>
          <w:sz w:val="24"/>
          <w:szCs w:val="24"/>
        </w:rPr>
        <w:t>wynikające z regulaminu wynagrodzeń</w:t>
      </w:r>
      <w:r w:rsidR="00757D0F">
        <w:rPr>
          <w:rFonts w:ascii="Times New Roman" w:hAnsi="Times New Roman" w:cs="Times New Roman"/>
          <w:sz w:val="24"/>
          <w:szCs w:val="24"/>
        </w:rPr>
        <w:t xml:space="preserve"> oraz</w:t>
      </w:r>
      <w:r w:rsidRPr="00143E43">
        <w:rPr>
          <w:rFonts w:ascii="Times New Roman" w:hAnsi="Times New Roman" w:cs="Times New Roman"/>
          <w:sz w:val="24"/>
          <w:szCs w:val="24"/>
        </w:rPr>
        <w:t xml:space="preserve"> zasił</w:t>
      </w:r>
      <w:r w:rsidR="00F5429E">
        <w:rPr>
          <w:rFonts w:ascii="Times New Roman" w:hAnsi="Times New Roman" w:cs="Times New Roman"/>
          <w:sz w:val="24"/>
          <w:szCs w:val="24"/>
        </w:rPr>
        <w:t>ki i świadczenia finansowane z innych źródeł,</w:t>
      </w:r>
    </w:p>
    <w:p w:rsidR="00637AEA" w:rsidRPr="00CE4795" w:rsidRDefault="00637AEA" w:rsidP="00A1718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koszty </w:t>
      </w:r>
      <w:r>
        <w:rPr>
          <w:rFonts w:ascii="Times New Roman" w:hAnsi="Times New Roman" w:cs="Times New Roman"/>
          <w:sz w:val="24"/>
          <w:szCs w:val="24"/>
        </w:rPr>
        <w:t xml:space="preserve">wynagrodzenia z </w:t>
      </w:r>
      <w:r w:rsidRPr="00143E43">
        <w:rPr>
          <w:rFonts w:ascii="Times New Roman" w:hAnsi="Times New Roman" w:cs="Times New Roman"/>
          <w:sz w:val="24"/>
          <w:szCs w:val="24"/>
        </w:rPr>
        <w:t>umów na realizację zadań w ramach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46708F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z osobami, których wynagrodzenie jest finansowane w ramach kosztów zarządzania i/lub osobami,  których  zakresy  obowiązków/opisy  stanowisk </w:t>
      </w:r>
      <w:r>
        <w:rPr>
          <w:rFonts w:ascii="Times New Roman" w:hAnsi="Times New Roman" w:cs="Times New Roman"/>
          <w:sz w:val="24"/>
          <w:szCs w:val="24"/>
        </w:rPr>
        <w:t>wynikające ze stosunku pracy</w:t>
      </w:r>
      <w:r w:rsidRPr="00143E43">
        <w:rPr>
          <w:rFonts w:ascii="Times New Roman" w:hAnsi="Times New Roman" w:cs="Times New Roman"/>
          <w:sz w:val="24"/>
          <w:szCs w:val="24"/>
        </w:rPr>
        <w:t xml:space="preserve"> obejmują zadania  związane z wdrażaniem </w:t>
      </w:r>
      <w:r w:rsidR="0046708F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realizacją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6D5E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wynikające ze wzrostu wartości nieruchomości w związku z planowanym przedsięwzięciem</w:t>
      </w:r>
      <w:r w:rsidR="008F55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7AEA" w:rsidRPr="00143E43" w:rsidRDefault="00A06D5E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wynikające ze wzrostu kosztów przedsięwzięcia w związku z </w:t>
      </w:r>
      <w:r w:rsidR="009C3BC6">
        <w:rPr>
          <w:rFonts w:ascii="Times New Roman" w:hAnsi="Times New Roman" w:cs="Times New Roman"/>
          <w:sz w:val="24"/>
          <w:szCs w:val="24"/>
        </w:rPr>
        <w:t xml:space="preserve"> odkupem </w:t>
      </w:r>
      <w:r w:rsidR="008F550B">
        <w:rPr>
          <w:rFonts w:ascii="Times New Roman" w:hAnsi="Times New Roman" w:cs="Times New Roman"/>
          <w:sz w:val="24"/>
          <w:szCs w:val="24"/>
        </w:rPr>
        <w:t xml:space="preserve">projektu </w:t>
      </w:r>
      <w:r w:rsidR="009C3BC6">
        <w:rPr>
          <w:rFonts w:ascii="Times New Roman" w:hAnsi="Times New Roman" w:cs="Times New Roman"/>
          <w:sz w:val="24"/>
          <w:szCs w:val="24"/>
        </w:rPr>
        <w:t>przygotowanego do realizacji</w:t>
      </w:r>
      <w:r w:rsidR="00637AEA" w:rsidRPr="00143E43">
        <w:rPr>
          <w:rFonts w:ascii="Times New Roman" w:hAnsi="Times New Roman" w:cs="Times New Roman"/>
          <w:sz w:val="24"/>
          <w:szCs w:val="24"/>
        </w:rPr>
        <w:t>,</w:t>
      </w:r>
    </w:p>
    <w:p w:rsidR="00637AE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zakupów czy prac</w:t>
      </w:r>
      <w:r w:rsidR="001A1B72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występujące podczas realizacji przedsięwzięcia generujące „dochód incydentalny” (np. </w:t>
      </w:r>
      <w:r>
        <w:rPr>
          <w:rFonts w:ascii="Times New Roman" w:hAnsi="Times New Roman" w:cs="Times New Roman"/>
          <w:sz w:val="24"/>
          <w:szCs w:val="24"/>
        </w:rPr>
        <w:t xml:space="preserve">wycinka drzew, na skutek której następuje </w:t>
      </w:r>
      <w:r w:rsidRPr="00143E43">
        <w:rPr>
          <w:rFonts w:ascii="Times New Roman" w:hAnsi="Times New Roman" w:cs="Times New Roman"/>
          <w:sz w:val="24"/>
          <w:szCs w:val="24"/>
        </w:rPr>
        <w:t xml:space="preserve">sprzedaż drewna </w:t>
      </w:r>
      <w:r>
        <w:rPr>
          <w:rFonts w:ascii="Times New Roman" w:hAnsi="Times New Roman" w:cs="Times New Roman"/>
          <w:sz w:val="24"/>
          <w:szCs w:val="24"/>
        </w:rPr>
        <w:t>dająca przychód</w:t>
      </w:r>
      <w:r w:rsidRPr="00143E43">
        <w:rPr>
          <w:rFonts w:ascii="Times New Roman" w:hAnsi="Times New Roman" w:cs="Times New Roman"/>
          <w:sz w:val="24"/>
          <w:szCs w:val="24"/>
        </w:rPr>
        <w:t>) nie będący wynikiem działalności operacyjnej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="00757D0F">
        <w:rPr>
          <w:rFonts w:ascii="Times New Roman" w:hAnsi="Times New Roman" w:cs="Times New Roman"/>
          <w:sz w:val="24"/>
          <w:szCs w:val="24"/>
        </w:rPr>
        <w:t>.</w:t>
      </w:r>
    </w:p>
    <w:p w:rsidR="00637AEA" w:rsidRDefault="00637AEA" w:rsidP="004D397D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EA" w:rsidRDefault="00637AEA">
      <w:pPr>
        <w:pStyle w:val="Akapitzlist1"/>
        <w:spacing w:after="120" w:line="300" w:lineRule="auto"/>
        <w:ind w:left="1146"/>
        <w:jc w:val="both"/>
        <w:rPr>
          <w:rFonts w:ascii="Times New Roman" w:hAnsi="Times New Roman" w:cs="Times New Roman"/>
        </w:rPr>
      </w:pPr>
    </w:p>
    <w:sectPr w:rsidR="00637AEA" w:rsidSect="000B6CE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3C" w:rsidRDefault="00C36E3C" w:rsidP="00BA26DA">
      <w:pPr>
        <w:spacing w:after="0" w:line="240" w:lineRule="auto"/>
      </w:pPr>
      <w:r>
        <w:separator/>
      </w:r>
    </w:p>
  </w:endnote>
  <w:endnote w:type="continuationSeparator" w:id="0">
    <w:p w:rsidR="00C36E3C" w:rsidRDefault="00C36E3C" w:rsidP="00BA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9157"/>
      <w:docPartObj>
        <w:docPartGallery w:val="Page Numbers (Bottom of Page)"/>
        <w:docPartUnique/>
      </w:docPartObj>
    </w:sdtPr>
    <w:sdtEndPr/>
    <w:sdtContent>
      <w:p w:rsidR="001D73CF" w:rsidRDefault="009A487B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="001D73CF"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1A4840">
          <w:rPr>
            <w:rFonts w:ascii="Times New Roman" w:hAnsi="Times New Roman" w:cs="Times New Roman"/>
            <w:noProof/>
          </w:rPr>
          <w:t>3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:rsidR="00CE4795" w:rsidRDefault="00CE4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3C" w:rsidRDefault="00C36E3C" w:rsidP="00BA26DA">
      <w:pPr>
        <w:spacing w:after="0" w:line="240" w:lineRule="auto"/>
      </w:pPr>
      <w:r>
        <w:separator/>
      </w:r>
    </w:p>
  </w:footnote>
  <w:footnote w:type="continuationSeparator" w:id="0">
    <w:p w:rsidR="00C36E3C" w:rsidRDefault="00C36E3C" w:rsidP="00BA26DA">
      <w:pPr>
        <w:spacing w:after="0" w:line="240" w:lineRule="auto"/>
      </w:pPr>
      <w:r>
        <w:continuationSeparator/>
      </w:r>
    </w:p>
  </w:footnote>
  <w:footnote w:id="1">
    <w:p w:rsidR="00CE4795" w:rsidRDefault="00CE4795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2">
    <w:p w:rsidR="00CE4795" w:rsidRDefault="00CE4795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1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9"/>
  </w:num>
  <w:num w:numId="2">
    <w:abstractNumId w:val="37"/>
  </w:num>
  <w:num w:numId="3">
    <w:abstractNumId w:val="29"/>
  </w:num>
  <w:num w:numId="4">
    <w:abstractNumId w:val="19"/>
  </w:num>
  <w:num w:numId="5">
    <w:abstractNumId w:val="18"/>
  </w:num>
  <w:num w:numId="6">
    <w:abstractNumId w:val="35"/>
  </w:num>
  <w:num w:numId="7">
    <w:abstractNumId w:val="41"/>
  </w:num>
  <w:num w:numId="8">
    <w:abstractNumId w:val="21"/>
  </w:num>
  <w:num w:numId="9">
    <w:abstractNumId w:val="30"/>
  </w:num>
  <w:num w:numId="10">
    <w:abstractNumId w:val="13"/>
  </w:num>
  <w:num w:numId="11">
    <w:abstractNumId w:val="34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32"/>
  </w:num>
  <w:num w:numId="17">
    <w:abstractNumId w:val="25"/>
  </w:num>
  <w:num w:numId="18">
    <w:abstractNumId w:val="10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22"/>
  </w:num>
  <w:num w:numId="31">
    <w:abstractNumId w:val="31"/>
  </w:num>
  <w:num w:numId="32">
    <w:abstractNumId w:val="11"/>
  </w:num>
  <w:num w:numId="33">
    <w:abstractNumId w:val="38"/>
  </w:num>
  <w:num w:numId="34">
    <w:abstractNumId w:val="26"/>
  </w:num>
  <w:num w:numId="35">
    <w:abstractNumId w:val="27"/>
  </w:num>
  <w:num w:numId="36">
    <w:abstractNumId w:val="17"/>
  </w:num>
  <w:num w:numId="37">
    <w:abstractNumId w:val="20"/>
  </w:num>
  <w:num w:numId="38">
    <w:abstractNumId w:val="33"/>
  </w:num>
  <w:num w:numId="39">
    <w:abstractNumId w:val="36"/>
  </w:num>
  <w:num w:numId="40">
    <w:abstractNumId w:val="14"/>
  </w:num>
  <w:num w:numId="41">
    <w:abstractNumId w:val="15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878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96"/>
    <w:rsid w:val="000042E7"/>
    <w:rsid w:val="00004E45"/>
    <w:rsid w:val="0000644C"/>
    <w:rsid w:val="00012E94"/>
    <w:rsid w:val="00014CC8"/>
    <w:rsid w:val="000222C6"/>
    <w:rsid w:val="0002287C"/>
    <w:rsid w:val="00022903"/>
    <w:rsid w:val="00034C8B"/>
    <w:rsid w:val="00035681"/>
    <w:rsid w:val="000371BC"/>
    <w:rsid w:val="0004225B"/>
    <w:rsid w:val="00043B9C"/>
    <w:rsid w:val="00047065"/>
    <w:rsid w:val="000600C8"/>
    <w:rsid w:val="000615C9"/>
    <w:rsid w:val="000618CB"/>
    <w:rsid w:val="00061997"/>
    <w:rsid w:val="000631CF"/>
    <w:rsid w:val="00065C34"/>
    <w:rsid w:val="00066329"/>
    <w:rsid w:val="000738B6"/>
    <w:rsid w:val="0007515A"/>
    <w:rsid w:val="0007663E"/>
    <w:rsid w:val="00082938"/>
    <w:rsid w:val="00084C84"/>
    <w:rsid w:val="00084D17"/>
    <w:rsid w:val="00086E28"/>
    <w:rsid w:val="000959E9"/>
    <w:rsid w:val="000A1BB8"/>
    <w:rsid w:val="000A1C4A"/>
    <w:rsid w:val="000A39C7"/>
    <w:rsid w:val="000A4A33"/>
    <w:rsid w:val="000A6CCF"/>
    <w:rsid w:val="000A6E95"/>
    <w:rsid w:val="000A758E"/>
    <w:rsid w:val="000B6CE7"/>
    <w:rsid w:val="000C3147"/>
    <w:rsid w:val="000C3850"/>
    <w:rsid w:val="000C3E4B"/>
    <w:rsid w:val="000D0911"/>
    <w:rsid w:val="000D6843"/>
    <w:rsid w:val="000E35A8"/>
    <w:rsid w:val="000E55BB"/>
    <w:rsid w:val="000E5D22"/>
    <w:rsid w:val="000E6B74"/>
    <w:rsid w:val="000F3966"/>
    <w:rsid w:val="00102BE1"/>
    <w:rsid w:val="00107B6F"/>
    <w:rsid w:val="0011077E"/>
    <w:rsid w:val="001155CD"/>
    <w:rsid w:val="001172A6"/>
    <w:rsid w:val="001243A4"/>
    <w:rsid w:val="00127C1D"/>
    <w:rsid w:val="00134D7E"/>
    <w:rsid w:val="00136334"/>
    <w:rsid w:val="00143E43"/>
    <w:rsid w:val="00146A37"/>
    <w:rsid w:val="001506B0"/>
    <w:rsid w:val="00155E2E"/>
    <w:rsid w:val="0016113A"/>
    <w:rsid w:val="001612EA"/>
    <w:rsid w:val="00165CCC"/>
    <w:rsid w:val="001665DC"/>
    <w:rsid w:val="00170506"/>
    <w:rsid w:val="00175878"/>
    <w:rsid w:val="001765FA"/>
    <w:rsid w:val="001800C7"/>
    <w:rsid w:val="0018124A"/>
    <w:rsid w:val="0018779F"/>
    <w:rsid w:val="00190C41"/>
    <w:rsid w:val="00192ABA"/>
    <w:rsid w:val="00196795"/>
    <w:rsid w:val="00197850"/>
    <w:rsid w:val="001A133D"/>
    <w:rsid w:val="001A1B72"/>
    <w:rsid w:val="001A4840"/>
    <w:rsid w:val="001B0B3F"/>
    <w:rsid w:val="001B1F07"/>
    <w:rsid w:val="001B223D"/>
    <w:rsid w:val="001B5E0A"/>
    <w:rsid w:val="001B655D"/>
    <w:rsid w:val="001C4BEE"/>
    <w:rsid w:val="001C514C"/>
    <w:rsid w:val="001D0F65"/>
    <w:rsid w:val="001D271A"/>
    <w:rsid w:val="001D73CF"/>
    <w:rsid w:val="001E05FA"/>
    <w:rsid w:val="001E19EC"/>
    <w:rsid w:val="001E79D2"/>
    <w:rsid w:val="001F1003"/>
    <w:rsid w:val="001F34F5"/>
    <w:rsid w:val="001F49DF"/>
    <w:rsid w:val="001F6600"/>
    <w:rsid w:val="001F7B7A"/>
    <w:rsid w:val="00200BC8"/>
    <w:rsid w:val="00207CF1"/>
    <w:rsid w:val="0021634B"/>
    <w:rsid w:val="00217863"/>
    <w:rsid w:val="0022552E"/>
    <w:rsid w:val="002415F2"/>
    <w:rsid w:val="00241853"/>
    <w:rsid w:val="00243D17"/>
    <w:rsid w:val="002534E3"/>
    <w:rsid w:val="00255339"/>
    <w:rsid w:val="00255E50"/>
    <w:rsid w:val="002569A9"/>
    <w:rsid w:val="00261A14"/>
    <w:rsid w:val="00263596"/>
    <w:rsid w:val="00266109"/>
    <w:rsid w:val="00270660"/>
    <w:rsid w:val="00270F2B"/>
    <w:rsid w:val="00272792"/>
    <w:rsid w:val="002756F5"/>
    <w:rsid w:val="00276643"/>
    <w:rsid w:val="00282214"/>
    <w:rsid w:val="00284520"/>
    <w:rsid w:val="00285560"/>
    <w:rsid w:val="002869C2"/>
    <w:rsid w:val="00293149"/>
    <w:rsid w:val="00293FBE"/>
    <w:rsid w:val="00295A33"/>
    <w:rsid w:val="00296700"/>
    <w:rsid w:val="00296CC3"/>
    <w:rsid w:val="002A5F22"/>
    <w:rsid w:val="002B095A"/>
    <w:rsid w:val="002B1255"/>
    <w:rsid w:val="002B28B4"/>
    <w:rsid w:val="002B3026"/>
    <w:rsid w:val="002B3728"/>
    <w:rsid w:val="002B4590"/>
    <w:rsid w:val="002B7FC1"/>
    <w:rsid w:val="002C2A6C"/>
    <w:rsid w:val="002C2FE9"/>
    <w:rsid w:val="002C3E4B"/>
    <w:rsid w:val="002D2341"/>
    <w:rsid w:val="002D2468"/>
    <w:rsid w:val="002D2D15"/>
    <w:rsid w:val="002E00B1"/>
    <w:rsid w:val="002E2BBA"/>
    <w:rsid w:val="002F3951"/>
    <w:rsid w:val="002F41B5"/>
    <w:rsid w:val="00300821"/>
    <w:rsid w:val="00312A4D"/>
    <w:rsid w:val="00313D97"/>
    <w:rsid w:val="003241F6"/>
    <w:rsid w:val="003300C0"/>
    <w:rsid w:val="0033471C"/>
    <w:rsid w:val="0033578C"/>
    <w:rsid w:val="00336A2B"/>
    <w:rsid w:val="00341CD0"/>
    <w:rsid w:val="0034561B"/>
    <w:rsid w:val="00346B3F"/>
    <w:rsid w:val="00353670"/>
    <w:rsid w:val="00354988"/>
    <w:rsid w:val="00363231"/>
    <w:rsid w:val="00363C5A"/>
    <w:rsid w:val="00365F76"/>
    <w:rsid w:val="00366CDE"/>
    <w:rsid w:val="0037327C"/>
    <w:rsid w:val="003775DA"/>
    <w:rsid w:val="003845A0"/>
    <w:rsid w:val="00384812"/>
    <w:rsid w:val="003A3A25"/>
    <w:rsid w:val="003B41DE"/>
    <w:rsid w:val="003C1513"/>
    <w:rsid w:val="003C2566"/>
    <w:rsid w:val="003C40E0"/>
    <w:rsid w:val="003C545A"/>
    <w:rsid w:val="003C6953"/>
    <w:rsid w:val="003C6FF0"/>
    <w:rsid w:val="003C7EF6"/>
    <w:rsid w:val="003D690F"/>
    <w:rsid w:val="003E2152"/>
    <w:rsid w:val="003E753C"/>
    <w:rsid w:val="003F1107"/>
    <w:rsid w:val="003F2EAC"/>
    <w:rsid w:val="003F3319"/>
    <w:rsid w:val="003F4D40"/>
    <w:rsid w:val="003F696D"/>
    <w:rsid w:val="00403AD2"/>
    <w:rsid w:val="0040594B"/>
    <w:rsid w:val="00407CB5"/>
    <w:rsid w:val="004102F6"/>
    <w:rsid w:val="00415498"/>
    <w:rsid w:val="004155EA"/>
    <w:rsid w:val="0041573A"/>
    <w:rsid w:val="00420E3F"/>
    <w:rsid w:val="00425188"/>
    <w:rsid w:val="00434E38"/>
    <w:rsid w:val="004351BB"/>
    <w:rsid w:val="0044248A"/>
    <w:rsid w:val="00443F8E"/>
    <w:rsid w:val="00450F16"/>
    <w:rsid w:val="00453BBE"/>
    <w:rsid w:val="00456B7E"/>
    <w:rsid w:val="004633C1"/>
    <w:rsid w:val="00465E57"/>
    <w:rsid w:val="0046695F"/>
    <w:rsid w:val="0046708F"/>
    <w:rsid w:val="00467684"/>
    <w:rsid w:val="00477651"/>
    <w:rsid w:val="00481365"/>
    <w:rsid w:val="00485344"/>
    <w:rsid w:val="0048645B"/>
    <w:rsid w:val="00493747"/>
    <w:rsid w:val="00495234"/>
    <w:rsid w:val="004969CF"/>
    <w:rsid w:val="00496D80"/>
    <w:rsid w:val="004A0BE8"/>
    <w:rsid w:val="004A1844"/>
    <w:rsid w:val="004A360C"/>
    <w:rsid w:val="004A3919"/>
    <w:rsid w:val="004B30F7"/>
    <w:rsid w:val="004B6F40"/>
    <w:rsid w:val="004C1BFD"/>
    <w:rsid w:val="004C2C91"/>
    <w:rsid w:val="004C419E"/>
    <w:rsid w:val="004C53A1"/>
    <w:rsid w:val="004C5F4A"/>
    <w:rsid w:val="004D071A"/>
    <w:rsid w:val="004D1707"/>
    <w:rsid w:val="004D206F"/>
    <w:rsid w:val="004D216E"/>
    <w:rsid w:val="004D397D"/>
    <w:rsid w:val="004D4C28"/>
    <w:rsid w:val="004D4FC3"/>
    <w:rsid w:val="004D6BE9"/>
    <w:rsid w:val="004E276D"/>
    <w:rsid w:val="004F1F08"/>
    <w:rsid w:val="004F6AAA"/>
    <w:rsid w:val="0050053E"/>
    <w:rsid w:val="00505AD3"/>
    <w:rsid w:val="00505FA9"/>
    <w:rsid w:val="00510CD0"/>
    <w:rsid w:val="005124E3"/>
    <w:rsid w:val="00513D71"/>
    <w:rsid w:val="005151D0"/>
    <w:rsid w:val="00515977"/>
    <w:rsid w:val="00515DF1"/>
    <w:rsid w:val="00530DE6"/>
    <w:rsid w:val="00531863"/>
    <w:rsid w:val="00532DF1"/>
    <w:rsid w:val="00537B9B"/>
    <w:rsid w:val="00540D29"/>
    <w:rsid w:val="00541A52"/>
    <w:rsid w:val="0054449B"/>
    <w:rsid w:val="0054547E"/>
    <w:rsid w:val="0054748A"/>
    <w:rsid w:val="00553295"/>
    <w:rsid w:val="005571CB"/>
    <w:rsid w:val="005628C2"/>
    <w:rsid w:val="00564BBA"/>
    <w:rsid w:val="00575287"/>
    <w:rsid w:val="00575B6F"/>
    <w:rsid w:val="00580774"/>
    <w:rsid w:val="00582B1C"/>
    <w:rsid w:val="00583EFC"/>
    <w:rsid w:val="0058693C"/>
    <w:rsid w:val="00586AD6"/>
    <w:rsid w:val="005A6E40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33A0"/>
    <w:rsid w:val="005E54B7"/>
    <w:rsid w:val="005E55EB"/>
    <w:rsid w:val="005E603D"/>
    <w:rsid w:val="005F3994"/>
    <w:rsid w:val="005F3D2B"/>
    <w:rsid w:val="005F5176"/>
    <w:rsid w:val="005F7750"/>
    <w:rsid w:val="00605D0D"/>
    <w:rsid w:val="00612E22"/>
    <w:rsid w:val="00615EB4"/>
    <w:rsid w:val="00620117"/>
    <w:rsid w:val="00633103"/>
    <w:rsid w:val="00634489"/>
    <w:rsid w:val="006355E1"/>
    <w:rsid w:val="00636EC2"/>
    <w:rsid w:val="00637AEA"/>
    <w:rsid w:val="00637FBD"/>
    <w:rsid w:val="0064298C"/>
    <w:rsid w:val="0064488B"/>
    <w:rsid w:val="00653ACB"/>
    <w:rsid w:val="0065536C"/>
    <w:rsid w:val="006574B5"/>
    <w:rsid w:val="006719F5"/>
    <w:rsid w:val="00671BB5"/>
    <w:rsid w:val="006771F6"/>
    <w:rsid w:val="00685A0B"/>
    <w:rsid w:val="00693AE9"/>
    <w:rsid w:val="00694893"/>
    <w:rsid w:val="00696911"/>
    <w:rsid w:val="006A0BA2"/>
    <w:rsid w:val="006A30DC"/>
    <w:rsid w:val="006A4851"/>
    <w:rsid w:val="006A5D29"/>
    <w:rsid w:val="006B124C"/>
    <w:rsid w:val="006B2DB9"/>
    <w:rsid w:val="006C029D"/>
    <w:rsid w:val="006C265B"/>
    <w:rsid w:val="006C3785"/>
    <w:rsid w:val="006D4146"/>
    <w:rsid w:val="006D621A"/>
    <w:rsid w:val="006D6363"/>
    <w:rsid w:val="006D6B43"/>
    <w:rsid w:val="006E52FF"/>
    <w:rsid w:val="006E6358"/>
    <w:rsid w:val="006F0028"/>
    <w:rsid w:val="006F173C"/>
    <w:rsid w:val="006F25BF"/>
    <w:rsid w:val="006F4520"/>
    <w:rsid w:val="006F543F"/>
    <w:rsid w:val="006F67BA"/>
    <w:rsid w:val="007072B9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33F4"/>
    <w:rsid w:val="00755A31"/>
    <w:rsid w:val="00757D0F"/>
    <w:rsid w:val="00761DDC"/>
    <w:rsid w:val="0076404A"/>
    <w:rsid w:val="0076600F"/>
    <w:rsid w:val="00770329"/>
    <w:rsid w:val="00781920"/>
    <w:rsid w:val="00787859"/>
    <w:rsid w:val="0079143C"/>
    <w:rsid w:val="007942B6"/>
    <w:rsid w:val="00795F5E"/>
    <w:rsid w:val="00797C7D"/>
    <w:rsid w:val="00797E95"/>
    <w:rsid w:val="007A6495"/>
    <w:rsid w:val="007B00CD"/>
    <w:rsid w:val="007B286F"/>
    <w:rsid w:val="007B4E24"/>
    <w:rsid w:val="007B7E9C"/>
    <w:rsid w:val="007C0E64"/>
    <w:rsid w:val="007C43CE"/>
    <w:rsid w:val="007C6F25"/>
    <w:rsid w:val="007C79AA"/>
    <w:rsid w:val="007D3E2E"/>
    <w:rsid w:val="007E0D56"/>
    <w:rsid w:val="007E5D63"/>
    <w:rsid w:val="007F32F3"/>
    <w:rsid w:val="0080151F"/>
    <w:rsid w:val="00802FE3"/>
    <w:rsid w:val="00803990"/>
    <w:rsid w:val="008047F5"/>
    <w:rsid w:val="00805AB3"/>
    <w:rsid w:val="008075CD"/>
    <w:rsid w:val="00812504"/>
    <w:rsid w:val="00814C99"/>
    <w:rsid w:val="00817647"/>
    <w:rsid w:val="0081770A"/>
    <w:rsid w:val="00827283"/>
    <w:rsid w:val="00833979"/>
    <w:rsid w:val="00835ABC"/>
    <w:rsid w:val="00837BC6"/>
    <w:rsid w:val="0084177E"/>
    <w:rsid w:val="00846071"/>
    <w:rsid w:val="008521C9"/>
    <w:rsid w:val="00853820"/>
    <w:rsid w:val="0085462E"/>
    <w:rsid w:val="00855FAB"/>
    <w:rsid w:val="0086094B"/>
    <w:rsid w:val="00862A69"/>
    <w:rsid w:val="00873093"/>
    <w:rsid w:val="0087480A"/>
    <w:rsid w:val="00875ED0"/>
    <w:rsid w:val="00880D82"/>
    <w:rsid w:val="00881E05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D20D4"/>
    <w:rsid w:val="008D21B0"/>
    <w:rsid w:val="008D730E"/>
    <w:rsid w:val="008E5DDD"/>
    <w:rsid w:val="008F2842"/>
    <w:rsid w:val="008F550B"/>
    <w:rsid w:val="0090041C"/>
    <w:rsid w:val="00901298"/>
    <w:rsid w:val="009048F5"/>
    <w:rsid w:val="00905290"/>
    <w:rsid w:val="0091206C"/>
    <w:rsid w:val="0091323D"/>
    <w:rsid w:val="00914ADF"/>
    <w:rsid w:val="00922D16"/>
    <w:rsid w:val="00927373"/>
    <w:rsid w:val="00927C8A"/>
    <w:rsid w:val="00933EB6"/>
    <w:rsid w:val="0093422E"/>
    <w:rsid w:val="00935FAE"/>
    <w:rsid w:val="00944BA0"/>
    <w:rsid w:val="00952BAB"/>
    <w:rsid w:val="009621E9"/>
    <w:rsid w:val="0096267F"/>
    <w:rsid w:val="009707CD"/>
    <w:rsid w:val="00970913"/>
    <w:rsid w:val="00970EF7"/>
    <w:rsid w:val="00973E01"/>
    <w:rsid w:val="009744E1"/>
    <w:rsid w:val="00975245"/>
    <w:rsid w:val="009761D2"/>
    <w:rsid w:val="00981573"/>
    <w:rsid w:val="00981915"/>
    <w:rsid w:val="009841EC"/>
    <w:rsid w:val="00985182"/>
    <w:rsid w:val="00986182"/>
    <w:rsid w:val="00986BE8"/>
    <w:rsid w:val="00996CA4"/>
    <w:rsid w:val="009A123E"/>
    <w:rsid w:val="009A403C"/>
    <w:rsid w:val="009A487B"/>
    <w:rsid w:val="009B534A"/>
    <w:rsid w:val="009B7341"/>
    <w:rsid w:val="009C3BC6"/>
    <w:rsid w:val="009C3C8D"/>
    <w:rsid w:val="009C518E"/>
    <w:rsid w:val="009C53C8"/>
    <w:rsid w:val="009C7922"/>
    <w:rsid w:val="009D278F"/>
    <w:rsid w:val="009D5CD9"/>
    <w:rsid w:val="009D6D55"/>
    <w:rsid w:val="009D6FD1"/>
    <w:rsid w:val="009E0006"/>
    <w:rsid w:val="009E319B"/>
    <w:rsid w:val="009E3C48"/>
    <w:rsid w:val="009E5FB1"/>
    <w:rsid w:val="009E71D9"/>
    <w:rsid w:val="009F17A1"/>
    <w:rsid w:val="009F6769"/>
    <w:rsid w:val="00A00646"/>
    <w:rsid w:val="00A0373C"/>
    <w:rsid w:val="00A038A8"/>
    <w:rsid w:val="00A06D5E"/>
    <w:rsid w:val="00A17184"/>
    <w:rsid w:val="00A26320"/>
    <w:rsid w:val="00A347CA"/>
    <w:rsid w:val="00A3484A"/>
    <w:rsid w:val="00A34AA3"/>
    <w:rsid w:val="00A356B8"/>
    <w:rsid w:val="00A37494"/>
    <w:rsid w:val="00A40B6D"/>
    <w:rsid w:val="00A502B4"/>
    <w:rsid w:val="00A66DFC"/>
    <w:rsid w:val="00A72A61"/>
    <w:rsid w:val="00A73234"/>
    <w:rsid w:val="00A833F6"/>
    <w:rsid w:val="00A83EAD"/>
    <w:rsid w:val="00A85D2A"/>
    <w:rsid w:val="00A871A3"/>
    <w:rsid w:val="00A879C6"/>
    <w:rsid w:val="00A93116"/>
    <w:rsid w:val="00A96A31"/>
    <w:rsid w:val="00AA2A7A"/>
    <w:rsid w:val="00AB273B"/>
    <w:rsid w:val="00AB38D4"/>
    <w:rsid w:val="00AB3FB6"/>
    <w:rsid w:val="00AB6877"/>
    <w:rsid w:val="00AC2931"/>
    <w:rsid w:val="00AC7D14"/>
    <w:rsid w:val="00AD0C0E"/>
    <w:rsid w:val="00AD0EC8"/>
    <w:rsid w:val="00AD1FE6"/>
    <w:rsid w:val="00AD6B26"/>
    <w:rsid w:val="00AD7ABC"/>
    <w:rsid w:val="00AE0EE8"/>
    <w:rsid w:val="00AE4751"/>
    <w:rsid w:val="00AF0FA4"/>
    <w:rsid w:val="00AF3D7D"/>
    <w:rsid w:val="00B02563"/>
    <w:rsid w:val="00B0523B"/>
    <w:rsid w:val="00B06A69"/>
    <w:rsid w:val="00B11265"/>
    <w:rsid w:val="00B1305B"/>
    <w:rsid w:val="00B15C09"/>
    <w:rsid w:val="00B16546"/>
    <w:rsid w:val="00B212E0"/>
    <w:rsid w:val="00B224CF"/>
    <w:rsid w:val="00B25C87"/>
    <w:rsid w:val="00B26220"/>
    <w:rsid w:val="00B31043"/>
    <w:rsid w:val="00B3404D"/>
    <w:rsid w:val="00B41D22"/>
    <w:rsid w:val="00B42DFB"/>
    <w:rsid w:val="00B47572"/>
    <w:rsid w:val="00B62D5D"/>
    <w:rsid w:val="00B7080C"/>
    <w:rsid w:val="00B70E59"/>
    <w:rsid w:val="00B737ED"/>
    <w:rsid w:val="00B75D16"/>
    <w:rsid w:val="00B76CB3"/>
    <w:rsid w:val="00B77C88"/>
    <w:rsid w:val="00B80DF6"/>
    <w:rsid w:val="00B81115"/>
    <w:rsid w:val="00B82895"/>
    <w:rsid w:val="00B85F44"/>
    <w:rsid w:val="00B870AE"/>
    <w:rsid w:val="00BA252D"/>
    <w:rsid w:val="00BA26DA"/>
    <w:rsid w:val="00BA4DEB"/>
    <w:rsid w:val="00BA5835"/>
    <w:rsid w:val="00BA74F6"/>
    <w:rsid w:val="00BB1686"/>
    <w:rsid w:val="00BB24A4"/>
    <w:rsid w:val="00BB7DBF"/>
    <w:rsid w:val="00BC7F90"/>
    <w:rsid w:val="00BC7F96"/>
    <w:rsid w:val="00BD0AAF"/>
    <w:rsid w:val="00BD5435"/>
    <w:rsid w:val="00BD56B2"/>
    <w:rsid w:val="00BD5A27"/>
    <w:rsid w:val="00BD5A28"/>
    <w:rsid w:val="00BD7D6E"/>
    <w:rsid w:val="00BE0482"/>
    <w:rsid w:val="00BF024B"/>
    <w:rsid w:val="00BF2C33"/>
    <w:rsid w:val="00BF4B24"/>
    <w:rsid w:val="00BF505A"/>
    <w:rsid w:val="00C00891"/>
    <w:rsid w:val="00C047EF"/>
    <w:rsid w:val="00C10DF5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E4F"/>
    <w:rsid w:val="00C54BA2"/>
    <w:rsid w:val="00C64D49"/>
    <w:rsid w:val="00C80820"/>
    <w:rsid w:val="00C84A1D"/>
    <w:rsid w:val="00C84E80"/>
    <w:rsid w:val="00C877AD"/>
    <w:rsid w:val="00C9391E"/>
    <w:rsid w:val="00C94FCF"/>
    <w:rsid w:val="00CA441D"/>
    <w:rsid w:val="00CA6985"/>
    <w:rsid w:val="00CA772A"/>
    <w:rsid w:val="00CB0E64"/>
    <w:rsid w:val="00CC301C"/>
    <w:rsid w:val="00CC4CE4"/>
    <w:rsid w:val="00CC7EC7"/>
    <w:rsid w:val="00CE0EF0"/>
    <w:rsid w:val="00CE106B"/>
    <w:rsid w:val="00CE4254"/>
    <w:rsid w:val="00CE4795"/>
    <w:rsid w:val="00CE49C7"/>
    <w:rsid w:val="00CE7FE2"/>
    <w:rsid w:val="00CF50F9"/>
    <w:rsid w:val="00CF5F40"/>
    <w:rsid w:val="00D02140"/>
    <w:rsid w:val="00D03C67"/>
    <w:rsid w:val="00D045B9"/>
    <w:rsid w:val="00D04AC4"/>
    <w:rsid w:val="00D070F4"/>
    <w:rsid w:val="00D1313F"/>
    <w:rsid w:val="00D14326"/>
    <w:rsid w:val="00D34E7A"/>
    <w:rsid w:val="00D40582"/>
    <w:rsid w:val="00D562C5"/>
    <w:rsid w:val="00D710C9"/>
    <w:rsid w:val="00D81012"/>
    <w:rsid w:val="00D857CC"/>
    <w:rsid w:val="00D86644"/>
    <w:rsid w:val="00D93EB3"/>
    <w:rsid w:val="00D97D6B"/>
    <w:rsid w:val="00DA0995"/>
    <w:rsid w:val="00DA34FD"/>
    <w:rsid w:val="00DA4600"/>
    <w:rsid w:val="00DA7216"/>
    <w:rsid w:val="00DA7D89"/>
    <w:rsid w:val="00DB162F"/>
    <w:rsid w:val="00DB1ACD"/>
    <w:rsid w:val="00DC2883"/>
    <w:rsid w:val="00DC6BB5"/>
    <w:rsid w:val="00DC7A4C"/>
    <w:rsid w:val="00DC7C73"/>
    <w:rsid w:val="00DD570F"/>
    <w:rsid w:val="00DD64A4"/>
    <w:rsid w:val="00DD6AAA"/>
    <w:rsid w:val="00DF1D87"/>
    <w:rsid w:val="00DF2B68"/>
    <w:rsid w:val="00DF4015"/>
    <w:rsid w:val="00DF5146"/>
    <w:rsid w:val="00E06246"/>
    <w:rsid w:val="00E14B75"/>
    <w:rsid w:val="00E1709F"/>
    <w:rsid w:val="00E3595C"/>
    <w:rsid w:val="00E43D59"/>
    <w:rsid w:val="00E46EE8"/>
    <w:rsid w:val="00E549FB"/>
    <w:rsid w:val="00E612A2"/>
    <w:rsid w:val="00E6669E"/>
    <w:rsid w:val="00E6725C"/>
    <w:rsid w:val="00E675E3"/>
    <w:rsid w:val="00E67D20"/>
    <w:rsid w:val="00E74C4D"/>
    <w:rsid w:val="00E80E5E"/>
    <w:rsid w:val="00E90D99"/>
    <w:rsid w:val="00E94700"/>
    <w:rsid w:val="00E95731"/>
    <w:rsid w:val="00EA4920"/>
    <w:rsid w:val="00EA6A9A"/>
    <w:rsid w:val="00EB25E0"/>
    <w:rsid w:val="00EB4B95"/>
    <w:rsid w:val="00EB51C4"/>
    <w:rsid w:val="00EB7472"/>
    <w:rsid w:val="00EB7B1C"/>
    <w:rsid w:val="00EC4665"/>
    <w:rsid w:val="00ED0662"/>
    <w:rsid w:val="00ED0CF3"/>
    <w:rsid w:val="00ED1507"/>
    <w:rsid w:val="00ED24F4"/>
    <w:rsid w:val="00ED76EF"/>
    <w:rsid w:val="00EE38E5"/>
    <w:rsid w:val="00EE71BA"/>
    <w:rsid w:val="00EF0B33"/>
    <w:rsid w:val="00EF40DA"/>
    <w:rsid w:val="00EF5E39"/>
    <w:rsid w:val="00EF5FB9"/>
    <w:rsid w:val="00EF68BB"/>
    <w:rsid w:val="00EF7844"/>
    <w:rsid w:val="00F01838"/>
    <w:rsid w:val="00F01B2D"/>
    <w:rsid w:val="00F03CC8"/>
    <w:rsid w:val="00F05F7B"/>
    <w:rsid w:val="00F13F40"/>
    <w:rsid w:val="00F150C8"/>
    <w:rsid w:val="00F16BC6"/>
    <w:rsid w:val="00F25DC4"/>
    <w:rsid w:val="00F36726"/>
    <w:rsid w:val="00F43004"/>
    <w:rsid w:val="00F45E47"/>
    <w:rsid w:val="00F46785"/>
    <w:rsid w:val="00F46BF3"/>
    <w:rsid w:val="00F5429E"/>
    <w:rsid w:val="00F555D8"/>
    <w:rsid w:val="00F5614D"/>
    <w:rsid w:val="00F70C22"/>
    <w:rsid w:val="00F75485"/>
    <w:rsid w:val="00F7704C"/>
    <w:rsid w:val="00F772B9"/>
    <w:rsid w:val="00F833AC"/>
    <w:rsid w:val="00F86357"/>
    <w:rsid w:val="00F92AE8"/>
    <w:rsid w:val="00F92C65"/>
    <w:rsid w:val="00F930BD"/>
    <w:rsid w:val="00F931E9"/>
    <w:rsid w:val="00FA0745"/>
    <w:rsid w:val="00FA1991"/>
    <w:rsid w:val="00FA3410"/>
    <w:rsid w:val="00FA4E30"/>
    <w:rsid w:val="00FA5126"/>
    <w:rsid w:val="00FA6196"/>
    <w:rsid w:val="00FB01A5"/>
    <w:rsid w:val="00FB0EEC"/>
    <w:rsid w:val="00FB7ADC"/>
    <w:rsid w:val="00FC06B7"/>
    <w:rsid w:val="00FC53A9"/>
    <w:rsid w:val="00FC54F9"/>
    <w:rsid w:val="00FD4173"/>
    <w:rsid w:val="00FD5DC7"/>
    <w:rsid w:val="00FD7932"/>
    <w:rsid w:val="00FE0568"/>
    <w:rsid w:val="00FE69CA"/>
    <w:rsid w:val="00FE6FEC"/>
    <w:rsid w:val="00FF0ED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F870CB-600E-4CA1-82D0-FF4E31A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5E603D"/>
    <w:pPr>
      <w:tabs>
        <w:tab w:val="left" w:pos="440"/>
        <w:tab w:val="right" w:leader="dot" w:pos="9062"/>
      </w:tabs>
    </w:pPr>
    <w:rPr>
      <w:rFonts w:cs="Times New Roman"/>
      <w:i/>
      <w:iCs/>
      <w:noProof/>
    </w:rPr>
  </w:style>
  <w:style w:type="paragraph" w:styleId="Spistreci2">
    <w:name w:val="toc 2"/>
    <w:basedOn w:val="Normalny"/>
    <w:next w:val="Normalny"/>
    <w:autoRedefine/>
    <w:uiPriority w:val="39"/>
    <w:rsid w:val="00EB7B1C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8A4F25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6EF7-CF86-4233-8ACB-70E27316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3318</Words>
  <Characters>19909</Characters>
  <Application>Microsoft Office Word</Application>
  <DocSecurity>4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23181</CharactersWithSpaces>
  <SharedDoc>false</SharedDoc>
  <HLinks>
    <vt:vector size="114" baseType="variant">
      <vt:variant>
        <vt:i4>3276865</vt:i4>
      </vt:variant>
      <vt:variant>
        <vt:i4>114</vt:i4>
      </vt:variant>
      <vt:variant>
        <vt:i4>0</vt:i4>
      </vt:variant>
      <vt:variant>
        <vt:i4>5</vt:i4>
      </vt:variant>
      <vt:variant>
        <vt:lpwstr>http://pl.wikipedia.org/wiki/Projekt_%28zarz%C4%85dzanie%29</vt:lpwstr>
      </vt:variant>
      <vt:variant>
        <vt:lpwstr/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_Toc392012711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_Toc392012710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_Toc392012709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_Toc392012708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_Toc392012707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_Toc392012706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_Toc392012705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_Toc392012704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_Toc392012703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_Toc392012702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_Toc392012701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_Toc392012700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_Toc392012699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_Toc392012698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_Toc392012697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_Toc392012696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_Toc392012695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_Toc392012694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Ewa Mierzwińska-Nowak</dc:creator>
  <cp:keywords/>
  <cp:lastModifiedBy>Kozłowska-Mikołajczyk Joanna</cp:lastModifiedBy>
  <cp:revision>2</cp:revision>
  <cp:lastPrinted>2014-07-04T08:39:00Z</cp:lastPrinted>
  <dcterms:created xsi:type="dcterms:W3CDTF">2021-08-09T09:10:00Z</dcterms:created>
  <dcterms:modified xsi:type="dcterms:W3CDTF">2021-08-09T09:10:00Z</dcterms:modified>
</cp:coreProperties>
</file>