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57" w:rsidRPr="00F41AEF" w:rsidRDefault="00DC11A6" w:rsidP="00F41AEF">
      <w:pPr>
        <w:spacing w:after="120"/>
        <w:ind w:left="5387"/>
        <w:rPr>
          <w:rFonts w:asciiTheme="minorHAnsi" w:hAnsiTheme="minorHAnsi"/>
          <w:sz w:val="22"/>
          <w:szCs w:val="22"/>
        </w:rPr>
      </w:pPr>
      <w:bookmarkStart w:id="0" w:name="_GoBack"/>
      <w:r w:rsidRPr="00F41AEF">
        <w:rPr>
          <w:rFonts w:asciiTheme="minorHAnsi" w:hAnsiTheme="minorHAnsi"/>
          <w:sz w:val="22"/>
          <w:szCs w:val="22"/>
        </w:rPr>
        <w:t>Warszawa, dnia</w:t>
      </w:r>
      <w:r w:rsidR="005161F7" w:rsidRPr="00F41AEF">
        <w:rPr>
          <w:rFonts w:asciiTheme="minorHAnsi" w:hAnsiTheme="minorHAnsi"/>
          <w:sz w:val="22"/>
          <w:szCs w:val="22"/>
        </w:rPr>
        <w:t xml:space="preserve"> </w:t>
      </w:r>
      <w:r w:rsidR="00F41AEF" w:rsidRPr="00F41AEF">
        <w:rPr>
          <w:rFonts w:asciiTheme="minorHAnsi" w:hAnsiTheme="minorHAnsi"/>
          <w:sz w:val="22"/>
          <w:szCs w:val="22"/>
        </w:rPr>
        <w:t>1</w:t>
      </w:r>
      <w:r w:rsidR="00A5296A" w:rsidRPr="00F41AEF">
        <w:rPr>
          <w:rFonts w:asciiTheme="minorHAnsi" w:hAnsiTheme="minorHAnsi"/>
          <w:sz w:val="22"/>
          <w:szCs w:val="22"/>
        </w:rPr>
        <w:t>4 lutego</w:t>
      </w:r>
      <w:r w:rsidR="00AD3B2D" w:rsidRPr="00F41AEF">
        <w:rPr>
          <w:rFonts w:asciiTheme="minorHAnsi" w:hAnsiTheme="minorHAnsi"/>
          <w:sz w:val="22"/>
          <w:szCs w:val="22"/>
        </w:rPr>
        <w:t xml:space="preserve"> </w:t>
      </w:r>
      <w:r w:rsidR="000810ED" w:rsidRPr="00F41AEF">
        <w:rPr>
          <w:rFonts w:asciiTheme="minorHAnsi" w:hAnsiTheme="minorHAnsi"/>
          <w:sz w:val="22"/>
          <w:szCs w:val="22"/>
        </w:rPr>
        <w:t>20</w:t>
      </w:r>
      <w:r w:rsidR="00A130FE" w:rsidRPr="00F41AEF">
        <w:rPr>
          <w:rFonts w:asciiTheme="minorHAnsi" w:hAnsiTheme="minorHAnsi"/>
          <w:sz w:val="22"/>
          <w:szCs w:val="22"/>
        </w:rPr>
        <w:t>2</w:t>
      </w:r>
      <w:r w:rsidR="00AD3B2D" w:rsidRPr="00F41AEF">
        <w:rPr>
          <w:rFonts w:asciiTheme="minorHAnsi" w:hAnsiTheme="minorHAnsi"/>
          <w:sz w:val="22"/>
          <w:szCs w:val="22"/>
        </w:rPr>
        <w:t>2</w:t>
      </w:r>
      <w:r w:rsidR="00AD3957" w:rsidRPr="00F41AEF">
        <w:rPr>
          <w:rFonts w:asciiTheme="minorHAnsi" w:hAnsiTheme="minorHAnsi"/>
          <w:sz w:val="22"/>
          <w:szCs w:val="22"/>
        </w:rPr>
        <w:t xml:space="preserve"> r. </w:t>
      </w:r>
    </w:p>
    <w:p w:rsidR="00AD3957" w:rsidRPr="00F41AEF" w:rsidRDefault="00AD3957" w:rsidP="00F41AEF">
      <w:pPr>
        <w:spacing w:after="120"/>
        <w:ind w:right="50"/>
        <w:rPr>
          <w:rFonts w:asciiTheme="minorHAnsi" w:hAnsiTheme="minorHAnsi"/>
          <w:sz w:val="22"/>
          <w:szCs w:val="22"/>
        </w:rPr>
      </w:pPr>
    </w:p>
    <w:p w:rsidR="00684722" w:rsidRPr="00F41AEF" w:rsidRDefault="00684722" w:rsidP="00F41AEF">
      <w:pPr>
        <w:spacing w:after="120"/>
        <w:ind w:right="50"/>
        <w:rPr>
          <w:rFonts w:asciiTheme="minorHAnsi" w:hAnsiTheme="minorHAnsi"/>
          <w:sz w:val="22"/>
          <w:szCs w:val="22"/>
        </w:rPr>
      </w:pPr>
    </w:p>
    <w:p w:rsidR="00684722" w:rsidRPr="00F41AEF" w:rsidRDefault="00684722" w:rsidP="00F41AEF">
      <w:pPr>
        <w:spacing w:after="120"/>
        <w:ind w:right="50"/>
        <w:rPr>
          <w:rFonts w:asciiTheme="minorHAnsi" w:hAnsiTheme="minorHAnsi"/>
          <w:sz w:val="22"/>
          <w:szCs w:val="22"/>
        </w:rPr>
      </w:pPr>
    </w:p>
    <w:p w:rsidR="009269A9" w:rsidRPr="00F41AEF" w:rsidRDefault="009269A9" w:rsidP="00F41AEF">
      <w:pPr>
        <w:spacing w:after="120"/>
        <w:ind w:right="50"/>
        <w:rPr>
          <w:rFonts w:asciiTheme="minorHAnsi" w:hAnsiTheme="minorHAnsi"/>
          <w:sz w:val="22"/>
          <w:szCs w:val="22"/>
        </w:rPr>
      </w:pPr>
    </w:p>
    <w:p w:rsidR="009269A9" w:rsidRPr="00F41AEF" w:rsidRDefault="009269A9" w:rsidP="00F41AEF">
      <w:pPr>
        <w:spacing w:after="120"/>
        <w:ind w:right="50"/>
        <w:rPr>
          <w:rFonts w:asciiTheme="minorHAnsi" w:hAnsiTheme="minorHAnsi"/>
          <w:sz w:val="22"/>
          <w:szCs w:val="22"/>
        </w:rPr>
      </w:pPr>
    </w:p>
    <w:p w:rsidR="00684722" w:rsidRPr="00F41AEF" w:rsidRDefault="00684722" w:rsidP="00F41AEF">
      <w:pPr>
        <w:spacing w:after="120"/>
        <w:ind w:right="50"/>
        <w:rPr>
          <w:rFonts w:asciiTheme="minorHAnsi" w:hAnsiTheme="minorHAnsi"/>
          <w:sz w:val="22"/>
          <w:szCs w:val="22"/>
        </w:rPr>
      </w:pPr>
    </w:p>
    <w:p w:rsidR="00E30FCA" w:rsidRPr="00F41AEF" w:rsidRDefault="00B10BB2" w:rsidP="00F41AEF">
      <w:pPr>
        <w:spacing w:after="120"/>
        <w:ind w:left="-426" w:right="50"/>
        <w:rPr>
          <w:rFonts w:asciiTheme="minorHAnsi" w:hAnsiTheme="minorHAnsi"/>
          <w:sz w:val="22"/>
          <w:szCs w:val="22"/>
        </w:rPr>
      </w:pPr>
      <w:r w:rsidRPr="00F41AEF">
        <w:rPr>
          <w:rFonts w:asciiTheme="minorHAnsi" w:hAnsiTheme="minorHAnsi"/>
          <w:sz w:val="22"/>
          <w:szCs w:val="22"/>
        </w:rPr>
        <w:t>DPT.432.8.2020/</w:t>
      </w:r>
      <w:r w:rsidR="001273DE" w:rsidRPr="00F41AEF">
        <w:rPr>
          <w:rFonts w:asciiTheme="minorHAnsi" w:hAnsiTheme="minorHAnsi"/>
          <w:sz w:val="22"/>
          <w:szCs w:val="22"/>
        </w:rPr>
        <w:t>17</w:t>
      </w:r>
    </w:p>
    <w:p w:rsidR="00D97722" w:rsidRPr="00F41AEF" w:rsidRDefault="00DC11A6" w:rsidP="00F41AEF">
      <w:pPr>
        <w:spacing w:after="120"/>
        <w:ind w:left="5387" w:hanging="3"/>
        <w:rPr>
          <w:rFonts w:asciiTheme="minorHAnsi" w:hAnsiTheme="minorHAnsi"/>
          <w:b/>
          <w:sz w:val="22"/>
          <w:szCs w:val="22"/>
          <w:u w:val="single"/>
        </w:rPr>
      </w:pPr>
      <w:r w:rsidRPr="00F41AEF">
        <w:rPr>
          <w:rFonts w:asciiTheme="minorHAnsi" w:hAnsiTheme="minorHAnsi"/>
          <w:b/>
          <w:sz w:val="22"/>
          <w:szCs w:val="22"/>
          <w:u w:val="single"/>
        </w:rPr>
        <w:t>elektronicznie do członków Zespołu</w:t>
      </w:r>
    </w:p>
    <w:p w:rsidR="009269A9" w:rsidRPr="00F41AEF" w:rsidRDefault="009269A9" w:rsidP="00F41AEF">
      <w:pPr>
        <w:spacing w:after="120"/>
        <w:jc w:val="both"/>
        <w:rPr>
          <w:rFonts w:asciiTheme="minorHAnsi" w:hAnsiTheme="minorHAnsi"/>
          <w:sz w:val="22"/>
          <w:szCs w:val="22"/>
        </w:rPr>
      </w:pPr>
    </w:p>
    <w:p w:rsidR="00DC11A6" w:rsidRPr="00F41AEF" w:rsidRDefault="0015530E" w:rsidP="00F41AEF">
      <w:pPr>
        <w:jc w:val="center"/>
        <w:rPr>
          <w:rFonts w:asciiTheme="minorHAnsi" w:hAnsiTheme="minorHAnsi"/>
          <w:b/>
          <w:sz w:val="22"/>
          <w:szCs w:val="22"/>
        </w:rPr>
      </w:pPr>
      <w:r w:rsidRPr="00F41AEF">
        <w:rPr>
          <w:rFonts w:asciiTheme="minorHAnsi" w:hAnsiTheme="minorHAnsi"/>
          <w:b/>
          <w:sz w:val="22"/>
          <w:szCs w:val="22"/>
        </w:rPr>
        <w:t xml:space="preserve">Sprawozdanie </w:t>
      </w:r>
    </w:p>
    <w:p w:rsidR="00DC11A6" w:rsidRPr="00F41AEF" w:rsidRDefault="0015530E" w:rsidP="00F41AEF">
      <w:pPr>
        <w:jc w:val="center"/>
        <w:rPr>
          <w:rFonts w:asciiTheme="minorHAnsi" w:hAnsiTheme="minorHAnsi"/>
          <w:b/>
          <w:sz w:val="22"/>
          <w:szCs w:val="22"/>
        </w:rPr>
      </w:pPr>
      <w:r w:rsidRPr="00F41AEF">
        <w:rPr>
          <w:rFonts w:asciiTheme="minorHAnsi" w:hAnsiTheme="minorHAnsi"/>
          <w:b/>
          <w:sz w:val="22"/>
          <w:szCs w:val="22"/>
        </w:rPr>
        <w:t>z posiedzenia Zespołu ds. Europejskiego Trybunału Praw Człowieka</w:t>
      </w:r>
      <w:r w:rsidR="00F32357" w:rsidRPr="00F41AEF">
        <w:rPr>
          <w:rFonts w:asciiTheme="minorHAnsi" w:hAnsiTheme="minorHAnsi"/>
          <w:b/>
          <w:sz w:val="22"/>
          <w:szCs w:val="22"/>
        </w:rPr>
        <w:t>,</w:t>
      </w:r>
      <w:r w:rsidRPr="00F41AEF">
        <w:rPr>
          <w:rFonts w:asciiTheme="minorHAnsi" w:hAnsiTheme="minorHAnsi"/>
          <w:b/>
          <w:sz w:val="22"/>
          <w:szCs w:val="22"/>
        </w:rPr>
        <w:t xml:space="preserve"> </w:t>
      </w:r>
    </w:p>
    <w:p w:rsidR="0015530E" w:rsidRPr="00F41AEF" w:rsidRDefault="0015530E" w:rsidP="00F41AEF">
      <w:pPr>
        <w:spacing w:after="120"/>
        <w:jc w:val="center"/>
        <w:rPr>
          <w:rFonts w:asciiTheme="minorHAnsi" w:hAnsiTheme="minorHAnsi"/>
          <w:b/>
          <w:sz w:val="22"/>
          <w:szCs w:val="22"/>
        </w:rPr>
      </w:pPr>
      <w:r w:rsidRPr="00F41AEF">
        <w:rPr>
          <w:rFonts w:asciiTheme="minorHAnsi" w:hAnsiTheme="minorHAnsi"/>
          <w:b/>
          <w:sz w:val="22"/>
          <w:szCs w:val="22"/>
        </w:rPr>
        <w:t>które odbyło się</w:t>
      </w:r>
      <w:r w:rsidR="00DC11A6" w:rsidRPr="00F41AEF">
        <w:rPr>
          <w:rFonts w:asciiTheme="minorHAnsi" w:hAnsiTheme="minorHAnsi"/>
          <w:b/>
          <w:sz w:val="22"/>
          <w:szCs w:val="22"/>
        </w:rPr>
        <w:t xml:space="preserve"> </w:t>
      </w:r>
      <w:r w:rsidRPr="00F41AEF">
        <w:rPr>
          <w:rFonts w:asciiTheme="minorHAnsi" w:hAnsiTheme="minorHAnsi"/>
          <w:b/>
          <w:sz w:val="22"/>
          <w:szCs w:val="22"/>
        </w:rPr>
        <w:t>w dniu</w:t>
      </w:r>
      <w:r w:rsidR="00DC11A6" w:rsidRPr="00F41AEF">
        <w:rPr>
          <w:rFonts w:asciiTheme="minorHAnsi" w:hAnsiTheme="minorHAnsi"/>
          <w:b/>
          <w:sz w:val="22"/>
          <w:szCs w:val="22"/>
        </w:rPr>
        <w:t xml:space="preserve"> 2</w:t>
      </w:r>
      <w:r w:rsidR="00AD3B2D" w:rsidRPr="00F41AEF">
        <w:rPr>
          <w:rFonts w:asciiTheme="minorHAnsi" w:hAnsiTheme="minorHAnsi"/>
          <w:b/>
          <w:sz w:val="22"/>
          <w:szCs w:val="22"/>
        </w:rPr>
        <w:t xml:space="preserve">1 grudnia </w:t>
      </w:r>
      <w:r w:rsidRPr="00F41AEF">
        <w:rPr>
          <w:rFonts w:asciiTheme="minorHAnsi" w:hAnsiTheme="minorHAnsi"/>
          <w:b/>
          <w:sz w:val="22"/>
          <w:szCs w:val="22"/>
        </w:rPr>
        <w:t>202</w:t>
      </w:r>
      <w:r w:rsidR="00CD03DA" w:rsidRPr="00F41AEF">
        <w:rPr>
          <w:rFonts w:asciiTheme="minorHAnsi" w:hAnsiTheme="minorHAnsi"/>
          <w:b/>
          <w:sz w:val="22"/>
          <w:szCs w:val="22"/>
        </w:rPr>
        <w:t>1</w:t>
      </w:r>
      <w:r w:rsidRPr="00F41AEF">
        <w:rPr>
          <w:rFonts w:asciiTheme="minorHAnsi" w:hAnsiTheme="minorHAnsi"/>
          <w:b/>
          <w:sz w:val="22"/>
          <w:szCs w:val="22"/>
        </w:rPr>
        <w:t xml:space="preserve"> r.</w:t>
      </w:r>
    </w:p>
    <w:p w:rsidR="0015530E" w:rsidRPr="00F41AEF" w:rsidRDefault="0015530E" w:rsidP="00F41AEF">
      <w:pPr>
        <w:spacing w:after="120"/>
        <w:jc w:val="both"/>
        <w:rPr>
          <w:rFonts w:asciiTheme="minorHAnsi" w:hAnsiTheme="minorHAnsi"/>
          <w:b/>
          <w:sz w:val="22"/>
          <w:szCs w:val="22"/>
        </w:rPr>
      </w:pPr>
    </w:p>
    <w:p w:rsidR="00DC11A6" w:rsidRPr="00F41AEF" w:rsidRDefault="00DC11A6" w:rsidP="00F41AEF">
      <w:pPr>
        <w:spacing w:after="120"/>
        <w:jc w:val="center"/>
        <w:rPr>
          <w:rFonts w:asciiTheme="minorHAnsi" w:hAnsiTheme="minorHAnsi"/>
          <w:i/>
          <w:sz w:val="22"/>
          <w:szCs w:val="22"/>
        </w:rPr>
      </w:pPr>
      <w:r w:rsidRPr="00F41AEF">
        <w:rPr>
          <w:rFonts w:asciiTheme="minorHAnsi" w:hAnsiTheme="minorHAnsi"/>
          <w:i/>
          <w:sz w:val="22"/>
          <w:szCs w:val="22"/>
        </w:rPr>
        <w:t>Posiedzenie zostało przeprowadzone z wykorzystaniem środków komunikacji elektronicznej umożliwiających porozumiewanie się na odległość</w:t>
      </w:r>
    </w:p>
    <w:p w:rsidR="009269A9" w:rsidRPr="00F41AEF" w:rsidRDefault="009269A9" w:rsidP="00F41AEF">
      <w:pPr>
        <w:spacing w:after="120"/>
        <w:jc w:val="both"/>
        <w:rPr>
          <w:rFonts w:asciiTheme="minorHAnsi" w:hAnsiTheme="minorHAnsi"/>
          <w:sz w:val="22"/>
          <w:szCs w:val="22"/>
        </w:rPr>
      </w:pPr>
    </w:p>
    <w:p w:rsidR="00DC11A6" w:rsidRPr="00F41AEF" w:rsidRDefault="00DC11A6" w:rsidP="00F41AEF">
      <w:pPr>
        <w:spacing w:after="120"/>
        <w:jc w:val="both"/>
        <w:rPr>
          <w:rFonts w:asciiTheme="minorHAnsi" w:hAnsiTheme="minorHAnsi"/>
          <w:sz w:val="22"/>
          <w:szCs w:val="22"/>
        </w:rPr>
      </w:pPr>
      <w:r w:rsidRPr="00F41AEF">
        <w:rPr>
          <w:rFonts w:asciiTheme="minorHAnsi" w:hAnsiTheme="minorHAnsi"/>
          <w:sz w:val="22"/>
          <w:szCs w:val="22"/>
        </w:rPr>
        <w:t xml:space="preserve">W dniu </w:t>
      </w:r>
      <w:r w:rsidR="00502AA2" w:rsidRPr="00F41AEF">
        <w:rPr>
          <w:rFonts w:asciiTheme="minorHAnsi" w:hAnsiTheme="minorHAnsi"/>
          <w:sz w:val="22"/>
          <w:szCs w:val="22"/>
        </w:rPr>
        <w:t>2</w:t>
      </w:r>
      <w:r w:rsidR="00AD3B2D" w:rsidRPr="00F41AEF">
        <w:rPr>
          <w:rFonts w:asciiTheme="minorHAnsi" w:hAnsiTheme="minorHAnsi"/>
          <w:sz w:val="22"/>
          <w:szCs w:val="22"/>
        </w:rPr>
        <w:t xml:space="preserve">1 grudnia </w:t>
      </w:r>
      <w:r w:rsidR="00502AA2" w:rsidRPr="00F41AEF">
        <w:rPr>
          <w:rFonts w:asciiTheme="minorHAnsi" w:hAnsiTheme="minorHAnsi"/>
          <w:sz w:val="22"/>
          <w:szCs w:val="22"/>
        </w:rPr>
        <w:t>202</w:t>
      </w:r>
      <w:r w:rsidR="00CD03DA" w:rsidRPr="00F41AEF">
        <w:rPr>
          <w:rFonts w:asciiTheme="minorHAnsi" w:hAnsiTheme="minorHAnsi"/>
          <w:sz w:val="22"/>
          <w:szCs w:val="22"/>
        </w:rPr>
        <w:t>1</w:t>
      </w:r>
      <w:r w:rsidR="00502AA2" w:rsidRPr="00F41AEF">
        <w:rPr>
          <w:rFonts w:asciiTheme="minorHAnsi" w:hAnsiTheme="minorHAnsi"/>
          <w:sz w:val="22"/>
          <w:szCs w:val="22"/>
        </w:rPr>
        <w:t xml:space="preserve"> r. </w:t>
      </w:r>
      <w:r w:rsidRPr="00F41AEF">
        <w:rPr>
          <w:rFonts w:asciiTheme="minorHAnsi" w:hAnsiTheme="minorHAnsi"/>
          <w:sz w:val="22"/>
          <w:szCs w:val="22"/>
        </w:rPr>
        <w:t>odbyło się posiedzenie Zespołu ds. Europejskiego Trybunału Praw Człowieka (</w:t>
      </w:r>
      <w:r w:rsidR="009269A9" w:rsidRPr="00F41AEF">
        <w:rPr>
          <w:rFonts w:asciiTheme="minorHAnsi" w:hAnsiTheme="minorHAnsi"/>
          <w:sz w:val="22"/>
          <w:szCs w:val="22"/>
        </w:rPr>
        <w:t>„</w:t>
      </w:r>
      <w:r w:rsidRPr="00F41AEF">
        <w:rPr>
          <w:rFonts w:asciiTheme="minorHAnsi" w:hAnsiTheme="minorHAnsi"/>
          <w:sz w:val="22"/>
          <w:szCs w:val="22"/>
        </w:rPr>
        <w:t>Zespół</w:t>
      </w:r>
      <w:r w:rsidR="009269A9" w:rsidRPr="00F41AEF">
        <w:rPr>
          <w:rFonts w:asciiTheme="minorHAnsi" w:hAnsiTheme="minorHAnsi"/>
          <w:sz w:val="22"/>
          <w:szCs w:val="22"/>
        </w:rPr>
        <w:t>”</w:t>
      </w:r>
      <w:r w:rsidRPr="00F41AEF">
        <w:rPr>
          <w:rFonts w:asciiTheme="minorHAnsi" w:hAnsiTheme="minorHAnsi"/>
          <w:sz w:val="22"/>
          <w:szCs w:val="22"/>
        </w:rPr>
        <w:t>), powołanego Zarządzeniem nr 73 Prezesa Rady Ministrów z dnia 19 lipca 2</w:t>
      </w:r>
      <w:r w:rsidR="000D00FD" w:rsidRPr="00F41AEF">
        <w:rPr>
          <w:rFonts w:asciiTheme="minorHAnsi" w:hAnsiTheme="minorHAnsi"/>
          <w:sz w:val="22"/>
          <w:szCs w:val="22"/>
        </w:rPr>
        <w:t>007 r. z późniejszymi zmianami.</w:t>
      </w:r>
    </w:p>
    <w:p w:rsidR="009269A9" w:rsidRPr="00F41AEF" w:rsidRDefault="009269A9" w:rsidP="00F41AEF">
      <w:pPr>
        <w:spacing w:after="120"/>
        <w:jc w:val="both"/>
        <w:rPr>
          <w:rFonts w:asciiTheme="minorHAnsi" w:hAnsiTheme="minorHAnsi"/>
          <w:sz w:val="22"/>
          <w:szCs w:val="22"/>
        </w:rPr>
      </w:pPr>
    </w:p>
    <w:p w:rsidR="00CD03DA" w:rsidRPr="00F41AEF" w:rsidRDefault="00CD03DA" w:rsidP="00F41AEF">
      <w:pPr>
        <w:pStyle w:val="Akapitzlist"/>
        <w:numPr>
          <w:ilvl w:val="0"/>
          <w:numId w:val="1"/>
        </w:numPr>
        <w:spacing w:after="120" w:line="240" w:lineRule="auto"/>
        <w:contextualSpacing w:val="0"/>
        <w:jc w:val="both"/>
        <w:rPr>
          <w:b/>
        </w:rPr>
      </w:pPr>
      <w:r w:rsidRPr="00F41AEF">
        <w:rPr>
          <w:b/>
        </w:rPr>
        <w:t xml:space="preserve">Wprowadzenie Przewodniczącego Zespołu </w:t>
      </w:r>
    </w:p>
    <w:p w:rsidR="00CD03DA" w:rsidRPr="00F41AEF" w:rsidRDefault="00CD03DA" w:rsidP="00F41AEF">
      <w:pPr>
        <w:spacing w:after="120"/>
        <w:jc w:val="both"/>
        <w:rPr>
          <w:rFonts w:asciiTheme="minorHAnsi" w:hAnsiTheme="minorHAnsi"/>
          <w:sz w:val="22"/>
          <w:szCs w:val="22"/>
        </w:rPr>
      </w:pPr>
      <w:r w:rsidRPr="00F41AEF">
        <w:rPr>
          <w:rFonts w:asciiTheme="minorHAnsi" w:hAnsiTheme="minorHAnsi"/>
          <w:sz w:val="22"/>
          <w:szCs w:val="22"/>
        </w:rPr>
        <w:t>Posiedzenie otworzył Pełnomocnik Ministra Spraw Zagranicznych do spraw postępowań przed Europejskim Trybunałem Praw Człowieka (</w:t>
      </w:r>
      <w:r w:rsidR="00C40FA2" w:rsidRPr="00F41AEF">
        <w:rPr>
          <w:rFonts w:asciiTheme="minorHAnsi" w:hAnsiTheme="minorHAnsi"/>
          <w:sz w:val="22"/>
          <w:szCs w:val="22"/>
        </w:rPr>
        <w:t xml:space="preserve">„ETPC”, </w:t>
      </w:r>
      <w:r w:rsidRPr="00F41AEF">
        <w:rPr>
          <w:rFonts w:asciiTheme="minorHAnsi" w:hAnsiTheme="minorHAnsi"/>
          <w:sz w:val="22"/>
          <w:szCs w:val="22"/>
        </w:rPr>
        <w:t>„Trybunał”), który przewodniczył spotkaniu (</w:t>
      </w:r>
      <w:r w:rsidR="009269A9" w:rsidRPr="00F41AEF">
        <w:rPr>
          <w:rFonts w:asciiTheme="minorHAnsi" w:hAnsiTheme="minorHAnsi"/>
          <w:sz w:val="22"/>
          <w:szCs w:val="22"/>
        </w:rPr>
        <w:t>„</w:t>
      </w:r>
      <w:r w:rsidRPr="00F41AEF">
        <w:rPr>
          <w:rFonts w:asciiTheme="minorHAnsi" w:hAnsiTheme="minorHAnsi"/>
          <w:sz w:val="22"/>
          <w:szCs w:val="22"/>
        </w:rPr>
        <w:t>Przewodniczący</w:t>
      </w:r>
      <w:r w:rsidR="009269A9" w:rsidRPr="00F41AEF">
        <w:rPr>
          <w:rFonts w:asciiTheme="minorHAnsi" w:hAnsiTheme="minorHAnsi"/>
          <w:sz w:val="22"/>
          <w:szCs w:val="22"/>
        </w:rPr>
        <w:t>”</w:t>
      </w:r>
      <w:r w:rsidRPr="00F41AEF">
        <w:rPr>
          <w:rFonts w:asciiTheme="minorHAnsi" w:hAnsiTheme="minorHAnsi"/>
          <w:sz w:val="22"/>
          <w:szCs w:val="22"/>
        </w:rPr>
        <w:t xml:space="preserve">, </w:t>
      </w:r>
      <w:r w:rsidR="009269A9" w:rsidRPr="00F41AEF">
        <w:rPr>
          <w:rFonts w:asciiTheme="minorHAnsi" w:hAnsiTheme="minorHAnsi"/>
          <w:sz w:val="22"/>
          <w:szCs w:val="22"/>
        </w:rPr>
        <w:t>„</w:t>
      </w:r>
      <w:r w:rsidRPr="00F41AEF">
        <w:rPr>
          <w:rFonts w:asciiTheme="minorHAnsi" w:hAnsiTheme="minorHAnsi"/>
          <w:sz w:val="22"/>
          <w:szCs w:val="22"/>
        </w:rPr>
        <w:t>Pełnomocnik</w:t>
      </w:r>
      <w:r w:rsidR="009269A9" w:rsidRPr="00F41AEF">
        <w:rPr>
          <w:rFonts w:asciiTheme="minorHAnsi" w:hAnsiTheme="minorHAnsi"/>
          <w:sz w:val="22"/>
          <w:szCs w:val="22"/>
        </w:rPr>
        <w:t>”</w:t>
      </w:r>
      <w:r w:rsidRPr="00F41AEF">
        <w:rPr>
          <w:rFonts w:asciiTheme="minorHAnsi" w:hAnsiTheme="minorHAnsi"/>
          <w:sz w:val="22"/>
          <w:szCs w:val="22"/>
        </w:rPr>
        <w:t xml:space="preserve">). </w:t>
      </w:r>
    </w:p>
    <w:p w:rsidR="00AD3B2D" w:rsidRPr="00F41AEF" w:rsidRDefault="00AD3B2D" w:rsidP="00F41AEF">
      <w:pPr>
        <w:spacing w:after="120"/>
        <w:jc w:val="both"/>
        <w:rPr>
          <w:rFonts w:asciiTheme="minorHAnsi" w:hAnsiTheme="minorHAnsi"/>
          <w:sz w:val="22"/>
          <w:szCs w:val="22"/>
        </w:rPr>
      </w:pPr>
      <w:r w:rsidRPr="00F41AEF">
        <w:rPr>
          <w:rFonts w:asciiTheme="minorHAnsi" w:hAnsiTheme="minorHAnsi"/>
          <w:sz w:val="22"/>
          <w:szCs w:val="22"/>
        </w:rPr>
        <w:t xml:space="preserve">Przewodniczący poinformował, że posiedzenie Zespołu ma szczególny charakter, bowiem tradycyjnie zaproszeni na nie zostali przedstawiciele parlamentu, organizacji pozarządowych i zawodów prawniczych, celem wspólnej refleksji nad najważniejszymi zagadnieniami dotyczącymi </w:t>
      </w:r>
      <w:r w:rsidR="006E2A32" w:rsidRPr="00F41AEF">
        <w:rPr>
          <w:rFonts w:asciiTheme="minorHAnsi" w:hAnsiTheme="minorHAnsi"/>
          <w:sz w:val="22"/>
          <w:szCs w:val="22"/>
        </w:rPr>
        <w:t xml:space="preserve">wykonywania </w:t>
      </w:r>
      <w:r w:rsidRPr="00F41AEF">
        <w:rPr>
          <w:rFonts w:asciiTheme="minorHAnsi" w:hAnsiTheme="minorHAnsi"/>
          <w:sz w:val="22"/>
          <w:szCs w:val="22"/>
        </w:rPr>
        <w:t>wyroków Trybunału oraz nad priorytetami działania na przyszłość.</w:t>
      </w:r>
    </w:p>
    <w:p w:rsidR="00AD3B2D" w:rsidRPr="00F41AEF" w:rsidRDefault="00AD3B2D" w:rsidP="00F41AEF">
      <w:pPr>
        <w:spacing w:after="120"/>
        <w:jc w:val="both"/>
        <w:rPr>
          <w:rFonts w:asciiTheme="minorHAnsi" w:hAnsiTheme="minorHAnsi"/>
          <w:sz w:val="22"/>
          <w:szCs w:val="22"/>
        </w:rPr>
      </w:pPr>
      <w:r w:rsidRPr="00F41AEF">
        <w:rPr>
          <w:rFonts w:asciiTheme="minorHAnsi" w:hAnsiTheme="minorHAnsi"/>
          <w:sz w:val="22"/>
          <w:szCs w:val="22"/>
        </w:rPr>
        <w:t>Następnie przedstawił agendę Zespołu. Zachęcił jednocześnie uczestników posiedzenia do aktywnego udziału w posiedzeniu Zespołu, zapr</w:t>
      </w:r>
      <w:r w:rsidR="006E2A32" w:rsidRPr="00F41AEF">
        <w:rPr>
          <w:rFonts w:asciiTheme="minorHAnsi" w:hAnsiTheme="minorHAnsi"/>
          <w:sz w:val="22"/>
          <w:szCs w:val="22"/>
        </w:rPr>
        <w:t>osił</w:t>
      </w:r>
      <w:r w:rsidRPr="00F41AEF">
        <w:rPr>
          <w:rFonts w:asciiTheme="minorHAnsi" w:hAnsiTheme="minorHAnsi"/>
          <w:sz w:val="22"/>
          <w:szCs w:val="22"/>
        </w:rPr>
        <w:t xml:space="preserve"> do zadawania pytań i włączania się w dyskusję odnośnie do wykonywania wyroków Trybunału przez Polskę.</w:t>
      </w:r>
    </w:p>
    <w:p w:rsidR="004D2AB5" w:rsidRPr="00F41AEF" w:rsidRDefault="004D2AB5" w:rsidP="00F41AEF">
      <w:pPr>
        <w:spacing w:after="120"/>
        <w:jc w:val="both"/>
        <w:rPr>
          <w:rFonts w:asciiTheme="minorHAnsi" w:hAnsiTheme="minorHAnsi"/>
          <w:sz w:val="22"/>
          <w:szCs w:val="22"/>
        </w:rPr>
      </w:pPr>
    </w:p>
    <w:p w:rsidR="00AD3B2D" w:rsidRPr="00F41AEF" w:rsidRDefault="00AD3B2D" w:rsidP="00F41AEF">
      <w:pPr>
        <w:pStyle w:val="Akapitzlist"/>
        <w:numPr>
          <w:ilvl w:val="0"/>
          <w:numId w:val="3"/>
        </w:numPr>
        <w:spacing w:after="120" w:line="240" w:lineRule="auto"/>
        <w:contextualSpacing w:val="0"/>
        <w:rPr>
          <w:b/>
        </w:rPr>
      </w:pPr>
      <w:r w:rsidRPr="00F41AEF">
        <w:rPr>
          <w:b/>
        </w:rPr>
        <w:t>Informacja o bieżącej działalności Pełnomocnika w przedmiocie wykonywania wyroków ETPC, w tym przedstawienie dostępnych danych statystycznych za 2021 r.</w:t>
      </w:r>
    </w:p>
    <w:p w:rsidR="00AD3B2D" w:rsidRPr="00F41AEF" w:rsidRDefault="00AD3B2D" w:rsidP="00F41AEF">
      <w:pPr>
        <w:spacing w:after="120"/>
        <w:jc w:val="both"/>
        <w:rPr>
          <w:rFonts w:asciiTheme="minorHAnsi" w:eastAsiaTheme="minorHAnsi" w:hAnsiTheme="minorHAnsi"/>
          <w:sz w:val="22"/>
          <w:szCs w:val="22"/>
          <w:lang w:eastAsia="en-US"/>
        </w:rPr>
      </w:pPr>
      <w:r w:rsidRPr="00F41AEF">
        <w:rPr>
          <w:rFonts w:asciiTheme="minorHAnsi" w:eastAsiaTheme="minorHAnsi" w:hAnsiTheme="minorHAnsi"/>
          <w:sz w:val="22"/>
          <w:szCs w:val="22"/>
          <w:lang w:eastAsia="en-US"/>
        </w:rPr>
        <w:t xml:space="preserve">Pełnomocnik przedstawił zebranym dostępne dane statystyczne za 2021 r. według stanu na 17 grudnia 2021 r. </w:t>
      </w:r>
    </w:p>
    <w:p w:rsidR="00AD3B2D" w:rsidRPr="00F41AEF" w:rsidRDefault="00AD3B2D" w:rsidP="00F41AEF">
      <w:pPr>
        <w:spacing w:after="120"/>
        <w:jc w:val="both"/>
        <w:rPr>
          <w:rFonts w:asciiTheme="minorHAnsi" w:eastAsiaTheme="minorHAnsi" w:hAnsiTheme="minorHAnsi" w:cstheme="minorBidi"/>
          <w:sz w:val="22"/>
          <w:szCs w:val="22"/>
          <w:lang w:eastAsia="en-US"/>
        </w:rPr>
      </w:pPr>
      <w:r w:rsidRPr="00F41AEF">
        <w:rPr>
          <w:rFonts w:asciiTheme="minorHAnsi" w:eastAsiaTheme="minorHAnsi" w:hAnsiTheme="minorHAnsi"/>
          <w:sz w:val="22"/>
          <w:szCs w:val="22"/>
          <w:lang w:eastAsia="en-US"/>
        </w:rPr>
        <w:t>Liczba orzeczeń uznanych za wykonane w 2021 r</w:t>
      </w:r>
      <w:r w:rsidR="006E2A32" w:rsidRPr="00F41AEF">
        <w:rPr>
          <w:rFonts w:asciiTheme="minorHAnsi" w:eastAsiaTheme="minorHAnsi" w:hAnsiTheme="minorHAnsi"/>
          <w:sz w:val="22"/>
          <w:szCs w:val="22"/>
          <w:lang w:eastAsia="en-US"/>
        </w:rPr>
        <w:t>.</w:t>
      </w:r>
      <w:r w:rsidRPr="00F41AEF">
        <w:rPr>
          <w:rFonts w:asciiTheme="minorHAnsi" w:eastAsiaTheme="minorHAnsi" w:hAnsiTheme="minorHAnsi"/>
          <w:sz w:val="22"/>
          <w:szCs w:val="22"/>
          <w:lang w:eastAsia="en-US"/>
        </w:rPr>
        <w:t xml:space="preserve"> nie ulegnie już zmianie poni</w:t>
      </w:r>
      <w:r w:rsidR="006E2A32" w:rsidRPr="00F41AEF">
        <w:rPr>
          <w:rFonts w:asciiTheme="minorHAnsi" w:eastAsiaTheme="minorHAnsi" w:hAnsiTheme="minorHAnsi"/>
          <w:sz w:val="22"/>
          <w:szCs w:val="22"/>
          <w:lang w:eastAsia="en-US"/>
        </w:rPr>
        <w:t>eważ KM RE zakończył już prace na ten rok</w:t>
      </w:r>
      <w:r w:rsidR="00AF44F0" w:rsidRPr="00F41AEF">
        <w:rPr>
          <w:rFonts w:asciiTheme="minorHAnsi" w:eastAsiaTheme="minorHAnsi" w:hAnsiTheme="minorHAnsi"/>
          <w:sz w:val="22"/>
          <w:szCs w:val="22"/>
          <w:lang w:eastAsia="en-US"/>
        </w:rPr>
        <w:t xml:space="preserve">. </w:t>
      </w:r>
      <w:r w:rsidRPr="00F41AEF">
        <w:rPr>
          <w:rFonts w:asciiTheme="minorHAnsi" w:eastAsiaTheme="minorHAnsi" w:hAnsiTheme="minorHAnsi"/>
          <w:sz w:val="22"/>
          <w:szCs w:val="22"/>
          <w:lang w:eastAsia="en-US"/>
        </w:rPr>
        <w:t>Odnośnie do pozostałych danych za rok 2021 r. mogą one ulec jeszcze zmianie i będą aktualizowane w styczniu 2022 r.</w:t>
      </w:r>
    </w:p>
    <w:p w:rsidR="00AD3B2D" w:rsidRPr="00F41AEF" w:rsidRDefault="00AD3B2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lastRenderedPageBreak/>
        <w:t xml:space="preserve">W 2021 r. </w:t>
      </w:r>
      <w:r w:rsidR="006E2A32" w:rsidRPr="00F41AEF">
        <w:rPr>
          <w:rFonts w:asciiTheme="minorHAnsi" w:eastAsia="Calibri" w:hAnsiTheme="minorHAnsi"/>
          <w:sz w:val="22"/>
          <w:szCs w:val="22"/>
          <w:lang w:eastAsia="en-US"/>
        </w:rPr>
        <w:t>T</w:t>
      </w:r>
      <w:r w:rsidRPr="00F41AEF">
        <w:rPr>
          <w:rFonts w:asciiTheme="minorHAnsi" w:eastAsia="Calibri" w:hAnsiTheme="minorHAnsi"/>
          <w:sz w:val="22"/>
          <w:szCs w:val="22"/>
          <w:lang w:eastAsia="en-US"/>
        </w:rPr>
        <w:t xml:space="preserve">rybunał wydał wobec Polski </w:t>
      </w:r>
      <w:r w:rsidRPr="00F41AEF">
        <w:rPr>
          <w:rFonts w:asciiTheme="minorHAnsi" w:eastAsia="Calibri" w:hAnsiTheme="minorHAnsi"/>
          <w:bCs/>
          <w:sz w:val="22"/>
          <w:szCs w:val="22"/>
          <w:lang w:eastAsia="en-US"/>
        </w:rPr>
        <w:t>84 orzeczenia w</w:t>
      </w:r>
      <w:r w:rsidR="006E2A32" w:rsidRPr="00F41AEF">
        <w:rPr>
          <w:rFonts w:asciiTheme="minorHAnsi" w:eastAsia="Calibri" w:hAnsiTheme="minorHAnsi"/>
          <w:bCs/>
          <w:sz w:val="22"/>
          <w:szCs w:val="22"/>
          <w:lang w:eastAsia="en-US"/>
        </w:rPr>
        <w:t xml:space="preserve"> </w:t>
      </w:r>
      <w:r w:rsidRPr="00F41AEF">
        <w:rPr>
          <w:rFonts w:asciiTheme="minorHAnsi" w:eastAsia="Calibri" w:hAnsiTheme="minorHAnsi"/>
          <w:bCs/>
          <w:sz w:val="22"/>
          <w:szCs w:val="22"/>
          <w:lang w:eastAsia="en-US"/>
        </w:rPr>
        <w:t>s</w:t>
      </w:r>
      <w:r w:rsidR="006E2A32" w:rsidRPr="00F41AEF">
        <w:rPr>
          <w:rFonts w:asciiTheme="minorHAnsi" w:eastAsia="Calibri" w:hAnsiTheme="minorHAnsi"/>
          <w:bCs/>
          <w:sz w:val="22"/>
          <w:szCs w:val="22"/>
          <w:lang w:eastAsia="en-US"/>
        </w:rPr>
        <w:t>prawie</w:t>
      </w:r>
      <w:r w:rsidR="00F41AEF" w:rsidRPr="00F41AEF">
        <w:rPr>
          <w:rFonts w:asciiTheme="minorHAnsi" w:eastAsia="Calibri" w:hAnsiTheme="minorHAnsi"/>
          <w:bCs/>
          <w:sz w:val="22"/>
          <w:szCs w:val="22"/>
          <w:lang w:eastAsia="en-US"/>
        </w:rPr>
        <w:t xml:space="preserve"> 213</w:t>
      </w:r>
      <w:r w:rsidRPr="00F41AEF">
        <w:rPr>
          <w:rFonts w:asciiTheme="minorHAnsi" w:eastAsia="Calibri" w:hAnsiTheme="minorHAnsi"/>
          <w:bCs/>
          <w:sz w:val="22"/>
          <w:szCs w:val="22"/>
          <w:lang w:eastAsia="en-US"/>
        </w:rPr>
        <w:t xml:space="preserve"> skarg</w:t>
      </w:r>
      <w:r w:rsidRPr="00F41AEF">
        <w:rPr>
          <w:rFonts w:asciiTheme="minorHAnsi" w:eastAsia="Calibri" w:hAnsiTheme="minorHAnsi"/>
          <w:sz w:val="22"/>
          <w:szCs w:val="22"/>
          <w:lang w:eastAsia="en-US"/>
        </w:rPr>
        <w:t xml:space="preserve">, w tym: </w:t>
      </w:r>
      <w:r w:rsidRPr="00F41AEF">
        <w:rPr>
          <w:rFonts w:asciiTheme="minorHAnsi" w:eastAsia="Calibri" w:hAnsiTheme="minorHAnsi"/>
          <w:bCs/>
          <w:sz w:val="22"/>
          <w:szCs w:val="22"/>
          <w:lang w:eastAsia="en-US"/>
        </w:rPr>
        <w:t>21</w:t>
      </w:r>
      <w:r w:rsidRPr="00F41AEF">
        <w:rPr>
          <w:rFonts w:asciiTheme="minorHAnsi" w:eastAsia="Calibri" w:hAnsiTheme="minorHAnsi"/>
          <w:sz w:val="22"/>
          <w:szCs w:val="22"/>
          <w:lang w:eastAsia="en-US"/>
        </w:rPr>
        <w:t xml:space="preserve"> wyroków </w:t>
      </w:r>
      <w:proofErr w:type="spellStart"/>
      <w:r w:rsidRPr="00F41AEF">
        <w:rPr>
          <w:rFonts w:asciiTheme="minorHAnsi" w:eastAsia="Calibri" w:hAnsiTheme="minorHAnsi"/>
          <w:sz w:val="22"/>
          <w:szCs w:val="22"/>
          <w:lang w:eastAsia="en-US"/>
        </w:rPr>
        <w:t>ws</w:t>
      </w:r>
      <w:proofErr w:type="spellEnd"/>
      <w:r w:rsidRPr="00F41AEF">
        <w:rPr>
          <w:rFonts w:asciiTheme="minorHAnsi" w:eastAsia="Calibri" w:hAnsiTheme="minorHAnsi"/>
          <w:sz w:val="22"/>
          <w:szCs w:val="22"/>
          <w:lang w:eastAsia="en-US"/>
        </w:rPr>
        <w:t xml:space="preserve">. 26 skarg oraz </w:t>
      </w:r>
      <w:r w:rsidRPr="00F41AEF">
        <w:rPr>
          <w:rFonts w:asciiTheme="minorHAnsi" w:eastAsia="Calibri" w:hAnsiTheme="minorHAnsi"/>
          <w:bCs/>
          <w:sz w:val="22"/>
          <w:szCs w:val="22"/>
          <w:lang w:eastAsia="en-US"/>
        </w:rPr>
        <w:t xml:space="preserve">63 </w:t>
      </w:r>
      <w:r w:rsidRPr="00F41AEF">
        <w:rPr>
          <w:rFonts w:asciiTheme="minorHAnsi" w:eastAsia="Calibri" w:hAnsiTheme="minorHAnsi"/>
          <w:sz w:val="22"/>
          <w:szCs w:val="22"/>
          <w:lang w:eastAsia="en-US"/>
        </w:rPr>
        <w:t xml:space="preserve">decyzje </w:t>
      </w:r>
      <w:proofErr w:type="spellStart"/>
      <w:r w:rsidRPr="00F41AEF">
        <w:rPr>
          <w:rFonts w:asciiTheme="minorHAnsi" w:eastAsia="Calibri" w:hAnsiTheme="minorHAnsi"/>
          <w:sz w:val="22"/>
          <w:szCs w:val="22"/>
          <w:lang w:eastAsia="en-US"/>
        </w:rPr>
        <w:t>ws</w:t>
      </w:r>
      <w:proofErr w:type="spellEnd"/>
      <w:r w:rsidRPr="00F41AEF">
        <w:rPr>
          <w:rFonts w:asciiTheme="minorHAnsi" w:eastAsia="Calibri" w:hAnsiTheme="minorHAnsi"/>
          <w:sz w:val="22"/>
          <w:szCs w:val="22"/>
          <w:lang w:eastAsia="en-US"/>
        </w:rPr>
        <w:t>. 187 skarg. W tej liczbie było:</w:t>
      </w:r>
    </w:p>
    <w:p w:rsidR="00AD3B2D" w:rsidRPr="00F41AEF" w:rsidRDefault="00AD3B2D" w:rsidP="00F41AEF">
      <w:pPr>
        <w:pStyle w:val="Akapitzlist"/>
        <w:numPr>
          <w:ilvl w:val="0"/>
          <w:numId w:val="12"/>
        </w:numPr>
        <w:spacing w:after="120" w:line="240" w:lineRule="auto"/>
        <w:contextualSpacing w:val="0"/>
        <w:jc w:val="both"/>
        <w:rPr>
          <w:rFonts w:eastAsia="Calibri"/>
        </w:rPr>
      </w:pPr>
      <w:r w:rsidRPr="00F41AEF">
        <w:rPr>
          <w:rFonts w:eastAsia="Calibri"/>
          <w:bCs/>
        </w:rPr>
        <w:t>28 orzeczeń korzystnych</w:t>
      </w:r>
      <w:r w:rsidRPr="00F41AEF">
        <w:rPr>
          <w:rFonts w:eastAsia="Calibri"/>
        </w:rPr>
        <w:t xml:space="preserve"> dla rządu </w:t>
      </w:r>
      <w:proofErr w:type="spellStart"/>
      <w:r w:rsidRPr="00F41AEF">
        <w:rPr>
          <w:rFonts w:eastAsia="Calibri"/>
        </w:rPr>
        <w:t>ws</w:t>
      </w:r>
      <w:proofErr w:type="spellEnd"/>
      <w:r w:rsidRPr="00F41AEF">
        <w:rPr>
          <w:rFonts w:eastAsia="Calibri"/>
        </w:rPr>
        <w:t xml:space="preserve">. </w:t>
      </w:r>
      <w:r w:rsidRPr="00F41AEF">
        <w:rPr>
          <w:rFonts w:eastAsia="Calibri"/>
          <w:bCs/>
        </w:rPr>
        <w:t xml:space="preserve">32 </w:t>
      </w:r>
      <w:r w:rsidRPr="00F41AEF">
        <w:rPr>
          <w:rFonts w:eastAsia="Calibri"/>
        </w:rPr>
        <w:t>skarg (3 wyroki stwierdzające brak naruszenia, 18 decyzji o niedopuszczalności i 7 decyzji skreślających zakomunikowane rządowi skargi z przyczyn formalnych)</w:t>
      </w:r>
      <w:r w:rsidR="00AF44F0" w:rsidRPr="00F41AEF">
        <w:rPr>
          <w:rFonts w:eastAsia="Calibri"/>
        </w:rPr>
        <w:t>,</w:t>
      </w:r>
      <w:r w:rsidRPr="00F41AEF">
        <w:rPr>
          <w:rFonts w:eastAsia="Calibri"/>
        </w:rPr>
        <w:t xml:space="preserve"> </w:t>
      </w:r>
    </w:p>
    <w:p w:rsidR="00AD3B2D" w:rsidRPr="00F41AEF" w:rsidRDefault="00AD3B2D" w:rsidP="00F41AEF">
      <w:pPr>
        <w:pStyle w:val="Akapitzlist"/>
        <w:numPr>
          <w:ilvl w:val="0"/>
          <w:numId w:val="12"/>
        </w:numPr>
        <w:spacing w:after="120" w:line="240" w:lineRule="auto"/>
        <w:contextualSpacing w:val="0"/>
        <w:jc w:val="both"/>
        <w:rPr>
          <w:rFonts w:eastAsia="Calibri"/>
          <w:bCs/>
        </w:rPr>
      </w:pPr>
      <w:r w:rsidRPr="00F41AEF">
        <w:rPr>
          <w:rFonts w:eastAsia="Calibri"/>
          <w:bCs/>
        </w:rPr>
        <w:t>55 orzeczeń niekorzystnych</w:t>
      </w:r>
      <w:r w:rsidRPr="00F41AEF">
        <w:rPr>
          <w:rFonts w:eastAsia="Calibri"/>
        </w:rPr>
        <w:t xml:space="preserve"> dla rządu </w:t>
      </w:r>
      <w:proofErr w:type="spellStart"/>
      <w:r w:rsidRPr="00F41AEF">
        <w:rPr>
          <w:rFonts w:eastAsia="Calibri"/>
        </w:rPr>
        <w:t>ws</w:t>
      </w:r>
      <w:proofErr w:type="spellEnd"/>
      <w:r w:rsidRPr="00F41AEF">
        <w:rPr>
          <w:rFonts w:eastAsia="Calibri"/>
        </w:rPr>
        <w:t xml:space="preserve">. </w:t>
      </w:r>
      <w:r w:rsidRPr="00F41AEF">
        <w:rPr>
          <w:rFonts w:eastAsia="Calibri"/>
          <w:bCs/>
        </w:rPr>
        <w:t xml:space="preserve">180 </w:t>
      </w:r>
      <w:r w:rsidRPr="00F41AEF">
        <w:rPr>
          <w:rFonts w:eastAsia="Calibri"/>
        </w:rPr>
        <w:t xml:space="preserve">skarg (18 wyroków </w:t>
      </w:r>
      <w:proofErr w:type="spellStart"/>
      <w:r w:rsidRPr="00F41AEF">
        <w:rPr>
          <w:rFonts w:eastAsia="Calibri"/>
        </w:rPr>
        <w:t>ws</w:t>
      </w:r>
      <w:proofErr w:type="spellEnd"/>
      <w:r w:rsidRPr="00F41AEF">
        <w:rPr>
          <w:rFonts w:eastAsia="Calibri"/>
        </w:rPr>
        <w:t xml:space="preserve">. naruszenia, 26 decyzji </w:t>
      </w:r>
      <w:proofErr w:type="spellStart"/>
      <w:r w:rsidRPr="00F41AEF">
        <w:rPr>
          <w:rFonts w:eastAsia="Calibri"/>
        </w:rPr>
        <w:t>ws</w:t>
      </w:r>
      <w:proofErr w:type="spellEnd"/>
      <w:r w:rsidRPr="00F41AEF">
        <w:rPr>
          <w:rFonts w:eastAsia="Calibri"/>
        </w:rPr>
        <w:t xml:space="preserve">. ugody i 11 decyzji </w:t>
      </w:r>
      <w:proofErr w:type="spellStart"/>
      <w:r w:rsidRPr="00F41AEF">
        <w:rPr>
          <w:rFonts w:eastAsia="Calibri"/>
        </w:rPr>
        <w:t>ws</w:t>
      </w:r>
      <w:proofErr w:type="spellEnd"/>
      <w:r w:rsidRPr="00F41AEF">
        <w:rPr>
          <w:rFonts w:eastAsia="Calibri"/>
        </w:rPr>
        <w:t>. deklaracji jednostronnych)</w:t>
      </w:r>
      <w:r w:rsidR="00AF44F0" w:rsidRPr="00F41AEF">
        <w:rPr>
          <w:rFonts w:eastAsia="Calibri"/>
        </w:rPr>
        <w:t>,</w:t>
      </w:r>
      <w:r w:rsidRPr="00F41AEF">
        <w:rPr>
          <w:rFonts w:eastAsia="Calibri"/>
        </w:rPr>
        <w:t xml:space="preserve"> </w:t>
      </w:r>
    </w:p>
    <w:p w:rsidR="00AD3B2D" w:rsidRPr="00F41AEF" w:rsidRDefault="00AD3B2D" w:rsidP="00F41AEF">
      <w:pPr>
        <w:pStyle w:val="Akapitzlist"/>
        <w:numPr>
          <w:ilvl w:val="0"/>
          <w:numId w:val="12"/>
        </w:numPr>
        <w:spacing w:after="120" w:line="240" w:lineRule="auto"/>
        <w:contextualSpacing w:val="0"/>
        <w:jc w:val="both"/>
        <w:rPr>
          <w:rFonts w:eastAsia="Calibri"/>
        </w:rPr>
      </w:pPr>
      <w:r w:rsidRPr="00F41AEF">
        <w:rPr>
          <w:rFonts w:eastAsia="Calibri"/>
          <w:bCs/>
        </w:rPr>
        <w:t>1 decyzja częściowo korzystna</w:t>
      </w:r>
      <w:r w:rsidRPr="00F41AEF">
        <w:rPr>
          <w:rFonts w:eastAsia="Calibri"/>
        </w:rPr>
        <w:t xml:space="preserve"> (skreślenie sprawy z listy) i </w:t>
      </w:r>
      <w:r w:rsidRPr="00F41AEF">
        <w:rPr>
          <w:rFonts w:eastAsia="Calibri"/>
          <w:bCs/>
        </w:rPr>
        <w:t>częściowo niekorzystna</w:t>
      </w:r>
      <w:r w:rsidRPr="00F41AEF">
        <w:rPr>
          <w:rFonts w:eastAsia="Calibri"/>
        </w:rPr>
        <w:t xml:space="preserve"> (zasądzenie kosztów dla skarżącego)</w:t>
      </w:r>
      <w:r w:rsidR="00AF44F0" w:rsidRPr="00F41AEF">
        <w:rPr>
          <w:rFonts w:eastAsia="Calibri"/>
        </w:rPr>
        <w:t>.</w:t>
      </w:r>
      <w:r w:rsidRPr="00F41AEF">
        <w:rPr>
          <w:rFonts w:eastAsia="Calibri"/>
          <w:bCs/>
        </w:rPr>
        <w:t xml:space="preserve"> </w:t>
      </w:r>
    </w:p>
    <w:p w:rsidR="00AD3B2D" w:rsidRPr="00F41AEF" w:rsidRDefault="00AD3B2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Przedstawiając bardziej szczegółowo</w:t>
      </w:r>
      <w:r w:rsidR="00AF44F0" w:rsidRPr="00F41AEF">
        <w:rPr>
          <w:rFonts w:asciiTheme="minorHAnsi" w:eastAsia="Calibri" w:hAnsiTheme="minorHAnsi"/>
          <w:sz w:val="22"/>
          <w:szCs w:val="22"/>
          <w:lang w:eastAsia="en-US"/>
        </w:rPr>
        <w:t xml:space="preserve"> Pełnomocnik wskazał, że </w:t>
      </w:r>
      <w:r w:rsidRPr="00F41AEF">
        <w:rPr>
          <w:rFonts w:asciiTheme="minorHAnsi" w:eastAsia="Calibri" w:hAnsiTheme="minorHAnsi"/>
          <w:sz w:val="22"/>
          <w:szCs w:val="22"/>
          <w:lang w:eastAsia="en-US"/>
        </w:rPr>
        <w:t xml:space="preserve">wśród </w:t>
      </w:r>
      <w:r w:rsidRPr="00F41AEF">
        <w:rPr>
          <w:rFonts w:asciiTheme="minorHAnsi" w:eastAsia="Calibri" w:hAnsiTheme="minorHAnsi"/>
          <w:bCs/>
          <w:sz w:val="22"/>
          <w:szCs w:val="22"/>
          <w:lang w:eastAsia="en-US"/>
        </w:rPr>
        <w:t>21 wyroków</w:t>
      </w:r>
      <w:r w:rsidRPr="00F41AEF">
        <w:rPr>
          <w:rFonts w:asciiTheme="minorHAnsi" w:eastAsia="Calibri" w:hAnsiTheme="minorHAnsi"/>
          <w:sz w:val="22"/>
          <w:szCs w:val="22"/>
          <w:lang w:eastAsia="en-US"/>
        </w:rPr>
        <w:t xml:space="preserve"> wydanych przez ETPC było:</w:t>
      </w:r>
    </w:p>
    <w:p w:rsidR="00AD3B2D" w:rsidRPr="00F41AEF" w:rsidRDefault="00AD3B2D" w:rsidP="00F41AEF">
      <w:pPr>
        <w:pStyle w:val="Akapitzlist"/>
        <w:numPr>
          <w:ilvl w:val="0"/>
          <w:numId w:val="13"/>
        </w:numPr>
        <w:spacing w:after="120" w:line="240" w:lineRule="auto"/>
        <w:contextualSpacing w:val="0"/>
        <w:jc w:val="both"/>
        <w:rPr>
          <w:rFonts w:eastAsia="Calibri"/>
        </w:rPr>
      </w:pPr>
      <w:r w:rsidRPr="00F41AEF">
        <w:rPr>
          <w:rFonts w:eastAsia="Calibri"/>
          <w:bCs/>
        </w:rPr>
        <w:t xml:space="preserve">18 </w:t>
      </w:r>
      <w:r w:rsidRPr="00F41AEF">
        <w:rPr>
          <w:rFonts w:eastAsia="Calibri"/>
        </w:rPr>
        <w:t xml:space="preserve">wyroków stwierdzających przynajmniej jedno </w:t>
      </w:r>
      <w:r w:rsidRPr="00F41AEF">
        <w:rPr>
          <w:rFonts w:eastAsia="Calibri"/>
          <w:bCs/>
        </w:rPr>
        <w:t>naruszenie</w:t>
      </w:r>
      <w:r w:rsidRPr="00F41AEF">
        <w:rPr>
          <w:rFonts w:eastAsia="Calibri"/>
        </w:rPr>
        <w:t xml:space="preserve"> Konwencji przez Polskę </w:t>
      </w:r>
      <w:proofErr w:type="spellStart"/>
      <w:r w:rsidRPr="00F41AEF">
        <w:rPr>
          <w:rFonts w:eastAsia="Calibri"/>
        </w:rPr>
        <w:t>ws</w:t>
      </w:r>
      <w:proofErr w:type="spellEnd"/>
      <w:r w:rsidRPr="00F41AEF">
        <w:rPr>
          <w:rFonts w:eastAsia="Calibri"/>
        </w:rPr>
        <w:t>. 23 skarg,</w:t>
      </w:r>
    </w:p>
    <w:p w:rsidR="00AD3B2D" w:rsidRPr="00F41AEF" w:rsidRDefault="00AD3B2D" w:rsidP="00F41AEF">
      <w:pPr>
        <w:pStyle w:val="Akapitzlist"/>
        <w:numPr>
          <w:ilvl w:val="0"/>
          <w:numId w:val="13"/>
        </w:numPr>
        <w:spacing w:after="120" w:line="240" w:lineRule="auto"/>
        <w:contextualSpacing w:val="0"/>
        <w:jc w:val="both"/>
        <w:rPr>
          <w:rFonts w:eastAsia="Calibri"/>
        </w:rPr>
      </w:pPr>
      <w:r w:rsidRPr="00F41AEF">
        <w:rPr>
          <w:rFonts w:eastAsia="Calibri"/>
          <w:bCs/>
        </w:rPr>
        <w:t>3</w:t>
      </w:r>
      <w:r w:rsidRPr="00F41AEF">
        <w:rPr>
          <w:rFonts w:eastAsia="Calibri"/>
        </w:rPr>
        <w:t xml:space="preserve"> wyroki stwierdzające brak jakiegokolwiek naruszenia Konwencji przez Polskę </w:t>
      </w:r>
      <w:proofErr w:type="spellStart"/>
      <w:r w:rsidRPr="00F41AEF">
        <w:rPr>
          <w:rFonts w:eastAsia="Calibri"/>
        </w:rPr>
        <w:t>ws</w:t>
      </w:r>
      <w:proofErr w:type="spellEnd"/>
      <w:r w:rsidRPr="00F41AEF">
        <w:rPr>
          <w:rFonts w:eastAsia="Calibri"/>
        </w:rPr>
        <w:t xml:space="preserve">. 3 skarg </w:t>
      </w:r>
    </w:p>
    <w:p w:rsidR="00AD3B2D" w:rsidRPr="00F41AEF" w:rsidRDefault="00AD3B2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Wśród </w:t>
      </w:r>
      <w:r w:rsidRPr="00F41AEF">
        <w:rPr>
          <w:rFonts w:asciiTheme="minorHAnsi" w:eastAsia="Calibri" w:hAnsiTheme="minorHAnsi"/>
          <w:bCs/>
          <w:sz w:val="22"/>
          <w:szCs w:val="22"/>
          <w:lang w:eastAsia="en-US"/>
        </w:rPr>
        <w:t>63 decyzji</w:t>
      </w:r>
      <w:r w:rsidRPr="00F41AEF">
        <w:rPr>
          <w:rFonts w:asciiTheme="minorHAnsi" w:eastAsia="Calibri" w:hAnsiTheme="minorHAnsi"/>
          <w:sz w:val="22"/>
          <w:szCs w:val="22"/>
          <w:lang w:eastAsia="en-US"/>
        </w:rPr>
        <w:t xml:space="preserve"> było:</w:t>
      </w:r>
    </w:p>
    <w:p w:rsidR="00AD3B2D" w:rsidRPr="00F41AEF" w:rsidRDefault="00AD3B2D" w:rsidP="00F41AEF">
      <w:pPr>
        <w:pStyle w:val="Akapitzlist"/>
        <w:numPr>
          <w:ilvl w:val="0"/>
          <w:numId w:val="14"/>
        </w:numPr>
        <w:spacing w:after="120" w:line="240" w:lineRule="auto"/>
        <w:contextualSpacing w:val="0"/>
        <w:jc w:val="both"/>
        <w:rPr>
          <w:rFonts w:eastAsia="Calibri"/>
        </w:rPr>
      </w:pPr>
      <w:r w:rsidRPr="00F41AEF">
        <w:rPr>
          <w:rFonts w:eastAsia="Calibri"/>
          <w:bCs/>
        </w:rPr>
        <w:t xml:space="preserve">18 </w:t>
      </w:r>
      <w:r w:rsidRPr="00F41AEF">
        <w:rPr>
          <w:rFonts w:eastAsia="Calibri"/>
        </w:rPr>
        <w:t xml:space="preserve">decyzji o </w:t>
      </w:r>
      <w:r w:rsidRPr="00F41AEF">
        <w:rPr>
          <w:rFonts w:eastAsia="Calibri"/>
          <w:bCs/>
        </w:rPr>
        <w:t>niedopuszczalności</w:t>
      </w:r>
      <w:r w:rsidRPr="00F41AEF">
        <w:rPr>
          <w:rFonts w:eastAsia="Calibri"/>
        </w:rPr>
        <w:t xml:space="preserve"> 22 skarg, w tym </w:t>
      </w:r>
      <w:r w:rsidRPr="00F41AEF">
        <w:rPr>
          <w:rFonts w:eastAsia="Calibri"/>
          <w:bCs/>
        </w:rPr>
        <w:t>14</w:t>
      </w:r>
      <w:r w:rsidRPr="00F41AEF">
        <w:rPr>
          <w:rFonts w:eastAsia="Calibri"/>
        </w:rPr>
        <w:t xml:space="preserve"> decyzji o niedopuszczalności zakomunikowanych skarg </w:t>
      </w:r>
      <w:r w:rsidR="00F41AEF">
        <w:rPr>
          <w:rFonts w:eastAsia="Calibri"/>
        </w:rPr>
        <w:t>wydanych po obserwacjach rządu,</w:t>
      </w:r>
    </w:p>
    <w:p w:rsidR="00AD3B2D" w:rsidRPr="00F41AEF" w:rsidRDefault="00AD3B2D" w:rsidP="00F41AEF">
      <w:pPr>
        <w:pStyle w:val="Akapitzlist"/>
        <w:numPr>
          <w:ilvl w:val="0"/>
          <w:numId w:val="14"/>
        </w:numPr>
        <w:spacing w:after="120" w:line="240" w:lineRule="auto"/>
        <w:contextualSpacing w:val="0"/>
        <w:jc w:val="both"/>
        <w:rPr>
          <w:rFonts w:eastAsia="Calibri"/>
        </w:rPr>
      </w:pPr>
      <w:r w:rsidRPr="00F41AEF">
        <w:rPr>
          <w:rFonts w:eastAsia="Calibri"/>
          <w:bCs/>
        </w:rPr>
        <w:t>26</w:t>
      </w:r>
      <w:r w:rsidRPr="00F41AEF">
        <w:rPr>
          <w:rFonts w:eastAsia="Calibri"/>
        </w:rPr>
        <w:t xml:space="preserve"> decyzji zatwierdzających </w:t>
      </w:r>
      <w:r w:rsidRPr="00F41AEF">
        <w:rPr>
          <w:rFonts w:eastAsia="Calibri"/>
          <w:bCs/>
        </w:rPr>
        <w:t>ugody</w:t>
      </w:r>
      <w:r w:rsidR="00F41AEF">
        <w:rPr>
          <w:rFonts w:eastAsia="Calibri"/>
        </w:rPr>
        <w:t xml:space="preserve"> w 102 skargach,</w:t>
      </w:r>
    </w:p>
    <w:p w:rsidR="00AD3B2D" w:rsidRPr="00F41AEF" w:rsidRDefault="00AD3B2D" w:rsidP="00F41AEF">
      <w:pPr>
        <w:pStyle w:val="Akapitzlist"/>
        <w:numPr>
          <w:ilvl w:val="0"/>
          <w:numId w:val="14"/>
        </w:numPr>
        <w:spacing w:after="120" w:line="240" w:lineRule="auto"/>
        <w:contextualSpacing w:val="0"/>
        <w:jc w:val="both"/>
        <w:rPr>
          <w:rFonts w:eastAsia="Calibri"/>
        </w:rPr>
      </w:pPr>
      <w:r w:rsidRPr="00F41AEF">
        <w:rPr>
          <w:rFonts w:eastAsia="Calibri"/>
          <w:bCs/>
        </w:rPr>
        <w:t>11</w:t>
      </w:r>
      <w:r w:rsidRPr="00F41AEF">
        <w:rPr>
          <w:rFonts w:eastAsia="Calibri"/>
        </w:rPr>
        <w:t xml:space="preserve"> decyzji zatwierdzających </w:t>
      </w:r>
      <w:r w:rsidRPr="00F41AEF">
        <w:rPr>
          <w:rFonts w:eastAsia="Calibri"/>
          <w:bCs/>
        </w:rPr>
        <w:t>deklaracje jednostronne</w:t>
      </w:r>
      <w:r w:rsidR="00F41AEF">
        <w:rPr>
          <w:rFonts w:eastAsia="Calibri"/>
        </w:rPr>
        <w:t xml:space="preserve"> rządu w 55 skargach,</w:t>
      </w:r>
    </w:p>
    <w:p w:rsidR="00AD3B2D" w:rsidRPr="00F41AEF" w:rsidRDefault="00AD3B2D" w:rsidP="00F41AEF">
      <w:pPr>
        <w:pStyle w:val="Akapitzlist"/>
        <w:numPr>
          <w:ilvl w:val="0"/>
          <w:numId w:val="14"/>
        </w:numPr>
        <w:spacing w:after="120" w:line="240" w:lineRule="auto"/>
        <w:contextualSpacing w:val="0"/>
        <w:jc w:val="both"/>
        <w:rPr>
          <w:rFonts w:eastAsia="Calibri"/>
        </w:rPr>
      </w:pPr>
      <w:r w:rsidRPr="00F41AEF">
        <w:rPr>
          <w:rFonts w:eastAsia="Calibri"/>
          <w:bCs/>
        </w:rPr>
        <w:t>7</w:t>
      </w:r>
      <w:r w:rsidRPr="00F41AEF">
        <w:rPr>
          <w:rFonts w:eastAsia="Calibri"/>
        </w:rPr>
        <w:t xml:space="preserve"> decyzji skreślających z przyczyn formalnych zakomunikowane rządowi skargi, w tym 4 decyzje skreślające skargi z powodu niepodtrzymywania ich przez skarżących po przedstawieniu obserwacji przez rząd,</w:t>
      </w:r>
    </w:p>
    <w:p w:rsidR="00AD3B2D" w:rsidRPr="00F41AEF" w:rsidRDefault="00AD3B2D" w:rsidP="00F41AEF">
      <w:pPr>
        <w:pStyle w:val="Akapitzlist"/>
        <w:numPr>
          <w:ilvl w:val="0"/>
          <w:numId w:val="14"/>
        </w:numPr>
        <w:spacing w:after="120" w:line="240" w:lineRule="auto"/>
        <w:contextualSpacing w:val="0"/>
        <w:jc w:val="both"/>
        <w:rPr>
          <w:rFonts w:eastAsia="Calibri"/>
        </w:rPr>
      </w:pPr>
      <w:r w:rsidRPr="00F41AEF">
        <w:rPr>
          <w:rFonts w:eastAsia="Calibri"/>
          <w:bCs/>
        </w:rPr>
        <w:t>1</w:t>
      </w:r>
      <w:r w:rsidRPr="00F41AEF">
        <w:rPr>
          <w:rFonts w:eastAsia="Calibri"/>
        </w:rPr>
        <w:t xml:space="preserve"> decyzja inna (skreślająca skargę z powodu braku potrzeby dalszego jej badania z zasądzeniem kosztów na rzecz skarżącego).</w:t>
      </w:r>
    </w:p>
    <w:p w:rsidR="00AD3B2D" w:rsidRPr="00F41AEF" w:rsidRDefault="00AD3B2D" w:rsidP="00F41AEF">
      <w:pPr>
        <w:spacing w:after="120"/>
        <w:jc w:val="both"/>
        <w:rPr>
          <w:rFonts w:asciiTheme="minorHAnsi" w:eastAsia="Calibri" w:hAnsiTheme="minorHAnsi"/>
          <w:sz w:val="22"/>
          <w:szCs w:val="22"/>
        </w:rPr>
      </w:pPr>
      <w:r w:rsidRPr="00F41AEF">
        <w:rPr>
          <w:rFonts w:asciiTheme="minorHAnsi" w:eastAsia="Calibri" w:hAnsiTheme="minorHAnsi"/>
          <w:sz w:val="22"/>
          <w:szCs w:val="22"/>
        </w:rPr>
        <w:t xml:space="preserve">W porównaniu </w:t>
      </w:r>
      <w:r w:rsidR="006E2A32" w:rsidRPr="00F41AEF">
        <w:rPr>
          <w:rFonts w:asciiTheme="minorHAnsi" w:eastAsia="Calibri" w:hAnsiTheme="minorHAnsi"/>
          <w:sz w:val="22"/>
          <w:szCs w:val="22"/>
        </w:rPr>
        <w:t xml:space="preserve">rokiem 2020 </w:t>
      </w:r>
      <w:r w:rsidRPr="00F41AEF">
        <w:rPr>
          <w:rFonts w:asciiTheme="minorHAnsi" w:eastAsia="Calibri" w:hAnsiTheme="minorHAnsi"/>
          <w:sz w:val="22"/>
          <w:szCs w:val="22"/>
        </w:rPr>
        <w:t>liczba orzeczeń wydanych przez Trybunał wzrosła (jak</w:t>
      </w:r>
      <w:r w:rsidR="00AF44F0" w:rsidRPr="00F41AEF">
        <w:rPr>
          <w:rFonts w:asciiTheme="minorHAnsi" w:eastAsia="Calibri" w:hAnsiTheme="minorHAnsi"/>
          <w:sz w:val="22"/>
          <w:szCs w:val="22"/>
        </w:rPr>
        <w:t xml:space="preserve"> dotychczas</w:t>
      </w:r>
      <w:r w:rsidRPr="00F41AEF">
        <w:rPr>
          <w:rFonts w:asciiTheme="minorHAnsi" w:eastAsia="Calibri" w:hAnsiTheme="minorHAnsi"/>
          <w:sz w:val="22"/>
          <w:szCs w:val="22"/>
        </w:rPr>
        <w:t>) o 22 orzeczenia. Liczba wyroków jest na podobnym poziom</w:t>
      </w:r>
      <w:r w:rsidR="00AF44F0" w:rsidRPr="00F41AEF">
        <w:rPr>
          <w:rFonts w:asciiTheme="minorHAnsi" w:eastAsia="Calibri" w:hAnsiTheme="minorHAnsi"/>
          <w:sz w:val="22"/>
          <w:szCs w:val="22"/>
        </w:rPr>
        <w:t>ie (w 2020 r. było ich 19, obecnie</w:t>
      </w:r>
      <w:r w:rsidRPr="00F41AEF">
        <w:rPr>
          <w:rFonts w:asciiTheme="minorHAnsi" w:eastAsia="Calibri" w:hAnsiTheme="minorHAnsi"/>
          <w:sz w:val="22"/>
          <w:szCs w:val="22"/>
        </w:rPr>
        <w:t xml:space="preserve"> 21). Na uwagę zasługuje wzrost produktywności Trybunału, jeśli chodzi o decyzje, obecnie było o 20 więcej decyzji i o 110 więcej skarg rozstrzygniętych decyzjami. Generalnie jednak pod względem liczby wydanych orzeczeń sytuacja w 2021 r. była na podobnym poziomie jak w ciągu ostatnich kilku lat.</w:t>
      </w:r>
    </w:p>
    <w:p w:rsidR="00AD3B2D" w:rsidRPr="00F41AEF" w:rsidRDefault="00AD3B2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Jeśli chodzi o prowadzone w 2021 r. postępowania przed ETPC, Rząd otrzymał:</w:t>
      </w:r>
    </w:p>
    <w:p w:rsidR="00AD3B2D" w:rsidRPr="00F41AEF" w:rsidRDefault="00AD3B2D" w:rsidP="00F41AEF">
      <w:pPr>
        <w:pStyle w:val="Akapitzlist"/>
        <w:numPr>
          <w:ilvl w:val="0"/>
          <w:numId w:val="17"/>
        </w:numPr>
        <w:spacing w:after="120" w:line="240" w:lineRule="auto"/>
        <w:contextualSpacing w:val="0"/>
        <w:jc w:val="both"/>
        <w:rPr>
          <w:rFonts w:eastAsia="Calibri"/>
        </w:rPr>
      </w:pPr>
      <w:r w:rsidRPr="00F41AEF">
        <w:rPr>
          <w:rFonts w:eastAsia="Calibri"/>
          <w:bCs/>
        </w:rPr>
        <w:t xml:space="preserve">278 </w:t>
      </w:r>
      <w:r w:rsidRPr="00F41AEF">
        <w:rPr>
          <w:rFonts w:eastAsia="Calibri"/>
        </w:rPr>
        <w:t xml:space="preserve">nowych zakomunikowanych przez Trybunał skarg w procedurze skargowej </w:t>
      </w:r>
    </w:p>
    <w:p w:rsidR="00AD3B2D" w:rsidRPr="00F41AEF" w:rsidRDefault="00AD3B2D" w:rsidP="00F41AEF">
      <w:pPr>
        <w:pStyle w:val="Akapitzlist"/>
        <w:numPr>
          <w:ilvl w:val="0"/>
          <w:numId w:val="17"/>
        </w:numPr>
        <w:spacing w:after="120" w:line="240" w:lineRule="auto"/>
        <w:contextualSpacing w:val="0"/>
        <w:jc w:val="both"/>
        <w:rPr>
          <w:rFonts w:eastAsia="Calibri"/>
        </w:rPr>
      </w:pPr>
      <w:r w:rsidRPr="00F41AEF">
        <w:rPr>
          <w:rFonts w:eastAsia="Calibri"/>
          <w:bCs/>
        </w:rPr>
        <w:t>45 zarządzeń tymczasowych</w:t>
      </w:r>
      <w:r w:rsidRPr="00F41AEF">
        <w:rPr>
          <w:rFonts w:eastAsia="Calibri"/>
        </w:rPr>
        <w:t xml:space="preserve"> </w:t>
      </w:r>
      <w:proofErr w:type="spellStart"/>
      <w:r w:rsidRPr="00F41AEF">
        <w:rPr>
          <w:rFonts w:eastAsia="Calibri"/>
        </w:rPr>
        <w:t>ws</w:t>
      </w:r>
      <w:proofErr w:type="spellEnd"/>
      <w:r w:rsidRPr="00F41AEF">
        <w:rPr>
          <w:rFonts w:eastAsia="Calibri"/>
        </w:rPr>
        <w:t xml:space="preserve">. </w:t>
      </w:r>
      <w:r w:rsidRPr="00F41AEF">
        <w:rPr>
          <w:rFonts w:eastAsia="Calibri"/>
          <w:bCs/>
        </w:rPr>
        <w:t>145 skarżących</w:t>
      </w:r>
      <w:r w:rsidRPr="00F41AEF">
        <w:rPr>
          <w:rFonts w:eastAsia="Calibri"/>
        </w:rPr>
        <w:t>.</w:t>
      </w:r>
    </w:p>
    <w:p w:rsidR="00AD3B2D" w:rsidRPr="00F41AEF" w:rsidRDefault="00AD3B2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Liczba prowadzonych postępowań zatem wzrosła w stosunku do </w:t>
      </w:r>
      <w:r w:rsidR="00AF44F0" w:rsidRPr="00F41AEF">
        <w:rPr>
          <w:rFonts w:asciiTheme="minorHAnsi" w:eastAsia="Calibri" w:hAnsiTheme="minorHAnsi"/>
          <w:sz w:val="22"/>
          <w:szCs w:val="22"/>
          <w:lang w:eastAsia="en-US"/>
        </w:rPr>
        <w:t>roku 2020</w:t>
      </w:r>
      <w:r w:rsidRPr="00F41AEF">
        <w:rPr>
          <w:rFonts w:asciiTheme="minorHAnsi" w:eastAsia="Calibri" w:hAnsiTheme="minorHAnsi"/>
          <w:sz w:val="22"/>
          <w:szCs w:val="22"/>
          <w:lang w:eastAsia="en-US"/>
        </w:rPr>
        <w:t xml:space="preserve">. </w:t>
      </w:r>
      <w:r w:rsidR="00AF44F0" w:rsidRPr="00F41AEF">
        <w:rPr>
          <w:rFonts w:asciiTheme="minorHAnsi" w:eastAsia="Calibri" w:hAnsiTheme="minorHAnsi"/>
          <w:sz w:val="22"/>
          <w:szCs w:val="22"/>
          <w:lang w:eastAsia="en-US"/>
        </w:rPr>
        <w:t>Rok 2021</w:t>
      </w:r>
      <w:r w:rsidRPr="00F41AEF">
        <w:rPr>
          <w:rFonts w:asciiTheme="minorHAnsi" w:eastAsia="Calibri" w:hAnsiTheme="minorHAnsi"/>
          <w:sz w:val="22"/>
          <w:szCs w:val="22"/>
          <w:lang w:eastAsia="en-US"/>
        </w:rPr>
        <w:t xml:space="preserve"> jest też rekordowy pod względem liczby zakomunikowanych zarządzeń tymczasowych, co wiąże się w sposób oczywisty z sytuacją na granicy polsko-białoruskiej.</w:t>
      </w:r>
    </w:p>
    <w:p w:rsidR="00AF44F0" w:rsidRPr="00F41AEF" w:rsidRDefault="00AD3B2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Na koniec listopada 2021 r. Polska była na 6</w:t>
      </w:r>
      <w:r w:rsidRPr="00F41AEF">
        <w:rPr>
          <w:rFonts w:asciiTheme="minorHAnsi" w:eastAsia="Calibri" w:hAnsiTheme="minorHAnsi"/>
          <w:bCs/>
          <w:sz w:val="22"/>
          <w:szCs w:val="22"/>
          <w:lang w:eastAsia="en-US"/>
        </w:rPr>
        <w:t xml:space="preserve"> miejscu</w:t>
      </w:r>
      <w:r w:rsidRPr="00F41AEF">
        <w:rPr>
          <w:rFonts w:asciiTheme="minorHAnsi" w:eastAsia="Calibri" w:hAnsiTheme="minorHAnsi"/>
          <w:sz w:val="22"/>
          <w:szCs w:val="22"/>
          <w:lang w:eastAsia="en-US"/>
        </w:rPr>
        <w:t xml:space="preserve"> pod względem liczby </w:t>
      </w:r>
      <w:r w:rsidRPr="00F41AEF">
        <w:rPr>
          <w:rFonts w:asciiTheme="minorHAnsi" w:eastAsia="Calibri" w:hAnsiTheme="minorHAnsi"/>
          <w:bCs/>
          <w:sz w:val="22"/>
          <w:szCs w:val="22"/>
          <w:lang w:eastAsia="en-US"/>
        </w:rPr>
        <w:t>skarg</w:t>
      </w:r>
      <w:r w:rsidRPr="00F41AEF">
        <w:rPr>
          <w:rFonts w:asciiTheme="minorHAnsi" w:eastAsia="Calibri" w:hAnsiTheme="minorHAnsi"/>
          <w:sz w:val="22"/>
          <w:szCs w:val="22"/>
          <w:lang w:eastAsia="en-US"/>
        </w:rPr>
        <w:t xml:space="preserve"> </w:t>
      </w:r>
      <w:r w:rsidRPr="00F41AEF">
        <w:rPr>
          <w:rFonts w:asciiTheme="minorHAnsi" w:eastAsia="Calibri" w:hAnsiTheme="minorHAnsi"/>
          <w:bCs/>
          <w:sz w:val="22"/>
          <w:szCs w:val="22"/>
          <w:lang w:eastAsia="en-US"/>
        </w:rPr>
        <w:t>zawisłych</w:t>
      </w:r>
      <w:r w:rsidRPr="00F41AEF">
        <w:rPr>
          <w:rFonts w:asciiTheme="minorHAnsi" w:eastAsia="Calibri" w:hAnsiTheme="minorHAnsi"/>
          <w:sz w:val="22"/>
          <w:szCs w:val="22"/>
          <w:lang w:eastAsia="en-US"/>
        </w:rPr>
        <w:t xml:space="preserve"> przed Trybunałem (</w:t>
      </w:r>
      <w:r w:rsidRPr="00F41AEF">
        <w:rPr>
          <w:rFonts w:asciiTheme="minorHAnsi" w:eastAsia="Calibri" w:hAnsiTheme="minorHAnsi"/>
          <w:bCs/>
          <w:sz w:val="22"/>
          <w:szCs w:val="22"/>
          <w:lang w:eastAsia="en-US"/>
        </w:rPr>
        <w:t xml:space="preserve">2200 skarg, 3,2% </w:t>
      </w:r>
      <w:r w:rsidRPr="00F41AEF">
        <w:rPr>
          <w:rFonts w:asciiTheme="minorHAnsi" w:eastAsia="Calibri" w:hAnsiTheme="minorHAnsi"/>
          <w:sz w:val="22"/>
          <w:szCs w:val="22"/>
          <w:lang w:eastAsia="en-US"/>
        </w:rPr>
        <w:t xml:space="preserve">ogółu wszystkich skarg zawisłych przed ETPC). Polska miała o ok. 1400 skarg mniej niż Włochy, która znalazły się na 5 pozycji, a o ok. 100 więcej niż Azerbejdżan, który był na 7 miejscu. Liczba zawisłych skarg jest wyższa o ponad 1000 w porównaniu z </w:t>
      </w:r>
      <w:r w:rsidR="00AF44F0" w:rsidRPr="00F41AEF">
        <w:rPr>
          <w:rFonts w:asciiTheme="minorHAnsi" w:eastAsia="Calibri" w:hAnsiTheme="minorHAnsi"/>
          <w:sz w:val="22"/>
          <w:szCs w:val="22"/>
          <w:lang w:eastAsia="en-US"/>
        </w:rPr>
        <w:t>2020 r.</w:t>
      </w:r>
      <w:r w:rsidRPr="00F41AEF">
        <w:rPr>
          <w:rFonts w:asciiTheme="minorHAnsi" w:eastAsia="Calibri" w:hAnsiTheme="minorHAnsi"/>
          <w:sz w:val="22"/>
          <w:szCs w:val="22"/>
          <w:lang w:eastAsia="en-US"/>
        </w:rPr>
        <w:t xml:space="preserve"> Oznacza to również, że Polska powróciła na 6 miejsce pod względem zawisłych spraw po raz pierwszy od 2010 r. Po raz pierwszy po 8 latach liczba zawisłych skarg przekroczyła 2000. </w:t>
      </w:r>
    </w:p>
    <w:p w:rsidR="00AD3B2D" w:rsidRPr="00F41AEF" w:rsidRDefault="00AF44F0"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Pełnomocnik zauważył, że </w:t>
      </w:r>
      <w:r w:rsidR="00AD3B2D" w:rsidRPr="00F41AEF">
        <w:rPr>
          <w:rFonts w:asciiTheme="minorHAnsi" w:eastAsia="Calibri" w:hAnsiTheme="minorHAnsi"/>
          <w:sz w:val="22"/>
          <w:szCs w:val="22"/>
          <w:lang w:eastAsia="en-US"/>
        </w:rPr>
        <w:t xml:space="preserve">powyższe </w:t>
      </w:r>
      <w:r w:rsidRPr="00F41AEF">
        <w:rPr>
          <w:rFonts w:asciiTheme="minorHAnsi" w:eastAsia="Calibri" w:hAnsiTheme="minorHAnsi"/>
          <w:sz w:val="22"/>
          <w:szCs w:val="22"/>
          <w:lang w:eastAsia="en-US"/>
        </w:rPr>
        <w:t>dane</w:t>
      </w:r>
      <w:r w:rsidR="00AD3B2D" w:rsidRPr="00F41AEF">
        <w:rPr>
          <w:rFonts w:asciiTheme="minorHAnsi" w:eastAsia="Calibri" w:hAnsiTheme="minorHAnsi"/>
          <w:sz w:val="22"/>
          <w:szCs w:val="22"/>
          <w:lang w:eastAsia="en-US"/>
        </w:rPr>
        <w:t xml:space="preserve"> mają charakter wstępny. W dalszym ciągu może bowiem wzrosnąć liczba spraw zakomunikowanych rządowi, a także liczba wyroków i decyzji. </w:t>
      </w:r>
      <w:r w:rsidRPr="00F41AEF">
        <w:rPr>
          <w:rFonts w:asciiTheme="minorHAnsi" w:eastAsia="Calibri" w:hAnsiTheme="minorHAnsi"/>
          <w:sz w:val="22"/>
          <w:szCs w:val="22"/>
          <w:lang w:eastAsia="en-US"/>
        </w:rPr>
        <w:t>D</w:t>
      </w:r>
      <w:r w:rsidR="00AD3B2D" w:rsidRPr="00F41AEF">
        <w:rPr>
          <w:rFonts w:asciiTheme="minorHAnsi" w:eastAsia="Calibri" w:hAnsiTheme="minorHAnsi"/>
          <w:sz w:val="22"/>
          <w:szCs w:val="22"/>
          <w:lang w:eastAsia="en-US"/>
        </w:rPr>
        <w:t xml:space="preserve">ecyzje </w:t>
      </w:r>
      <w:r w:rsidR="00AD3B2D" w:rsidRPr="00F41AEF">
        <w:rPr>
          <w:rFonts w:asciiTheme="minorHAnsi" w:eastAsia="Calibri" w:hAnsiTheme="minorHAnsi"/>
          <w:sz w:val="22"/>
          <w:szCs w:val="22"/>
          <w:lang w:eastAsia="en-US"/>
        </w:rPr>
        <w:lastRenderedPageBreak/>
        <w:t>przyjmowane przez Trybun</w:t>
      </w:r>
      <w:r w:rsidRPr="00F41AEF">
        <w:rPr>
          <w:rFonts w:asciiTheme="minorHAnsi" w:eastAsia="Calibri" w:hAnsiTheme="minorHAnsi"/>
          <w:sz w:val="22"/>
          <w:szCs w:val="22"/>
          <w:lang w:eastAsia="en-US"/>
        </w:rPr>
        <w:t>ał</w:t>
      </w:r>
      <w:r w:rsidR="00AD3B2D" w:rsidRPr="00F41AEF">
        <w:rPr>
          <w:rFonts w:asciiTheme="minorHAnsi" w:eastAsia="Calibri" w:hAnsiTheme="minorHAnsi"/>
          <w:sz w:val="22"/>
          <w:szCs w:val="22"/>
          <w:lang w:eastAsia="en-US"/>
        </w:rPr>
        <w:t xml:space="preserve"> w grudniu</w:t>
      </w:r>
      <w:r w:rsidRPr="00F41AEF">
        <w:rPr>
          <w:rFonts w:asciiTheme="minorHAnsi" w:eastAsia="Calibri" w:hAnsiTheme="minorHAnsi"/>
          <w:sz w:val="22"/>
          <w:szCs w:val="22"/>
          <w:lang w:eastAsia="en-US"/>
        </w:rPr>
        <w:t xml:space="preserve"> danego roku</w:t>
      </w:r>
      <w:r w:rsidR="00AD3B2D" w:rsidRPr="00F41AEF">
        <w:rPr>
          <w:rFonts w:asciiTheme="minorHAnsi" w:eastAsia="Calibri" w:hAnsiTheme="minorHAnsi"/>
          <w:sz w:val="22"/>
          <w:szCs w:val="22"/>
          <w:lang w:eastAsia="en-US"/>
        </w:rPr>
        <w:t xml:space="preserve"> są publikowane dopiero w styczniu</w:t>
      </w:r>
      <w:r w:rsidRPr="00F41AEF">
        <w:rPr>
          <w:rFonts w:asciiTheme="minorHAnsi" w:eastAsia="Calibri" w:hAnsiTheme="minorHAnsi"/>
          <w:sz w:val="22"/>
          <w:szCs w:val="22"/>
          <w:lang w:eastAsia="en-US"/>
        </w:rPr>
        <w:t xml:space="preserve"> roku następnego</w:t>
      </w:r>
      <w:r w:rsidR="00AD3B2D" w:rsidRPr="00F41AEF">
        <w:rPr>
          <w:rFonts w:asciiTheme="minorHAnsi" w:eastAsia="Calibri" w:hAnsiTheme="minorHAnsi"/>
          <w:sz w:val="22"/>
          <w:szCs w:val="22"/>
          <w:lang w:eastAsia="en-US"/>
        </w:rPr>
        <w:t xml:space="preserve">. </w:t>
      </w:r>
    </w:p>
    <w:p w:rsidR="00AD3B2D" w:rsidRDefault="00AD3B2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Na tym etapie nie są jeszcze dostępne informacje na temat liczby skarg, które wpłynęły w 2021 r. do Trybunału. Te i inne dane będą dostępne dopiero pod koniec stycznia </w:t>
      </w:r>
      <w:r w:rsidR="00AF44F0" w:rsidRPr="00F41AEF">
        <w:rPr>
          <w:rFonts w:asciiTheme="minorHAnsi" w:eastAsia="Calibri" w:hAnsiTheme="minorHAnsi"/>
          <w:sz w:val="22"/>
          <w:szCs w:val="22"/>
          <w:lang w:eastAsia="en-US"/>
        </w:rPr>
        <w:t xml:space="preserve">z chwilą </w:t>
      </w:r>
      <w:r w:rsidRPr="00F41AEF">
        <w:rPr>
          <w:rFonts w:asciiTheme="minorHAnsi" w:eastAsia="Calibri" w:hAnsiTheme="minorHAnsi"/>
          <w:sz w:val="22"/>
          <w:szCs w:val="22"/>
          <w:lang w:eastAsia="en-US"/>
        </w:rPr>
        <w:t>opublikowani</w:t>
      </w:r>
      <w:r w:rsidR="00AF44F0" w:rsidRPr="00F41AEF">
        <w:rPr>
          <w:rFonts w:asciiTheme="minorHAnsi" w:eastAsia="Calibri" w:hAnsiTheme="minorHAnsi"/>
          <w:sz w:val="22"/>
          <w:szCs w:val="22"/>
          <w:lang w:eastAsia="en-US"/>
        </w:rPr>
        <w:t xml:space="preserve">a </w:t>
      </w:r>
      <w:r w:rsidRPr="00F41AEF">
        <w:rPr>
          <w:rFonts w:asciiTheme="minorHAnsi" w:eastAsia="Calibri" w:hAnsiTheme="minorHAnsi"/>
          <w:sz w:val="22"/>
          <w:szCs w:val="22"/>
          <w:lang w:eastAsia="en-US"/>
        </w:rPr>
        <w:t>przez Trybunał rocznego</w:t>
      </w:r>
      <w:r w:rsidR="00EC41A4">
        <w:rPr>
          <w:rFonts w:asciiTheme="minorHAnsi" w:eastAsia="Calibri" w:hAnsiTheme="minorHAnsi"/>
          <w:sz w:val="22"/>
          <w:szCs w:val="22"/>
          <w:lang w:eastAsia="en-US"/>
        </w:rPr>
        <w:t xml:space="preserve"> raportu wraz ze statystykami.</w:t>
      </w:r>
    </w:p>
    <w:p w:rsidR="00EC41A4" w:rsidRPr="00F41AEF" w:rsidRDefault="00EC41A4" w:rsidP="00F41AEF">
      <w:pPr>
        <w:spacing w:after="120"/>
        <w:jc w:val="both"/>
        <w:rPr>
          <w:rFonts w:asciiTheme="minorHAnsi" w:eastAsia="Calibri" w:hAnsiTheme="minorHAnsi"/>
          <w:sz w:val="22"/>
          <w:szCs w:val="22"/>
          <w:lang w:eastAsia="en-US"/>
        </w:rPr>
      </w:pPr>
    </w:p>
    <w:p w:rsidR="00AF44F0" w:rsidRPr="00F41AEF" w:rsidRDefault="00AF44F0" w:rsidP="00F41AEF">
      <w:pPr>
        <w:spacing w:after="120"/>
        <w:jc w:val="both"/>
        <w:rPr>
          <w:rFonts w:asciiTheme="minorHAnsi" w:eastAsia="Calibri" w:hAnsiTheme="minorHAnsi"/>
          <w:b/>
          <w:sz w:val="22"/>
          <w:szCs w:val="22"/>
          <w:lang w:eastAsia="en-US"/>
        </w:rPr>
      </w:pPr>
      <w:r w:rsidRPr="00F41AEF">
        <w:rPr>
          <w:rFonts w:asciiTheme="minorHAnsi" w:eastAsia="Calibri" w:hAnsiTheme="minorHAnsi"/>
          <w:b/>
          <w:sz w:val="22"/>
          <w:szCs w:val="22"/>
          <w:lang w:eastAsia="en-US"/>
        </w:rPr>
        <w:t xml:space="preserve">Sprawy zakomunikowane Rządowi w IV kwartale 2021 r. </w:t>
      </w:r>
    </w:p>
    <w:p w:rsidR="00AF44F0" w:rsidRPr="00F41AEF" w:rsidRDefault="00651715" w:rsidP="00F41AEF">
      <w:pPr>
        <w:spacing w:after="120"/>
        <w:jc w:val="both"/>
        <w:rPr>
          <w:rFonts w:asciiTheme="minorHAnsi" w:eastAsia="Calibri" w:hAnsiTheme="minorHAnsi"/>
          <w:sz w:val="22"/>
          <w:szCs w:val="22"/>
          <w:lang w:eastAsia="en-US"/>
        </w:rPr>
      </w:pPr>
      <w:r w:rsidRPr="00F41AEF">
        <w:rPr>
          <w:rFonts w:asciiTheme="minorHAnsi" w:eastAsia="Calibri" w:hAnsiTheme="minorHAnsi"/>
          <w:bCs/>
          <w:sz w:val="22"/>
          <w:szCs w:val="22"/>
          <w:lang w:eastAsia="en-US"/>
        </w:rPr>
        <w:t>Pełnomocnik przedstawił rodzaje spraw zakomunikowanych rządowi w IV kwartale. Wśród spraw można wyodrębnić nowe kategorie spraw (tzw. s</w:t>
      </w:r>
      <w:r w:rsidR="00AF44F0" w:rsidRPr="00F41AEF">
        <w:rPr>
          <w:rFonts w:asciiTheme="minorHAnsi" w:eastAsia="Calibri" w:hAnsiTheme="minorHAnsi"/>
          <w:bCs/>
          <w:sz w:val="22"/>
          <w:szCs w:val="22"/>
          <w:lang w:eastAsia="en-US"/>
        </w:rPr>
        <w:t>prawy „pandemiczne”):</w:t>
      </w:r>
      <w:r w:rsidR="006E2A32" w:rsidRPr="00F41AEF">
        <w:rPr>
          <w:rFonts w:asciiTheme="minorHAnsi" w:eastAsia="Calibri" w:hAnsiTheme="minorHAnsi"/>
          <w:bCs/>
          <w:sz w:val="22"/>
          <w:szCs w:val="22"/>
          <w:lang w:eastAsia="en-US"/>
        </w:rPr>
        <w:t xml:space="preserve"> </w:t>
      </w:r>
      <w:r w:rsidR="00AF44F0" w:rsidRPr="00F41AEF">
        <w:rPr>
          <w:rFonts w:asciiTheme="minorHAnsi" w:eastAsia="Calibri" w:hAnsiTheme="minorHAnsi"/>
          <w:sz w:val="22"/>
          <w:szCs w:val="22"/>
          <w:lang w:eastAsia="en-US"/>
        </w:rPr>
        <w:t>sprawy dot. ogólnych obostrzeń pandemicznych</w:t>
      </w:r>
      <w:r w:rsidR="006E2A32" w:rsidRPr="00F41AEF">
        <w:rPr>
          <w:rFonts w:asciiTheme="minorHAnsi" w:eastAsia="Calibri" w:hAnsiTheme="minorHAnsi"/>
          <w:sz w:val="22"/>
          <w:szCs w:val="22"/>
          <w:lang w:eastAsia="en-US"/>
        </w:rPr>
        <w:t xml:space="preserve"> (</w:t>
      </w:r>
      <w:r w:rsidR="00AF44F0" w:rsidRPr="00F41AEF">
        <w:rPr>
          <w:rFonts w:asciiTheme="minorHAnsi" w:eastAsia="Calibri" w:hAnsiTheme="minorHAnsi"/>
          <w:i/>
          <w:iCs/>
          <w:sz w:val="22"/>
          <w:szCs w:val="22"/>
          <w:lang w:eastAsia="en-US"/>
        </w:rPr>
        <w:t>Jarocki p. Polsce</w:t>
      </w:r>
      <w:r w:rsidR="00AF44F0" w:rsidRPr="00F41AEF">
        <w:rPr>
          <w:rFonts w:asciiTheme="minorHAnsi" w:eastAsia="Calibri" w:hAnsiTheme="minorHAnsi"/>
          <w:sz w:val="22"/>
          <w:szCs w:val="22"/>
          <w:lang w:eastAsia="en-US"/>
        </w:rPr>
        <w:t xml:space="preserve"> (nr 39750/20) </w:t>
      </w:r>
      <w:r w:rsidR="00EC41A4">
        <w:rPr>
          <w:rFonts w:asciiTheme="minorHAnsi" w:eastAsia="Calibri" w:hAnsiTheme="minorHAnsi"/>
          <w:sz w:val="22"/>
          <w:szCs w:val="22"/>
          <w:lang w:eastAsia="en-US"/>
        </w:rPr>
        <w:t>–</w:t>
      </w:r>
      <w:r w:rsidR="00AF44F0" w:rsidRPr="00F41AEF">
        <w:rPr>
          <w:rFonts w:asciiTheme="minorHAnsi" w:eastAsia="Calibri" w:hAnsiTheme="minorHAnsi"/>
          <w:sz w:val="22"/>
          <w:szCs w:val="22"/>
          <w:lang w:eastAsia="en-US"/>
        </w:rPr>
        <w:t xml:space="preserve"> obostrzenia</w:t>
      </w:r>
      <w:r w:rsidR="00EC41A4">
        <w:rPr>
          <w:rFonts w:asciiTheme="minorHAnsi" w:eastAsia="Calibri" w:hAnsiTheme="minorHAnsi"/>
          <w:sz w:val="22"/>
          <w:szCs w:val="22"/>
          <w:lang w:eastAsia="en-US"/>
        </w:rPr>
        <w:t xml:space="preserve"> </w:t>
      </w:r>
      <w:r w:rsidR="00AF44F0" w:rsidRPr="00F41AEF">
        <w:rPr>
          <w:rFonts w:asciiTheme="minorHAnsi" w:eastAsia="Calibri" w:hAnsiTheme="minorHAnsi"/>
          <w:sz w:val="22"/>
          <w:szCs w:val="22"/>
          <w:lang w:eastAsia="en-US"/>
        </w:rPr>
        <w:t>pandemiczne dot. organizowania zgromadzeń publicznych</w:t>
      </w:r>
      <w:r w:rsidR="006E2A32" w:rsidRPr="00F41AEF">
        <w:rPr>
          <w:rFonts w:asciiTheme="minorHAnsi" w:eastAsia="Calibri" w:hAnsiTheme="minorHAnsi"/>
          <w:sz w:val="22"/>
          <w:szCs w:val="22"/>
          <w:lang w:eastAsia="en-US"/>
        </w:rPr>
        <w:t xml:space="preserve">) oraz </w:t>
      </w:r>
      <w:r w:rsidR="00AF44F0" w:rsidRPr="00F41AEF">
        <w:rPr>
          <w:rFonts w:asciiTheme="minorHAnsi" w:eastAsia="Calibri" w:hAnsiTheme="minorHAnsi"/>
          <w:sz w:val="22"/>
          <w:szCs w:val="22"/>
          <w:lang w:eastAsia="en-US"/>
        </w:rPr>
        <w:t xml:space="preserve">sprawy dot. obostrzeń pandemicznych w </w:t>
      </w:r>
      <w:r w:rsidRPr="00F41AEF">
        <w:rPr>
          <w:rFonts w:asciiTheme="minorHAnsi" w:eastAsia="Calibri" w:hAnsiTheme="minorHAnsi"/>
          <w:sz w:val="22"/>
          <w:szCs w:val="22"/>
          <w:lang w:eastAsia="en-US"/>
        </w:rPr>
        <w:t>zakładach karnych</w:t>
      </w:r>
      <w:r w:rsidR="006E2A32" w:rsidRPr="00F41AEF">
        <w:rPr>
          <w:rFonts w:asciiTheme="minorHAnsi" w:eastAsia="Calibri" w:hAnsiTheme="minorHAnsi"/>
          <w:sz w:val="22"/>
          <w:szCs w:val="22"/>
          <w:lang w:eastAsia="en-US"/>
        </w:rPr>
        <w:t xml:space="preserve"> (</w:t>
      </w:r>
      <w:r w:rsidR="00AF44F0" w:rsidRPr="00F41AEF">
        <w:rPr>
          <w:rFonts w:asciiTheme="minorHAnsi" w:eastAsia="Calibri" w:hAnsiTheme="minorHAnsi"/>
          <w:i/>
          <w:iCs/>
          <w:sz w:val="22"/>
          <w:szCs w:val="22"/>
          <w:lang w:eastAsia="en-US"/>
        </w:rPr>
        <w:t>Szal p. Polsce</w:t>
      </w:r>
      <w:r w:rsidR="00AF44F0" w:rsidRPr="00F41AEF">
        <w:rPr>
          <w:rFonts w:asciiTheme="minorHAnsi" w:eastAsia="Calibri" w:hAnsiTheme="minorHAnsi"/>
          <w:sz w:val="22"/>
          <w:szCs w:val="22"/>
          <w:lang w:eastAsia="en-US"/>
        </w:rPr>
        <w:t xml:space="preserve"> (nr 53780/20)</w:t>
      </w:r>
      <w:r w:rsidR="006E2A32" w:rsidRPr="00F41AEF">
        <w:rPr>
          <w:rFonts w:asciiTheme="minorHAnsi" w:eastAsia="Calibri" w:hAnsiTheme="minorHAnsi"/>
          <w:sz w:val="22"/>
          <w:szCs w:val="22"/>
          <w:lang w:eastAsia="en-US"/>
        </w:rPr>
        <w:t xml:space="preserve">, </w:t>
      </w:r>
      <w:proofErr w:type="spellStart"/>
      <w:r w:rsidR="00AF44F0" w:rsidRPr="00F41AEF">
        <w:rPr>
          <w:rFonts w:asciiTheme="minorHAnsi" w:eastAsia="Calibri" w:hAnsiTheme="minorHAnsi"/>
          <w:i/>
          <w:iCs/>
          <w:sz w:val="22"/>
          <w:szCs w:val="22"/>
          <w:lang w:eastAsia="en-US"/>
        </w:rPr>
        <w:t>Guhn</w:t>
      </w:r>
      <w:proofErr w:type="spellEnd"/>
      <w:r w:rsidR="00AF44F0" w:rsidRPr="00F41AEF">
        <w:rPr>
          <w:rFonts w:asciiTheme="minorHAnsi" w:eastAsia="Calibri" w:hAnsiTheme="minorHAnsi"/>
          <w:i/>
          <w:iCs/>
          <w:sz w:val="22"/>
          <w:szCs w:val="22"/>
          <w:lang w:eastAsia="en-US"/>
        </w:rPr>
        <w:t xml:space="preserve"> p. Polsce</w:t>
      </w:r>
      <w:r w:rsidR="00AF44F0" w:rsidRPr="00F41AEF">
        <w:rPr>
          <w:rFonts w:asciiTheme="minorHAnsi" w:eastAsia="Calibri" w:hAnsiTheme="minorHAnsi"/>
          <w:sz w:val="22"/>
          <w:szCs w:val="22"/>
          <w:lang w:eastAsia="en-US"/>
        </w:rPr>
        <w:t xml:space="preserve"> (nr 45519/20)</w:t>
      </w:r>
      <w:r w:rsidR="006E2A32" w:rsidRPr="00F41AEF">
        <w:rPr>
          <w:rFonts w:asciiTheme="minorHAnsi" w:eastAsia="Calibri" w:hAnsiTheme="minorHAnsi"/>
          <w:sz w:val="22"/>
          <w:szCs w:val="22"/>
          <w:lang w:eastAsia="en-US"/>
        </w:rPr>
        <w:t>).</w:t>
      </w:r>
    </w:p>
    <w:p w:rsidR="00AF44F0" w:rsidRPr="00F41AEF" w:rsidRDefault="00651715" w:rsidP="00F41AEF">
      <w:pPr>
        <w:spacing w:after="120"/>
        <w:jc w:val="both"/>
        <w:rPr>
          <w:rFonts w:asciiTheme="minorHAnsi" w:eastAsia="Calibri" w:hAnsiTheme="minorHAnsi"/>
          <w:sz w:val="22"/>
          <w:szCs w:val="22"/>
          <w:lang w:eastAsia="en-US"/>
        </w:rPr>
      </w:pPr>
      <w:r w:rsidRPr="00F41AEF">
        <w:rPr>
          <w:rFonts w:asciiTheme="minorHAnsi" w:eastAsia="Calibri" w:hAnsiTheme="minorHAnsi"/>
          <w:bCs/>
          <w:sz w:val="22"/>
          <w:szCs w:val="22"/>
          <w:lang w:eastAsia="en-US"/>
        </w:rPr>
        <w:t>Ponadto rząd otrzymał k</w:t>
      </w:r>
      <w:r w:rsidR="00AF44F0" w:rsidRPr="00F41AEF">
        <w:rPr>
          <w:rFonts w:asciiTheme="minorHAnsi" w:eastAsia="Calibri" w:hAnsiTheme="minorHAnsi"/>
          <w:bCs/>
          <w:sz w:val="22"/>
          <w:szCs w:val="22"/>
          <w:lang w:eastAsia="en-US"/>
        </w:rPr>
        <w:t>olejne komunikacje w sprawach priorytetowych</w:t>
      </w:r>
      <w:r w:rsidR="006E2A32" w:rsidRPr="00F41AEF">
        <w:rPr>
          <w:rFonts w:asciiTheme="minorHAnsi" w:eastAsia="Calibri" w:hAnsiTheme="minorHAnsi"/>
          <w:bCs/>
          <w:sz w:val="22"/>
          <w:szCs w:val="22"/>
          <w:lang w:eastAsia="en-US"/>
        </w:rPr>
        <w:t>.</w:t>
      </w:r>
      <w:r w:rsidR="006853AE" w:rsidRPr="00F41AEF">
        <w:rPr>
          <w:rFonts w:asciiTheme="minorHAnsi" w:eastAsia="Calibri" w:hAnsiTheme="minorHAnsi"/>
          <w:bCs/>
          <w:sz w:val="22"/>
          <w:szCs w:val="22"/>
          <w:lang w:eastAsia="en-US"/>
        </w:rPr>
        <w:t xml:space="preserve"> </w:t>
      </w:r>
      <w:r w:rsidR="006E2A32" w:rsidRPr="00F41AEF">
        <w:rPr>
          <w:rFonts w:asciiTheme="minorHAnsi" w:eastAsia="Calibri" w:hAnsiTheme="minorHAnsi"/>
          <w:sz w:val="22"/>
          <w:szCs w:val="22"/>
          <w:lang w:eastAsia="en-US"/>
        </w:rPr>
        <w:t>P</w:t>
      </w:r>
      <w:r w:rsidR="00AF44F0" w:rsidRPr="00F41AEF">
        <w:rPr>
          <w:rFonts w:asciiTheme="minorHAnsi" w:eastAsia="Calibri" w:hAnsiTheme="minorHAnsi"/>
          <w:sz w:val="22"/>
          <w:szCs w:val="22"/>
          <w:lang w:eastAsia="en-US"/>
        </w:rPr>
        <w:t>o tym jak zakomunikowano 12 przykładowych spraw dotyczących reakcji obywatelek w wieku rozrodczym na wyrok TK</w:t>
      </w:r>
      <w:r w:rsidR="006E2A32" w:rsidRPr="00F41AEF">
        <w:rPr>
          <w:rFonts w:asciiTheme="minorHAnsi" w:eastAsia="Calibri" w:hAnsiTheme="minorHAnsi"/>
          <w:sz w:val="22"/>
          <w:szCs w:val="22"/>
          <w:lang w:eastAsia="en-US"/>
        </w:rPr>
        <w:t xml:space="preserve"> z 22 października 2020 r.</w:t>
      </w:r>
      <w:r w:rsidR="00AF44F0" w:rsidRPr="00F41AEF">
        <w:rPr>
          <w:rFonts w:asciiTheme="minorHAnsi" w:eastAsia="Calibri" w:hAnsiTheme="minorHAnsi"/>
          <w:sz w:val="22"/>
          <w:szCs w:val="22"/>
          <w:lang w:eastAsia="en-US"/>
        </w:rPr>
        <w:t xml:space="preserve"> uznający jedną z przesłanek dopuszczalności przerywania ciąży („eugeniczną” czy też „</w:t>
      </w:r>
      <w:proofErr w:type="spellStart"/>
      <w:r w:rsidR="00AF44F0" w:rsidRPr="00F41AEF">
        <w:rPr>
          <w:rFonts w:asciiTheme="minorHAnsi" w:eastAsia="Calibri" w:hAnsiTheme="minorHAnsi"/>
          <w:sz w:val="22"/>
          <w:szCs w:val="22"/>
          <w:lang w:eastAsia="en-US"/>
        </w:rPr>
        <w:t>patoembriologiczną</w:t>
      </w:r>
      <w:proofErr w:type="spellEnd"/>
      <w:r w:rsidR="00AF44F0" w:rsidRPr="00F41AEF">
        <w:rPr>
          <w:rFonts w:asciiTheme="minorHAnsi" w:eastAsia="Calibri" w:hAnsiTheme="minorHAnsi"/>
          <w:sz w:val="22"/>
          <w:szCs w:val="22"/>
          <w:lang w:eastAsia="en-US"/>
        </w:rPr>
        <w:t>”) za niezgodną z Konstytucją, w komunikacie prasowym Trybunał poinformował, że wpłynęło ponad 1</w:t>
      </w:r>
      <w:r w:rsidR="00EC41A4">
        <w:rPr>
          <w:rFonts w:asciiTheme="minorHAnsi" w:eastAsia="Calibri" w:hAnsiTheme="minorHAnsi"/>
          <w:sz w:val="22"/>
          <w:szCs w:val="22"/>
          <w:lang w:eastAsia="en-US"/>
        </w:rPr>
        <w:t> </w:t>
      </w:r>
      <w:r w:rsidR="00AF44F0" w:rsidRPr="00F41AEF">
        <w:rPr>
          <w:rFonts w:asciiTheme="minorHAnsi" w:eastAsia="Calibri" w:hAnsiTheme="minorHAnsi"/>
          <w:sz w:val="22"/>
          <w:szCs w:val="22"/>
          <w:lang w:eastAsia="en-US"/>
        </w:rPr>
        <w:t>000</w:t>
      </w:r>
      <w:r w:rsidR="00EC41A4">
        <w:rPr>
          <w:rFonts w:asciiTheme="minorHAnsi" w:eastAsia="Calibri" w:hAnsiTheme="minorHAnsi"/>
          <w:sz w:val="22"/>
          <w:szCs w:val="22"/>
          <w:lang w:eastAsia="en-US"/>
        </w:rPr>
        <w:t xml:space="preserve"> </w:t>
      </w:r>
      <w:r w:rsidR="00AF44F0" w:rsidRPr="00F41AEF">
        <w:rPr>
          <w:rFonts w:asciiTheme="minorHAnsi" w:eastAsia="Calibri" w:hAnsiTheme="minorHAnsi"/>
          <w:sz w:val="22"/>
          <w:szCs w:val="22"/>
          <w:lang w:eastAsia="en-US"/>
        </w:rPr>
        <w:t xml:space="preserve">podobnych skarg; nie zostały one jak dotąd zakomunikowane Rządowi RP; należy się liczyć z ich komunikacją w późniejszym terminie, w zależności od treści rozstrzygnięcia </w:t>
      </w:r>
      <w:r w:rsidRPr="00F41AEF">
        <w:rPr>
          <w:rFonts w:asciiTheme="minorHAnsi" w:eastAsia="Calibri" w:hAnsiTheme="minorHAnsi"/>
          <w:sz w:val="22"/>
          <w:szCs w:val="22"/>
          <w:lang w:eastAsia="en-US"/>
        </w:rPr>
        <w:t>w już zakomunikowanych sprawach. N</w:t>
      </w:r>
      <w:r w:rsidR="00AF44F0" w:rsidRPr="00F41AEF">
        <w:rPr>
          <w:rFonts w:asciiTheme="minorHAnsi" w:eastAsia="Calibri" w:hAnsiTheme="minorHAnsi"/>
          <w:sz w:val="22"/>
          <w:szCs w:val="22"/>
          <w:lang w:eastAsia="en-US"/>
        </w:rPr>
        <w:t xml:space="preserve">astępnie, w październiku 2021 r. zakomunikowano sprawę jednostkową, dot. skargi kobiety, która była w ciąży wykazującej wady rozwojowe płodu i miała wyznaczony termin </w:t>
      </w:r>
      <w:r w:rsidR="00EC41A4">
        <w:rPr>
          <w:rFonts w:asciiTheme="minorHAnsi" w:eastAsia="Calibri" w:hAnsiTheme="minorHAnsi"/>
          <w:sz w:val="22"/>
          <w:szCs w:val="22"/>
          <w:lang w:eastAsia="en-US"/>
        </w:rPr>
        <w:t>legalnego przerwania ciąży</w:t>
      </w:r>
      <w:r w:rsidR="00AF44F0" w:rsidRPr="00F41AEF">
        <w:rPr>
          <w:rFonts w:asciiTheme="minorHAnsi" w:eastAsia="Calibri" w:hAnsiTheme="minorHAnsi"/>
          <w:sz w:val="22"/>
          <w:szCs w:val="22"/>
          <w:lang w:eastAsia="en-US"/>
        </w:rPr>
        <w:t xml:space="preserve"> w jednym z</w:t>
      </w:r>
      <w:r w:rsidR="00EC41A4">
        <w:rPr>
          <w:rFonts w:asciiTheme="minorHAnsi" w:eastAsia="Calibri" w:hAnsiTheme="minorHAnsi"/>
          <w:sz w:val="22"/>
          <w:szCs w:val="22"/>
          <w:lang w:eastAsia="en-US"/>
        </w:rPr>
        <w:t xml:space="preserve"> </w:t>
      </w:r>
      <w:r w:rsidR="00AF44F0" w:rsidRPr="00F41AEF">
        <w:rPr>
          <w:rFonts w:asciiTheme="minorHAnsi" w:eastAsia="Calibri" w:hAnsiTheme="minorHAnsi"/>
          <w:sz w:val="22"/>
          <w:szCs w:val="22"/>
          <w:lang w:eastAsia="en-US"/>
        </w:rPr>
        <w:t xml:space="preserve"> polskich szpitali; zabieg się nie odbył z uwagi na wejście w życie wyroku Trybunału Konstytucyjnego; wg. informacji ze skargi skarżąca wykonała zabieg przerwania ciąży za granicą (sprawa </w:t>
      </w:r>
      <w:r w:rsidR="00AF44F0" w:rsidRPr="00F41AEF">
        <w:rPr>
          <w:rFonts w:asciiTheme="minorHAnsi" w:eastAsia="Calibri" w:hAnsiTheme="minorHAnsi"/>
          <w:i/>
          <w:iCs/>
          <w:sz w:val="22"/>
          <w:szCs w:val="22"/>
          <w:lang w:eastAsia="en-US"/>
        </w:rPr>
        <w:t>M.L. p. Polsce</w:t>
      </w:r>
      <w:r w:rsidR="00AF44F0" w:rsidRPr="00F41AEF">
        <w:rPr>
          <w:rFonts w:asciiTheme="minorHAnsi" w:eastAsia="Calibri" w:hAnsiTheme="minorHAnsi"/>
          <w:sz w:val="22"/>
          <w:szCs w:val="22"/>
          <w:lang w:eastAsia="en-US"/>
        </w:rPr>
        <w:t>, skarga nr 40119/21)</w:t>
      </w:r>
      <w:r w:rsidR="006E2A32" w:rsidRPr="00F41AEF">
        <w:rPr>
          <w:rFonts w:asciiTheme="minorHAnsi" w:eastAsia="Calibri" w:hAnsiTheme="minorHAnsi"/>
          <w:sz w:val="22"/>
          <w:szCs w:val="22"/>
          <w:lang w:eastAsia="en-US"/>
        </w:rPr>
        <w:t>.</w:t>
      </w:r>
    </w:p>
    <w:p w:rsidR="00AF44F0" w:rsidRPr="00F41AEF" w:rsidRDefault="006E2A32"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Zakomunikowano także sprawę dotyczącą </w:t>
      </w:r>
      <w:r w:rsidR="00AF44F0" w:rsidRPr="00F41AEF">
        <w:rPr>
          <w:rFonts w:asciiTheme="minorHAnsi" w:eastAsia="Calibri" w:hAnsiTheme="minorHAnsi"/>
          <w:sz w:val="22"/>
          <w:szCs w:val="22"/>
          <w:lang w:eastAsia="en-US"/>
        </w:rPr>
        <w:t>różnych aspektów reformy wymiaru sprawiedliwośc</w:t>
      </w:r>
      <w:r w:rsidRPr="00F41AEF">
        <w:rPr>
          <w:rFonts w:asciiTheme="minorHAnsi" w:eastAsia="Calibri" w:hAnsiTheme="minorHAnsi"/>
          <w:sz w:val="22"/>
          <w:szCs w:val="22"/>
          <w:lang w:eastAsia="en-US"/>
        </w:rPr>
        <w:t>i (</w:t>
      </w:r>
      <w:r w:rsidR="00AF44F0" w:rsidRPr="00F41AEF">
        <w:rPr>
          <w:rFonts w:asciiTheme="minorHAnsi" w:eastAsia="Calibri" w:hAnsiTheme="minorHAnsi"/>
          <w:i/>
          <w:iCs/>
          <w:sz w:val="22"/>
          <w:szCs w:val="22"/>
          <w:lang w:eastAsia="en-US"/>
        </w:rPr>
        <w:t>Sterkowicz p. Polsce</w:t>
      </w:r>
      <w:r w:rsidR="00AF44F0" w:rsidRPr="00F41AEF">
        <w:rPr>
          <w:rFonts w:asciiTheme="minorHAnsi" w:eastAsia="Calibri" w:hAnsiTheme="minorHAnsi"/>
          <w:sz w:val="22"/>
          <w:szCs w:val="22"/>
          <w:lang w:eastAsia="en-US"/>
        </w:rPr>
        <w:t xml:space="preserve"> (nr 3685/20) - uchylenie immunitetu sędziego przez ID SN</w:t>
      </w:r>
      <w:r w:rsidRPr="00F41AEF">
        <w:rPr>
          <w:rFonts w:asciiTheme="minorHAnsi" w:eastAsia="Calibri" w:hAnsiTheme="minorHAnsi"/>
          <w:sz w:val="22"/>
          <w:szCs w:val="22"/>
          <w:lang w:eastAsia="en-US"/>
        </w:rPr>
        <w:t>).</w:t>
      </w:r>
      <w:r w:rsidR="006853AE" w:rsidRPr="00F41AEF">
        <w:rPr>
          <w:rFonts w:asciiTheme="minorHAnsi" w:eastAsia="Calibri" w:hAnsiTheme="minorHAnsi"/>
          <w:sz w:val="22"/>
          <w:szCs w:val="22"/>
          <w:lang w:eastAsia="en-US"/>
        </w:rPr>
        <w:t xml:space="preserve"> </w:t>
      </w:r>
    </w:p>
    <w:p w:rsidR="006853AE" w:rsidRPr="00F41AEF" w:rsidRDefault="00121264"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Ponadto</w:t>
      </w:r>
      <w:r w:rsidR="006853AE" w:rsidRPr="00F41AEF">
        <w:rPr>
          <w:rFonts w:asciiTheme="minorHAnsi" w:eastAsia="Calibri" w:hAnsiTheme="minorHAnsi"/>
          <w:sz w:val="22"/>
          <w:szCs w:val="22"/>
          <w:lang w:eastAsia="en-US"/>
        </w:rPr>
        <w:t xml:space="preserve"> należy odnotować komunikacje spraw z innych obszarów: </w:t>
      </w:r>
    </w:p>
    <w:p w:rsidR="006853AE" w:rsidRPr="00F41AEF" w:rsidRDefault="006853AE" w:rsidP="00F41AEF">
      <w:pPr>
        <w:pStyle w:val="Akapitzlist"/>
        <w:numPr>
          <w:ilvl w:val="0"/>
          <w:numId w:val="18"/>
        </w:numPr>
        <w:spacing w:after="120" w:line="240" w:lineRule="auto"/>
        <w:contextualSpacing w:val="0"/>
        <w:jc w:val="both"/>
        <w:rPr>
          <w:rFonts w:eastAsia="Calibri"/>
        </w:rPr>
      </w:pPr>
      <w:r w:rsidRPr="00F41AEF">
        <w:rPr>
          <w:rFonts w:eastAsia="Calibri"/>
        </w:rPr>
        <w:t>s</w:t>
      </w:r>
      <w:r w:rsidR="00AF44F0" w:rsidRPr="00F41AEF">
        <w:rPr>
          <w:rFonts w:eastAsia="Calibri"/>
        </w:rPr>
        <w:t>prawy dot. rożnych aspektów prawa karnego</w:t>
      </w:r>
      <w:r w:rsidR="00121264" w:rsidRPr="00F41AEF">
        <w:rPr>
          <w:rFonts w:eastAsia="Calibri"/>
        </w:rPr>
        <w:t>:</w:t>
      </w:r>
      <w:r w:rsidRPr="00F41AEF">
        <w:rPr>
          <w:rFonts w:eastAsia="Calibri"/>
        </w:rPr>
        <w:t xml:space="preserve"> </w:t>
      </w:r>
      <w:r w:rsidR="00AF44F0" w:rsidRPr="00F41AEF">
        <w:rPr>
          <w:rFonts w:eastAsia="Calibri"/>
          <w:i/>
          <w:iCs/>
        </w:rPr>
        <w:t>Wiśniewska p. Polsce</w:t>
      </w:r>
      <w:r w:rsidRPr="00F41AEF">
        <w:rPr>
          <w:rFonts w:eastAsia="Calibri"/>
        </w:rPr>
        <w:t xml:space="preserve"> (nr 32863/21) – sp</w:t>
      </w:r>
      <w:r w:rsidR="00AF44F0" w:rsidRPr="00F41AEF">
        <w:rPr>
          <w:rFonts w:eastAsia="Calibri"/>
        </w:rPr>
        <w:t>rawa dot. zastosowania instytucji konfiskaty rozszerzonej</w:t>
      </w:r>
      <w:r w:rsidR="00EC41A4">
        <w:rPr>
          <w:rFonts w:eastAsia="Calibri"/>
        </w:rPr>
        <w:t>;</w:t>
      </w:r>
      <w:r w:rsidRPr="00F41AEF">
        <w:rPr>
          <w:rFonts w:eastAsia="Calibri"/>
        </w:rPr>
        <w:t xml:space="preserve"> </w:t>
      </w:r>
      <w:r w:rsidR="00AF44F0" w:rsidRPr="00F41AEF">
        <w:rPr>
          <w:rFonts w:eastAsia="Calibri"/>
          <w:i/>
          <w:iCs/>
        </w:rPr>
        <w:t xml:space="preserve">TM </w:t>
      </w:r>
      <w:proofErr w:type="spellStart"/>
      <w:r w:rsidR="00AF44F0" w:rsidRPr="00F41AEF">
        <w:rPr>
          <w:rFonts w:eastAsia="Calibri"/>
          <w:i/>
          <w:iCs/>
        </w:rPr>
        <w:t>Synthetics</w:t>
      </w:r>
      <w:proofErr w:type="spellEnd"/>
      <w:r w:rsidR="00AF44F0" w:rsidRPr="00F41AEF">
        <w:rPr>
          <w:rFonts w:eastAsia="Calibri"/>
          <w:i/>
          <w:iCs/>
        </w:rPr>
        <w:t xml:space="preserve"> Spółka Akcyjna p. Polsce</w:t>
      </w:r>
      <w:r w:rsidR="00AF44F0" w:rsidRPr="00F41AEF">
        <w:rPr>
          <w:rFonts w:eastAsia="Calibri"/>
        </w:rPr>
        <w:t xml:space="preserve"> (nr 32553/20) </w:t>
      </w:r>
      <w:r w:rsidR="00EC41A4">
        <w:rPr>
          <w:rFonts w:eastAsia="Calibri"/>
        </w:rPr>
        <w:t>–</w:t>
      </w:r>
      <w:r w:rsidR="00AF44F0" w:rsidRPr="00F41AEF">
        <w:rPr>
          <w:rFonts w:eastAsia="Calibri"/>
        </w:rPr>
        <w:t xml:space="preserve"> zajęcie</w:t>
      </w:r>
      <w:r w:rsidR="00EC41A4">
        <w:rPr>
          <w:rFonts w:eastAsia="Calibri"/>
        </w:rPr>
        <w:t xml:space="preserve"> </w:t>
      </w:r>
      <w:r w:rsidR="00AF44F0" w:rsidRPr="00F41AEF">
        <w:rPr>
          <w:rFonts w:eastAsia="Calibri"/>
        </w:rPr>
        <w:t>konta bankowego w postępowaniu karnym</w:t>
      </w:r>
      <w:r w:rsidR="00EC41A4">
        <w:rPr>
          <w:rFonts w:eastAsia="Calibri"/>
        </w:rPr>
        <w:t>;</w:t>
      </w:r>
      <w:r w:rsidRPr="00F41AEF">
        <w:rPr>
          <w:rFonts w:eastAsia="Calibri"/>
        </w:rPr>
        <w:t xml:space="preserve"> </w:t>
      </w:r>
      <w:r w:rsidR="00AF44F0" w:rsidRPr="00F41AEF">
        <w:rPr>
          <w:rFonts w:eastAsia="Calibri"/>
          <w:i/>
          <w:iCs/>
        </w:rPr>
        <w:t>Łukawski p. Polsce</w:t>
      </w:r>
      <w:r w:rsidR="00AF44F0" w:rsidRPr="00F41AEF">
        <w:rPr>
          <w:rFonts w:eastAsia="Calibri"/>
        </w:rPr>
        <w:t xml:space="preserve"> (nr 63377/19) </w:t>
      </w:r>
      <w:r w:rsidR="00EC41A4">
        <w:rPr>
          <w:rFonts w:eastAsia="Calibri"/>
        </w:rPr>
        <w:t>–</w:t>
      </w:r>
      <w:r w:rsidR="00AF44F0" w:rsidRPr="00F41AEF">
        <w:rPr>
          <w:rFonts w:eastAsia="Calibri"/>
        </w:rPr>
        <w:t xml:space="preserve"> przeszukanie</w:t>
      </w:r>
      <w:r w:rsidR="00EC41A4">
        <w:rPr>
          <w:rFonts w:eastAsia="Calibri"/>
        </w:rPr>
        <w:t xml:space="preserve"> mieszkania;</w:t>
      </w:r>
    </w:p>
    <w:p w:rsidR="00AF44F0" w:rsidRPr="00F41AEF" w:rsidRDefault="006853AE" w:rsidP="00F41AEF">
      <w:pPr>
        <w:pStyle w:val="Akapitzlist"/>
        <w:numPr>
          <w:ilvl w:val="0"/>
          <w:numId w:val="18"/>
        </w:numPr>
        <w:spacing w:after="120" w:line="240" w:lineRule="auto"/>
        <w:contextualSpacing w:val="0"/>
        <w:jc w:val="both"/>
        <w:rPr>
          <w:rFonts w:eastAsia="Calibri"/>
        </w:rPr>
      </w:pPr>
      <w:r w:rsidRPr="00F41AEF">
        <w:rPr>
          <w:rFonts w:eastAsia="Calibri"/>
        </w:rPr>
        <w:t>s</w:t>
      </w:r>
      <w:r w:rsidR="00AF44F0" w:rsidRPr="00F41AEF">
        <w:rPr>
          <w:rFonts w:eastAsia="Calibri"/>
        </w:rPr>
        <w:t>prawy dot. braku przesłuchania świadka oskarżenia</w:t>
      </w:r>
      <w:r w:rsidR="00121264" w:rsidRPr="00F41AEF">
        <w:rPr>
          <w:rFonts w:eastAsia="Calibri"/>
        </w:rPr>
        <w:t xml:space="preserve">: </w:t>
      </w:r>
      <w:r w:rsidR="00AF44F0" w:rsidRPr="00F41AEF">
        <w:rPr>
          <w:rFonts w:eastAsia="Calibri"/>
          <w:i/>
          <w:iCs/>
        </w:rPr>
        <w:t>Sobczak p. Polsce</w:t>
      </w:r>
      <w:r w:rsidR="00AF44F0" w:rsidRPr="00F41AEF">
        <w:rPr>
          <w:rFonts w:eastAsia="Calibri"/>
        </w:rPr>
        <w:t xml:space="preserve">, nr 30752/14 i </w:t>
      </w:r>
      <w:r w:rsidR="00AF44F0" w:rsidRPr="00F41AEF">
        <w:rPr>
          <w:rFonts w:eastAsia="Calibri"/>
          <w:i/>
          <w:iCs/>
        </w:rPr>
        <w:t>Romaniuk p. Polsce</w:t>
      </w:r>
      <w:r w:rsidR="00121264" w:rsidRPr="00F41AEF">
        <w:rPr>
          <w:rFonts w:eastAsia="Calibri"/>
        </w:rPr>
        <w:t>, nr 42179/14</w:t>
      </w:r>
      <w:r w:rsidR="00AF44F0" w:rsidRPr="00F41AEF">
        <w:rPr>
          <w:rFonts w:eastAsia="Calibri"/>
        </w:rPr>
        <w:t>,</w:t>
      </w:r>
    </w:p>
    <w:p w:rsidR="00AF44F0" w:rsidRPr="00F41AEF" w:rsidRDefault="00121264" w:rsidP="00F41AEF">
      <w:pPr>
        <w:pStyle w:val="Akapitzlist"/>
        <w:numPr>
          <w:ilvl w:val="0"/>
          <w:numId w:val="18"/>
        </w:numPr>
        <w:spacing w:after="120" w:line="240" w:lineRule="auto"/>
        <w:contextualSpacing w:val="0"/>
        <w:jc w:val="both"/>
        <w:rPr>
          <w:rFonts w:eastAsia="Calibri"/>
        </w:rPr>
      </w:pPr>
      <w:r w:rsidRPr="00F41AEF">
        <w:rPr>
          <w:rFonts w:eastAsia="Calibri"/>
        </w:rPr>
        <w:t>s</w:t>
      </w:r>
      <w:r w:rsidR="00EC41A4">
        <w:rPr>
          <w:rFonts w:eastAsia="Calibri"/>
        </w:rPr>
        <w:t>prawy dot. wolności słowa i</w:t>
      </w:r>
      <w:r w:rsidR="00AF44F0" w:rsidRPr="00F41AEF">
        <w:rPr>
          <w:rFonts w:eastAsia="Calibri"/>
        </w:rPr>
        <w:t xml:space="preserve"> wolności zgromadzeń:</w:t>
      </w:r>
      <w:r w:rsidRPr="00F41AEF">
        <w:rPr>
          <w:rFonts w:eastAsia="Calibri"/>
        </w:rPr>
        <w:t xml:space="preserve"> </w:t>
      </w:r>
      <w:r w:rsidR="00AF44F0" w:rsidRPr="00F41AEF">
        <w:rPr>
          <w:rFonts w:eastAsia="Calibri"/>
        </w:rPr>
        <w:t>sprawy dot</w:t>
      </w:r>
      <w:r w:rsidRPr="00F41AEF">
        <w:rPr>
          <w:rFonts w:eastAsia="Calibri"/>
        </w:rPr>
        <w:t>yczące</w:t>
      </w:r>
      <w:r w:rsidR="00AF44F0" w:rsidRPr="00F41AEF">
        <w:rPr>
          <w:rFonts w:eastAsia="Calibri"/>
        </w:rPr>
        <w:t xml:space="preserve"> post</w:t>
      </w:r>
      <w:r w:rsidRPr="00F41AEF">
        <w:rPr>
          <w:rFonts w:eastAsia="Calibri"/>
        </w:rPr>
        <w:t>ępowania</w:t>
      </w:r>
      <w:r w:rsidR="00AF44F0" w:rsidRPr="00F41AEF">
        <w:rPr>
          <w:rFonts w:eastAsia="Calibri"/>
        </w:rPr>
        <w:t xml:space="preserve"> karnego za zniesławienie (</w:t>
      </w:r>
      <w:r w:rsidR="00AF44F0" w:rsidRPr="00F41AEF">
        <w:rPr>
          <w:rFonts w:eastAsia="Calibri"/>
          <w:i/>
          <w:iCs/>
        </w:rPr>
        <w:t>Wieczorek p. Polsce</w:t>
      </w:r>
      <w:r w:rsidR="00AF44F0" w:rsidRPr="00F41AEF">
        <w:rPr>
          <w:rFonts w:eastAsia="Calibri"/>
        </w:rPr>
        <w:t xml:space="preserve">, nr 23801/19 i </w:t>
      </w:r>
      <w:r w:rsidR="00AF44F0" w:rsidRPr="00F41AEF">
        <w:rPr>
          <w:rFonts w:eastAsia="Calibri"/>
          <w:i/>
          <w:iCs/>
        </w:rPr>
        <w:t>Sienkiewicz-</w:t>
      </w:r>
      <w:proofErr w:type="spellStart"/>
      <w:r w:rsidR="00AF44F0" w:rsidRPr="00F41AEF">
        <w:rPr>
          <w:rFonts w:eastAsia="Calibri"/>
          <w:i/>
          <w:iCs/>
        </w:rPr>
        <w:t>Woskowicz</w:t>
      </w:r>
      <w:proofErr w:type="spellEnd"/>
      <w:r w:rsidR="00AF44F0" w:rsidRPr="00F41AEF">
        <w:rPr>
          <w:rFonts w:eastAsia="Calibri"/>
        </w:rPr>
        <w:t xml:space="preserve"> p. Polsce, nr 32512/20)</w:t>
      </w:r>
      <w:r w:rsidR="00EC41A4">
        <w:rPr>
          <w:rFonts w:eastAsia="Calibri"/>
        </w:rPr>
        <w:t>;</w:t>
      </w:r>
      <w:r w:rsidRPr="00F41AEF">
        <w:rPr>
          <w:rFonts w:eastAsia="Calibri"/>
        </w:rPr>
        <w:t xml:space="preserve"> zatrzymanie działaczek </w:t>
      </w:r>
      <w:proofErr w:type="spellStart"/>
      <w:r w:rsidRPr="00F41AEF">
        <w:rPr>
          <w:rFonts w:eastAsia="Calibri"/>
        </w:rPr>
        <w:t>Greenpeace</w:t>
      </w:r>
      <w:proofErr w:type="spellEnd"/>
      <w:r w:rsidRPr="00F41AEF">
        <w:rPr>
          <w:rFonts w:eastAsia="Calibri"/>
        </w:rPr>
        <w:t xml:space="preserve"> podczas manifestacji</w:t>
      </w:r>
      <w:r w:rsidRPr="00F41AEF">
        <w:rPr>
          <w:rFonts w:eastAsia="Calibri"/>
          <w:i/>
          <w:iCs/>
        </w:rPr>
        <w:t xml:space="preserve"> (</w:t>
      </w:r>
      <w:proofErr w:type="spellStart"/>
      <w:r w:rsidR="00AF44F0" w:rsidRPr="00F41AEF">
        <w:rPr>
          <w:rFonts w:eastAsia="Calibri"/>
          <w:i/>
          <w:iCs/>
        </w:rPr>
        <w:t>Grundland</w:t>
      </w:r>
      <w:proofErr w:type="spellEnd"/>
      <w:r w:rsidR="00AF44F0" w:rsidRPr="00F41AEF">
        <w:rPr>
          <w:rFonts w:eastAsia="Calibri"/>
          <w:i/>
          <w:iCs/>
        </w:rPr>
        <w:t xml:space="preserve"> i Bojarowska p. Polsce</w:t>
      </w:r>
      <w:r w:rsidR="00EC41A4">
        <w:rPr>
          <w:rFonts w:eastAsia="Calibri"/>
          <w:i/>
          <w:iCs/>
        </w:rPr>
        <w:t>,</w:t>
      </w:r>
      <w:r w:rsidR="00AF44F0" w:rsidRPr="00F41AEF">
        <w:rPr>
          <w:rFonts w:eastAsia="Calibri"/>
        </w:rPr>
        <w:t xml:space="preserve"> nr 15532/21 i 16560/21</w:t>
      </w:r>
      <w:r w:rsidRPr="00F41AEF">
        <w:rPr>
          <w:rFonts w:eastAsia="Calibri"/>
        </w:rPr>
        <w:t xml:space="preserve">), </w:t>
      </w:r>
      <w:proofErr w:type="spellStart"/>
      <w:r w:rsidR="00AF44F0" w:rsidRPr="00F41AEF">
        <w:rPr>
          <w:rFonts w:eastAsia="Calibri"/>
          <w:i/>
          <w:iCs/>
        </w:rPr>
        <w:t>Bunzel</w:t>
      </w:r>
      <w:proofErr w:type="spellEnd"/>
      <w:r w:rsidR="00AF44F0" w:rsidRPr="00F41AEF">
        <w:rPr>
          <w:rFonts w:eastAsia="Calibri"/>
          <w:i/>
          <w:iCs/>
        </w:rPr>
        <w:t xml:space="preserve"> p. Polsce</w:t>
      </w:r>
      <w:r w:rsidR="00AF44F0" w:rsidRPr="00F41AEF">
        <w:rPr>
          <w:rFonts w:eastAsia="Calibri"/>
        </w:rPr>
        <w:t xml:space="preserve"> (nr 18854/18) – </w:t>
      </w:r>
      <w:r w:rsidRPr="00F41AEF">
        <w:rPr>
          <w:rFonts w:eastAsia="Calibri"/>
        </w:rPr>
        <w:t xml:space="preserve">sprawa </w:t>
      </w:r>
      <w:r w:rsidR="00AF44F0" w:rsidRPr="00F41AEF">
        <w:rPr>
          <w:rFonts w:eastAsia="Calibri"/>
        </w:rPr>
        <w:t>dot</w:t>
      </w:r>
      <w:r w:rsidRPr="00F41AEF">
        <w:rPr>
          <w:rFonts w:eastAsia="Calibri"/>
        </w:rPr>
        <w:t>ycząca</w:t>
      </w:r>
      <w:r w:rsidR="00AF44F0" w:rsidRPr="00F41AEF">
        <w:rPr>
          <w:rFonts w:eastAsia="Calibri"/>
        </w:rPr>
        <w:t xml:space="preserve"> wydarzeń odbywających się pod szyldem Czarnego Protestu – ukaranie organizatorki manifestacji za używanie symbolu </w:t>
      </w:r>
      <w:r w:rsidR="00EC41A4">
        <w:rPr>
          <w:rFonts w:eastAsia="Calibri"/>
        </w:rPr>
        <w:t>„</w:t>
      </w:r>
      <w:r w:rsidR="00AF44F0" w:rsidRPr="00F41AEF">
        <w:rPr>
          <w:rFonts w:eastAsia="Calibri"/>
        </w:rPr>
        <w:t>Polka Walcząca</w:t>
      </w:r>
      <w:r w:rsidR="00EC41A4">
        <w:rPr>
          <w:rFonts w:eastAsia="Calibri"/>
        </w:rPr>
        <w:t>”</w:t>
      </w:r>
      <w:r w:rsidR="00AF44F0" w:rsidRPr="00F41AEF">
        <w:rPr>
          <w:rFonts w:eastAsia="Calibri"/>
        </w:rPr>
        <w:t xml:space="preserve"> przez uczestników,</w:t>
      </w:r>
    </w:p>
    <w:p w:rsidR="00AF44F0" w:rsidRPr="00F41AEF" w:rsidRDefault="00121264" w:rsidP="00F41AEF">
      <w:pPr>
        <w:pStyle w:val="Akapitzlist"/>
        <w:numPr>
          <w:ilvl w:val="0"/>
          <w:numId w:val="18"/>
        </w:numPr>
        <w:spacing w:after="120" w:line="240" w:lineRule="auto"/>
        <w:contextualSpacing w:val="0"/>
        <w:jc w:val="both"/>
        <w:rPr>
          <w:rFonts w:eastAsia="Calibri"/>
        </w:rPr>
      </w:pPr>
      <w:r w:rsidRPr="00F41AEF">
        <w:rPr>
          <w:rFonts w:eastAsia="Calibri"/>
        </w:rPr>
        <w:t>s</w:t>
      </w:r>
      <w:r w:rsidR="00AF44F0" w:rsidRPr="00F41AEF">
        <w:rPr>
          <w:rFonts w:eastAsia="Calibri"/>
        </w:rPr>
        <w:t>prawy</w:t>
      </w:r>
      <w:r w:rsidRPr="00F41AEF">
        <w:rPr>
          <w:rFonts w:eastAsia="Calibri"/>
        </w:rPr>
        <w:t xml:space="preserve"> z zakresu prawa </w:t>
      </w:r>
      <w:r w:rsidR="00AF44F0" w:rsidRPr="00F41AEF">
        <w:rPr>
          <w:rFonts w:eastAsia="Calibri"/>
        </w:rPr>
        <w:t>rodzinne</w:t>
      </w:r>
      <w:r w:rsidRPr="00F41AEF">
        <w:rPr>
          <w:rFonts w:eastAsia="Calibri"/>
        </w:rPr>
        <w:t>go</w:t>
      </w:r>
      <w:r w:rsidR="00AF44F0" w:rsidRPr="00F41AEF">
        <w:rPr>
          <w:rFonts w:eastAsia="Calibri"/>
        </w:rPr>
        <w:t>:</w:t>
      </w:r>
      <w:r w:rsidRPr="00F41AEF">
        <w:rPr>
          <w:rFonts w:eastAsia="Calibri"/>
        </w:rPr>
        <w:t xml:space="preserve"> </w:t>
      </w:r>
      <w:proofErr w:type="spellStart"/>
      <w:r w:rsidR="00AF44F0" w:rsidRPr="00F41AEF">
        <w:rPr>
          <w:rFonts w:eastAsia="Calibri"/>
          <w:i/>
          <w:iCs/>
        </w:rPr>
        <w:t>Youssfi</w:t>
      </w:r>
      <w:proofErr w:type="spellEnd"/>
      <w:r w:rsidR="00AF44F0" w:rsidRPr="00F41AEF">
        <w:rPr>
          <w:rFonts w:eastAsia="Calibri"/>
          <w:i/>
          <w:iCs/>
        </w:rPr>
        <w:t xml:space="preserve"> p. Polsce</w:t>
      </w:r>
      <w:r w:rsidR="00AF44F0" w:rsidRPr="00F41AEF">
        <w:rPr>
          <w:rFonts w:eastAsia="Calibri"/>
        </w:rPr>
        <w:t xml:space="preserve"> (nr 12730/21) – </w:t>
      </w:r>
      <w:r w:rsidRPr="00F41AEF">
        <w:rPr>
          <w:rFonts w:eastAsia="Calibri"/>
        </w:rPr>
        <w:t>n</w:t>
      </w:r>
      <w:r w:rsidR="00AF44F0" w:rsidRPr="00F41AEF">
        <w:rPr>
          <w:rFonts w:eastAsia="Calibri"/>
        </w:rPr>
        <w:t xml:space="preserve">a kanwie sprawy dot. stosowania Konwencji haskiej dot. cywilnych aspektów uprowadzenia dziecka za granicę </w:t>
      </w:r>
      <w:r w:rsidR="00EC41A4">
        <w:rPr>
          <w:rFonts w:eastAsia="Calibri"/>
        </w:rPr>
        <w:t>(</w:t>
      </w:r>
      <w:r w:rsidR="00AF44F0" w:rsidRPr="00F41AEF">
        <w:rPr>
          <w:rFonts w:eastAsia="Calibri"/>
        </w:rPr>
        <w:t>sprawa wielowymiarowa, dot. niewykonanie orzeczenia o nakazaniu wydania dziecka; post</w:t>
      </w:r>
      <w:r w:rsidRPr="00F41AEF">
        <w:rPr>
          <w:rFonts w:eastAsia="Calibri"/>
        </w:rPr>
        <w:t>ępowanie</w:t>
      </w:r>
      <w:r w:rsidR="00AF44F0" w:rsidRPr="00F41AEF">
        <w:rPr>
          <w:rFonts w:eastAsia="Calibri"/>
        </w:rPr>
        <w:t xml:space="preserve"> w Polsce i Belgii, skład TK),</w:t>
      </w:r>
    </w:p>
    <w:p w:rsidR="00AF44F0" w:rsidRPr="00F41AEF" w:rsidRDefault="00121264" w:rsidP="00F41AEF">
      <w:pPr>
        <w:pStyle w:val="Akapitzlist"/>
        <w:numPr>
          <w:ilvl w:val="0"/>
          <w:numId w:val="19"/>
        </w:numPr>
        <w:spacing w:after="120" w:line="240" w:lineRule="auto"/>
        <w:contextualSpacing w:val="0"/>
        <w:jc w:val="both"/>
        <w:rPr>
          <w:rFonts w:eastAsia="Calibri"/>
        </w:rPr>
      </w:pPr>
      <w:r w:rsidRPr="00F41AEF">
        <w:rPr>
          <w:rFonts w:eastAsia="Calibri"/>
        </w:rPr>
        <w:t>s</w:t>
      </w:r>
      <w:r w:rsidR="00AF44F0" w:rsidRPr="00F41AEF">
        <w:rPr>
          <w:rFonts w:eastAsia="Calibri"/>
        </w:rPr>
        <w:t>prawa dot. poszanowania własności:</w:t>
      </w:r>
      <w:r w:rsidRPr="00F41AEF">
        <w:rPr>
          <w:rFonts w:eastAsia="Calibri"/>
        </w:rPr>
        <w:t xml:space="preserve"> </w:t>
      </w:r>
      <w:r w:rsidR="00AF44F0" w:rsidRPr="00F41AEF">
        <w:rPr>
          <w:rFonts w:eastAsia="Calibri"/>
          <w:i/>
          <w:iCs/>
        </w:rPr>
        <w:t>Marszałek p. Polsce</w:t>
      </w:r>
      <w:r w:rsidR="00EC41A4">
        <w:rPr>
          <w:rFonts w:eastAsia="Calibri"/>
        </w:rPr>
        <w:t xml:space="preserve"> (nr 11650/21) – eksmisja,</w:t>
      </w:r>
      <w:r w:rsidR="00AF44F0" w:rsidRPr="00F41AEF">
        <w:rPr>
          <w:rFonts w:eastAsia="Calibri"/>
        </w:rPr>
        <w:t xml:space="preserve"> brak lokalu zastępczego</w:t>
      </w:r>
      <w:r w:rsidR="00EC41A4">
        <w:rPr>
          <w:rFonts w:eastAsia="Calibri"/>
        </w:rPr>
        <w:t>;</w:t>
      </w:r>
      <w:r w:rsidRPr="00F41AEF">
        <w:rPr>
          <w:rFonts w:eastAsia="Calibri"/>
        </w:rPr>
        <w:t xml:space="preserve"> </w:t>
      </w:r>
      <w:r w:rsidR="00AF44F0" w:rsidRPr="00F41AEF">
        <w:rPr>
          <w:rFonts w:eastAsia="Calibri"/>
          <w:i/>
          <w:iCs/>
        </w:rPr>
        <w:t>Nagórny p. Polsce</w:t>
      </w:r>
      <w:r w:rsidR="00AF44F0" w:rsidRPr="00F41AEF">
        <w:rPr>
          <w:rFonts w:eastAsia="Calibri"/>
        </w:rPr>
        <w:t xml:space="preserve"> (nr 13402/19)</w:t>
      </w:r>
      <w:r w:rsidR="00EC41A4">
        <w:rPr>
          <w:rFonts w:eastAsia="Calibri"/>
        </w:rPr>
        <w:t xml:space="preserve"> - brak zwrotu nadpłaty podatku;</w:t>
      </w:r>
    </w:p>
    <w:p w:rsidR="00AF44F0" w:rsidRPr="00F41AEF" w:rsidRDefault="00121264" w:rsidP="00F41AEF">
      <w:pPr>
        <w:pStyle w:val="Akapitzlist"/>
        <w:numPr>
          <w:ilvl w:val="0"/>
          <w:numId w:val="19"/>
        </w:numPr>
        <w:spacing w:after="120" w:line="240" w:lineRule="auto"/>
        <w:contextualSpacing w:val="0"/>
        <w:jc w:val="both"/>
        <w:rPr>
          <w:rFonts w:eastAsia="Calibri"/>
        </w:rPr>
      </w:pPr>
      <w:r w:rsidRPr="00F41AEF">
        <w:rPr>
          <w:rFonts w:eastAsia="Calibri"/>
        </w:rPr>
        <w:lastRenderedPageBreak/>
        <w:t>s</w:t>
      </w:r>
      <w:r w:rsidR="00AF44F0" w:rsidRPr="00F41AEF">
        <w:rPr>
          <w:rFonts w:eastAsia="Calibri"/>
        </w:rPr>
        <w:t>prawy dot. cudzoziemców:</w:t>
      </w:r>
      <w:r w:rsidRPr="00F41AEF">
        <w:rPr>
          <w:rFonts w:eastAsia="Calibri"/>
        </w:rPr>
        <w:t xml:space="preserve"> </w:t>
      </w:r>
      <w:proofErr w:type="spellStart"/>
      <w:r w:rsidR="00AF44F0" w:rsidRPr="00F41AEF">
        <w:rPr>
          <w:rFonts w:eastAsia="Calibri"/>
          <w:i/>
          <w:iCs/>
        </w:rPr>
        <w:t>Alkhawlany</w:t>
      </w:r>
      <w:proofErr w:type="spellEnd"/>
      <w:r w:rsidR="00AF44F0" w:rsidRPr="00F41AEF">
        <w:rPr>
          <w:rFonts w:eastAsia="Calibri"/>
          <w:i/>
          <w:iCs/>
        </w:rPr>
        <w:t xml:space="preserve"> p. Polsce </w:t>
      </w:r>
      <w:r w:rsidR="00AF44F0" w:rsidRPr="00F41AEF">
        <w:rPr>
          <w:rFonts w:eastAsia="Calibri"/>
        </w:rPr>
        <w:t>(nr 63012/19) – sprawa dot. wydalenia cudzoziemca</w:t>
      </w:r>
      <w:r w:rsidRPr="00F41AEF">
        <w:rPr>
          <w:rFonts w:eastAsia="Calibri"/>
        </w:rPr>
        <w:t>.</w:t>
      </w:r>
    </w:p>
    <w:p w:rsidR="00EC41A4" w:rsidRPr="00EC41A4" w:rsidRDefault="00EC41A4" w:rsidP="00F41AEF">
      <w:pPr>
        <w:spacing w:after="120"/>
        <w:jc w:val="both"/>
        <w:rPr>
          <w:rFonts w:asciiTheme="minorHAnsi" w:eastAsia="Calibri" w:hAnsiTheme="minorHAnsi"/>
          <w:sz w:val="22"/>
          <w:szCs w:val="22"/>
          <w:lang w:eastAsia="en-US"/>
        </w:rPr>
      </w:pPr>
    </w:p>
    <w:p w:rsidR="00AF44F0" w:rsidRPr="00F41AEF" w:rsidRDefault="00AF44F0" w:rsidP="00F41AEF">
      <w:pPr>
        <w:spacing w:after="120"/>
        <w:jc w:val="both"/>
        <w:rPr>
          <w:rFonts w:asciiTheme="minorHAnsi" w:eastAsia="Calibri" w:hAnsiTheme="minorHAnsi"/>
          <w:b/>
          <w:sz w:val="22"/>
          <w:szCs w:val="22"/>
          <w:lang w:eastAsia="en-US"/>
        </w:rPr>
      </w:pPr>
      <w:r w:rsidRPr="00F41AEF">
        <w:rPr>
          <w:rFonts w:asciiTheme="minorHAnsi" w:eastAsia="Calibri" w:hAnsiTheme="minorHAnsi"/>
          <w:b/>
          <w:sz w:val="22"/>
          <w:szCs w:val="22"/>
          <w:lang w:eastAsia="en-US"/>
        </w:rPr>
        <w:t xml:space="preserve">Sprawy w wykonywaniu według stanu na 17 grudnia 2021 </w:t>
      </w:r>
      <w:r w:rsidR="00651715" w:rsidRPr="00F41AEF">
        <w:rPr>
          <w:rFonts w:asciiTheme="minorHAnsi" w:eastAsia="Calibri" w:hAnsiTheme="minorHAnsi"/>
          <w:b/>
          <w:sz w:val="22"/>
          <w:szCs w:val="22"/>
          <w:lang w:eastAsia="en-US"/>
        </w:rPr>
        <w:t>r.</w:t>
      </w:r>
    </w:p>
    <w:p w:rsidR="00AF44F0" w:rsidRPr="00F41AEF" w:rsidRDefault="00651715"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Przewodniczący podał, że w</w:t>
      </w:r>
      <w:r w:rsidR="00AF44F0" w:rsidRPr="00F41AEF">
        <w:rPr>
          <w:rFonts w:asciiTheme="minorHAnsi" w:eastAsia="Calibri" w:hAnsiTheme="minorHAnsi"/>
          <w:sz w:val="22"/>
          <w:szCs w:val="22"/>
          <w:lang w:eastAsia="en-US"/>
        </w:rPr>
        <w:t xml:space="preserve">edług </w:t>
      </w:r>
      <w:r w:rsidRPr="00F41AEF">
        <w:rPr>
          <w:rFonts w:asciiTheme="minorHAnsi" w:eastAsia="Calibri" w:hAnsiTheme="minorHAnsi"/>
          <w:sz w:val="22"/>
          <w:szCs w:val="22"/>
          <w:lang w:eastAsia="en-US"/>
        </w:rPr>
        <w:t xml:space="preserve">stanu na </w:t>
      </w:r>
      <w:r w:rsidR="00AF44F0" w:rsidRPr="00F41AEF">
        <w:rPr>
          <w:rFonts w:asciiTheme="minorHAnsi" w:eastAsia="Calibri" w:hAnsiTheme="minorHAnsi"/>
          <w:sz w:val="22"/>
          <w:szCs w:val="22"/>
          <w:lang w:eastAsia="en-US"/>
        </w:rPr>
        <w:t xml:space="preserve">17 grudnia 2021 r. w nadzorze KMRE nad wykonywaniem znajduje się </w:t>
      </w:r>
      <w:r w:rsidRPr="00F41AEF">
        <w:rPr>
          <w:rFonts w:asciiTheme="minorHAnsi" w:eastAsia="Calibri" w:hAnsiTheme="minorHAnsi"/>
          <w:sz w:val="22"/>
          <w:szCs w:val="22"/>
          <w:lang w:eastAsia="en-US"/>
        </w:rPr>
        <w:t>95 spraw</w:t>
      </w:r>
      <w:r w:rsidR="00AF44F0" w:rsidRPr="00F41AEF">
        <w:rPr>
          <w:rFonts w:asciiTheme="minorHAnsi" w:eastAsia="Calibri" w:hAnsiTheme="minorHAnsi"/>
          <w:sz w:val="22"/>
          <w:szCs w:val="22"/>
          <w:lang w:eastAsia="en-US"/>
        </w:rPr>
        <w:t xml:space="preserve">, w tym 12 decyzji i 83 wyroki. </w:t>
      </w:r>
      <w:r w:rsidRPr="00F41AEF">
        <w:rPr>
          <w:rFonts w:asciiTheme="minorHAnsi" w:eastAsia="Calibri" w:hAnsiTheme="minorHAnsi"/>
          <w:sz w:val="22"/>
          <w:szCs w:val="22"/>
          <w:lang w:eastAsia="en-US"/>
        </w:rPr>
        <w:t xml:space="preserve">W 2021 r. </w:t>
      </w:r>
      <w:r w:rsidR="00AF44F0" w:rsidRPr="00F41AEF">
        <w:rPr>
          <w:rFonts w:asciiTheme="minorHAnsi" w:eastAsia="Calibri" w:hAnsiTheme="minorHAnsi"/>
          <w:sz w:val="22"/>
          <w:szCs w:val="22"/>
          <w:lang w:eastAsia="en-US"/>
        </w:rPr>
        <w:t>KM RE zakończył nadzór nad wykonywaniem 35 spraw (w tym 25 decyzji i 10 wyroków).</w:t>
      </w:r>
    </w:p>
    <w:p w:rsidR="00EC41A4" w:rsidRPr="00EC41A4" w:rsidRDefault="00EC41A4" w:rsidP="00F41AEF">
      <w:pPr>
        <w:spacing w:after="120"/>
        <w:jc w:val="both"/>
        <w:rPr>
          <w:rFonts w:asciiTheme="minorHAnsi" w:eastAsia="Calibri" w:hAnsiTheme="minorHAnsi"/>
          <w:sz w:val="22"/>
          <w:szCs w:val="22"/>
          <w:lang w:eastAsia="en-US"/>
        </w:rPr>
      </w:pPr>
    </w:p>
    <w:p w:rsidR="00AF44F0" w:rsidRPr="00F41AEF" w:rsidRDefault="00AF44F0" w:rsidP="00F41AEF">
      <w:pPr>
        <w:spacing w:after="120"/>
        <w:jc w:val="both"/>
        <w:rPr>
          <w:rFonts w:asciiTheme="minorHAnsi" w:eastAsia="Calibri" w:hAnsiTheme="minorHAnsi"/>
          <w:b/>
          <w:sz w:val="22"/>
          <w:szCs w:val="22"/>
          <w:lang w:eastAsia="en-US"/>
        </w:rPr>
      </w:pPr>
      <w:r w:rsidRPr="00F41AEF">
        <w:rPr>
          <w:rFonts w:asciiTheme="minorHAnsi" w:eastAsia="Calibri" w:hAnsiTheme="minorHAnsi"/>
          <w:b/>
          <w:sz w:val="22"/>
          <w:szCs w:val="22"/>
          <w:lang w:eastAsia="en-US"/>
        </w:rPr>
        <w:t xml:space="preserve">Komunikacje złożone w 2021 r. do Komitetu Ministrów na podstawie Reguły 9. </w:t>
      </w:r>
    </w:p>
    <w:p w:rsidR="00651715" w:rsidRPr="00F41AEF" w:rsidRDefault="00651715"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W 2021 r. (do dnia 17 grudnia 2021 r.) zostało przedstawionych 10 komunikacji na podstawie Reguły 9 ust. 2 Regulaminu Komitetu Ministrów w formacie ds. praw człowieka. Były to komunikacje w sprawach: </w:t>
      </w:r>
      <w:r w:rsidRPr="00F41AEF">
        <w:rPr>
          <w:rFonts w:asciiTheme="minorHAnsi" w:eastAsia="Calibri" w:hAnsiTheme="minorHAnsi"/>
          <w:i/>
          <w:sz w:val="22"/>
          <w:szCs w:val="22"/>
          <w:lang w:eastAsia="en-US"/>
        </w:rPr>
        <w:t>Tysiąc p. Polsce</w:t>
      </w:r>
      <w:r w:rsidRPr="00F41AEF">
        <w:rPr>
          <w:rFonts w:asciiTheme="minorHAnsi" w:eastAsia="Calibri" w:hAnsiTheme="minorHAnsi"/>
          <w:sz w:val="22"/>
          <w:szCs w:val="22"/>
          <w:lang w:eastAsia="en-US"/>
        </w:rPr>
        <w:t xml:space="preserve"> (5410/03), </w:t>
      </w:r>
      <w:r w:rsidRPr="00F41AEF">
        <w:rPr>
          <w:rFonts w:asciiTheme="minorHAnsi" w:eastAsia="Calibri" w:hAnsiTheme="minorHAnsi"/>
          <w:i/>
          <w:sz w:val="22"/>
          <w:szCs w:val="22"/>
          <w:lang w:eastAsia="en-US"/>
        </w:rPr>
        <w:t>R.R. p. Polsce</w:t>
      </w:r>
      <w:r w:rsidRPr="00F41AEF">
        <w:rPr>
          <w:rFonts w:asciiTheme="minorHAnsi" w:eastAsia="Calibri" w:hAnsiTheme="minorHAnsi"/>
          <w:sz w:val="22"/>
          <w:szCs w:val="22"/>
          <w:lang w:eastAsia="en-US"/>
        </w:rPr>
        <w:t xml:space="preserve"> (27617/04) i </w:t>
      </w:r>
      <w:r w:rsidRPr="00F41AEF">
        <w:rPr>
          <w:rFonts w:asciiTheme="minorHAnsi" w:eastAsia="Calibri" w:hAnsiTheme="minorHAnsi"/>
          <w:i/>
          <w:sz w:val="22"/>
          <w:szCs w:val="22"/>
          <w:lang w:eastAsia="en-US"/>
        </w:rPr>
        <w:t>P. i S. p. Polsce</w:t>
      </w:r>
      <w:r w:rsidRPr="00F41AEF">
        <w:rPr>
          <w:rFonts w:asciiTheme="minorHAnsi" w:eastAsia="Calibri" w:hAnsiTheme="minorHAnsi"/>
          <w:sz w:val="22"/>
          <w:szCs w:val="22"/>
          <w:lang w:eastAsia="en-US"/>
        </w:rPr>
        <w:t xml:space="preserve"> (57375/08), </w:t>
      </w:r>
      <w:proofErr w:type="spellStart"/>
      <w:r w:rsidRPr="00F41AEF">
        <w:rPr>
          <w:rFonts w:asciiTheme="minorHAnsi" w:eastAsia="Calibri" w:hAnsiTheme="minorHAnsi"/>
          <w:i/>
          <w:sz w:val="22"/>
          <w:szCs w:val="22"/>
          <w:lang w:eastAsia="en-US"/>
        </w:rPr>
        <w:t>Burża</w:t>
      </w:r>
      <w:proofErr w:type="spellEnd"/>
      <w:r w:rsidRPr="00F41AEF">
        <w:rPr>
          <w:rFonts w:asciiTheme="minorHAnsi" w:eastAsia="Calibri" w:hAnsiTheme="minorHAnsi"/>
          <w:i/>
          <w:sz w:val="22"/>
          <w:szCs w:val="22"/>
          <w:lang w:eastAsia="en-US"/>
        </w:rPr>
        <w:t xml:space="preserve"> p. Polsce</w:t>
      </w:r>
      <w:r w:rsidRPr="00F41AEF">
        <w:rPr>
          <w:rFonts w:asciiTheme="minorHAnsi" w:eastAsia="Calibri" w:hAnsiTheme="minorHAnsi"/>
          <w:sz w:val="22"/>
          <w:szCs w:val="22"/>
          <w:lang w:eastAsia="en-US"/>
        </w:rPr>
        <w:t xml:space="preserve"> (15333/16), </w:t>
      </w:r>
      <w:r w:rsidRPr="00F41AEF">
        <w:rPr>
          <w:rFonts w:asciiTheme="minorHAnsi" w:eastAsia="Calibri" w:hAnsiTheme="minorHAnsi"/>
          <w:i/>
          <w:sz w:val="22"/>
          <w:szCs w:val="22"/>
          <w:lang w:eastAsia="en-US"/>
        </w:rPr>
        <w:t xml:space="preserve">Al </w:t>
      </w:r>
      <w:proofErr w:type="spellStart"/>
      <w:r w:rsidRPr="00F41AEF">
        <w:rPr>
          <w:rFonts w:asciiTheme="minorHAnsi" w:eastAsia="Calibri" w:hAnsiTheme="minorHAnsi"/>
          <w:i/>
          <w:sz w:val="22"/>
          <w:szCs w:val="22"/>
          <w:lang w:eastAsia="en-US"/>
        </w:rPr>
        <w:t>Nashiri</w:t>
      </w:r>
      <w:proofErr w:type="spellEnd"/>
      <w:r w:rsidRPr="00F41AEF">
        <w:rPr>
          <w:rFonts w:asciiTheme="minorHAnsi" w:eastAsia="Calibri" w:hAnsiTheme="minorHAnsi"/>
          <w:i/>
          <w:sz w:val="22"/>
          <w:szCs w:val="22"/>
          <w:lang w:eastAsia="en-US"/>
        </w:rPr>
        <w:t xml:space="preserve"> p. Polsce</w:t>
      </w:r>
      <w:r w:rsidRPr="00F41AEF">
        <w:rPr>
          <w:rFonts w:asciiTheme="minorHAnsi" w:eastAsia="Calibri" w:hAnsiTheme="minorHAnsi"/>
          <w:sz w:val="22"/>
          <w:szCs w:val="22"/>
          <w:lang w:eastAsia="en-US"/>
        </w:rPr>
        <w:t xml:space="preserve"> (28761/11), </w:t>
      </w:r>
      <w:proofErr w:type="spellStart"/>
      <w:r w:rsidRPr="00F41AEF">
        <w:rPr>
          <w:rFonts w:asciiTheme="minorHAnsi" w:eastAsia="Calibri" w:hAnsiTheme="minorHAnsi"/>
          <w:i/>
          <w:sz w:val="22"/>
          <w:szCs w:val="22"/>
          <w:lang w:eastAsia="en-US"/>
        </w:rPr>
        <w:t>Husayn</w:t>
      </w:r>
      <w:proofErr w:type="spellEnd"/>
      <w:r w:rsidRPr="00F41AEF">
        <w:rPr>
          <w:rFonts w:asciiTheme="minorHAnsi" w:eastAsia="Calibri" w:hAnsiTheme="minorHAnsi"/>
          <w:i/>
          <w:sz w:val="22"/>
          <w:szCs w:val="22"/>
          <w:lang w:eastAsia="en-US"/>
        </w:rPr>
        <w:t xml:space="preserve"> (Abu </w:t>
      </w:r>
      <w:proofErr w:type="spellStart"/>
      <w:r w:rsidRPr="00F41AEF">
        <w:rPr>
          <w:rFonts w:asciiTheme="minorHAnsi" w:eastAsia="Calibri" w:hAnsiTheme="minorHAnsi"/>
          <w:i/>
          <w:sz w:val="22"/>
          <w:szCs w:val="22"/>
          <w:lang w:eastAsia="en-US"/>
        </w:rPr>
        <w:t>Zubaydah</w:t>
      </w:r>
      <w:proofErr w:type="spellEnd"/>
      <w:r w:rsidRPr="00F41AEF">
        <w:rPr>
          <w:rFonts w:asciiTheme="minorHAnsi" w:eastAsia="Calibri" w:hAnsiTheme="minorHAnsi"/>
          <w:i/>
          <w:sz w:val="22"/>
          <w:szCs w:val="22"/>
          <w:lang w:eastAsia="en-US"/>
        </w:rPr>
        <w:t>) p. Polsce</w:t>
      </w:r>
      <w:r w:rsidRPr="00F41AEF">
        <w:rPr>
          <w:rFonts w:asciiTheme="minorHAnsi" w:eastAsia="Calibri" w:hAnsiTheme="minorHAnsi"/>
          <w:sz w:val="22"/>
          <w:szCs w:val="22"/>
          <w:lang w:eastAsia="en-US"/>
        </w:rPr>
        <w:t xml:space="preserve"> (7511/13), </w:t>
      </w:r>
      <w:r w:rsidRPr="00F41AEF">
        <w:rPr>
          <w:rFonts w:asciiTheme="minorHAnsi" w:eastAsia="Calibri" w:hAnsiTheme="minorHAnsi"/>
          <w:i/>
          <w:sz w:val="22"/>
          <w:szCs w:val="22"/>
          <w:lang w:eastAsia="en-US"/>
        </w:rPr>
        <w:t>Jezior p. Polsce</w:t>
      </w:r>
      <w:r w:rsidR="00EC41A4">
        <w:rPr>
          <w:rFonts w:asciiTheme="minorHAnsi" w:eastAsia="Calibri" w:hAnsiTheme="minorHAnsi"/>
          <w:sz w:val="22"/>
          <w:szCs w:val="22"/>
          <w:lang w:eastAsia="en-US"/>
        </w:rPr>
        <w:t xml:space="preserve"> (31955/11).</w:t>
      </w:r>
    </w:p>
    <w:p w:rsidR="00651715" w:rsidRPr="00F41AEF" w:rsidRDefault="00651715"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Komunikacje przedstawiły: Helsińska Fundacja Praw Człowieka (łącznie 4 komunikacje), Naczelna Rada Adwokacka (1 komunikacja), Centrum Praw Reprodukcyjnych oraz Federacja na rzecz Kobiet i Planowania Rodziny (3 komunikacj</w:t>
      </w:r>
      <w:r w:rsidR="00C974BE" w:rsidRPr="00F41AEF">
        <w:rPr>
          <w:rFonts w:asciiTheme="minorHAnsi" w:eastAsia="Calibri" w:hAnsiTheme="minorHAnsi"/>
          <w:sz w:val="22"/>
          <w:szCs w:val="22"/>
          <w:lang w:eastAsia="en-US"/>
        </w:rPr>
        <w:t>e</w:t>
      </w:r>
      <w:r w:rsidRPr="00F41AEF">
        <w:rPr>
          <w:rFonts w:asciiTheme="minorHAnsi" w:eastAsia="Calibri" w:hAnsiTheme="minorHAnsi"/>
          <w:sz w:val="22"/>
          <w:szCs w:val="22"/>
          <w:lang w:eastAsia="en-US"/>
        </w:rPr>
        <w:t xml:space="preserve">), a także podmioty międzynarodowe: Human Rights in </w:t>
      </w:r>
      <w:proofErr w:type="spellStart"/>
      <w:r w:rsidRPr="00F41AEF">
        <w:rPr>
          <w:rFonts w:asciiTheme="minorHAnsi" w:eastAsia="Calibri" w:hAnsiTheme="minorHAnsi"/>
          <w:sz w:val="22"/>
          <w:szCs w:val="22"/>
          <w:lang w:eastAsia="en-US"/>
        </w:rPr>
        <w:t>Practice</w:t>
      </w:r>
      <w:proofErr w:type="spellEnd"/>
      <w:r w:rsidRPr="00F41AEF">
        <w:rPr>
          <w:rFonts w:asciiTheme="minorHAnsi" w:eastAsia="Calibri" w:hAnsiTheme="minorHAnsi"/>
          <w:sz w:val="22"/>
          <w:szCs w:val="22"/>
          <w:lang w:eastAsia="en-US"/>
        </w:rPr>
        <w:t xml:space="preserve"> i Open Society </w:t>
      </w:r>
      <w:proofErr w:type="spellStart"/>
      <w:r w:rsidRPr="00F41AEF">
        <w:rPr>
          <w:rFonts w:asciiTheme="minorHAnsi" w:eastAsia="Calibri" w:hAnsiTheme="minorHAnsi"/>
          <w:sz w:val="22"/>
          <w:szCs w:val="22"/>
          <w:lang w:eastAsia="en-US"/>
        </w:rPr>
        <w:t>Justice</w:t>
      </w:r>
      <w:proofErr w:type="spellEnd"/>
      <w:r w:rsidRPr="00F41AEF">
        <w:rPr>
          <w:rFonts w:asciiTheme="minorHAnsi" w:eastAsia="Calibri" w:hAnsiTheme="minorHAnsi"/>
          <w:sz w:val="22"/>
          <w:szCs w:val="22"/>
          <w:lang w:eastAsia="en-US"/>
        </w:rPr>
        <w:t xml:space="preserve"> </w:t>
      </w:r>
      <w:proofErr w:type="spellStart"/>
      <w:r w:rsidRPr="00F41AEF">
        <w:rPr>
          <w:rFonts w:asciiTheme="minorHAnsi" w:eastAsia="Calibri" w:hAnsiTheme="minorHAnsi"/>
          <w:sz w:val="22"/>
          <w:szCs w:val="22"/>
          <w:lang w:eastAsia="en-US"/>
        </w:rPr>
        <w:t>Initiative</w:t>
      </w:r>
      <w:proofErr w:type="spellEnd"/>
      <w:r w:rsidRPr="00F41AEF">
        <w:rPr>
          <w:rFonts w:asciiTheme="minorHAnsi" w:eastAsia="Calibri" w:hAnsiTheme="minorHAnsi"/>
          <w:sz w:val="22"/>
          <w:szCs w:val="22"/>
          <w:lang w:eastAsia="en-US"/>
        </w:rPr>
        <w:t xml:space="preserve"> (1 komunikacja) oraz European Centre for Law and </w:t>
      </w:r>
      <w:proofErr w:type="spellStart"/>
      <w:r w:rsidRPr="00F41AEF">
        <w:rPr>
          <w:rFonts w:asciiTheme="minorHAnsi" w:eastAsia="Calibri" w:hAnsiTheme="minorHAnsi"/>
          <w:sz w:val="22"/>
          <w:szCs w:val="22"/>
          <w:lang w:eastAsia="en-US"/>
        </w:rPr>
        <w:t>Justice</w:t>
      </w:r>
      <w:proofErr w:type="spellEnd"/>
      <w:r w:rsidRPr="00F41AEF">
        <w:rPr>
          <w:rFonts w:asciiTheme="minorHAnsi" w:eastAsia="Calibri" w:hAnsiTheme="minorHAnsi"/>
          <w:sz w:val="22"/>
          <w:szCs w:val="22"/>
          <w:lang w:eastAsia="en-US"/>
        </w:rPr>
        <w:t xml:space="preserve"> (1 komunikacja).</w:t>
      </w:r>
    </w:p>
    <w:p w:rsidR="00651715" w:rsidRPr="00F41AEF" w:rsidRDefault="00651715"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Rząd udzielił odpowiedzi na 9 komunikacji. Odpowiedzi były przygotowane w oparciu o informacje przekazywane Ministerstwu Spraw Zagranicznych przez właściwe instytucje, tj. w większości przypadków Ministerstwo Sprawiedliwości i Ministerstwo Zdrowia. </w:t>
      </w:r>
    </w:p>
    <w:p w:rsidR="00AF44F0" w:rsidRDefault="00651715"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Wszystkie komunikacje publikowane są na ogólnie dostępnej stronie Komitetu Ministrów RE oraz w bazie wykonywanych orzeczeń HUDOC-EXEC po 10 dniach roboczych od dnia ich przesłania zainteresowanemu państwu celem ustosunkowania się. Państwo ma prawo do przesłania odpowiedzi w każdym czasie, jednak jeśli zrobi to przed upływem ww. 10-dniowego terminu, jego odpowiedź będzie opublikowana razem z samą komunikacją, dzięki czemu wszystkie zainteresowane osoby będą się mogły zapoznać jednocześnie zarówno z treścią komunikacji, jak i z odpowiedzią państwa.</w:t>
      </w:r>
    </w:p>
    <w:p w:rsidR="00EC41A4" w:rsidRPr="00F41AEF" w:rsidRDefault="00EC41A4" w:rsidP="00F41AEF">
      <w:pPr>
        <w:spacing w:after="120"/>
        <w:jc w:val="both"/>
        <w:rPr>
          <w:rFonts w:asciiTheme="minorHAnsi" w:eastAsia="Calibri" w:hAnsiTheme="minorHAnsi"/>
          <w:sz w:val="22"/>
          <w:szCs w:val="22"/>
          <w:lang w:eastAsia="en-US"/>
        </w:rPr>
      </w:pPr>
    </w:p>
    <w:p w:rsidR="00A604A7" w:rsidRPr="00F41AEF" w:rsidRDefault="00A604A7" w:rsidP="00F41AEF">
      <w:pPr>
        <w:pStyle w:val="Akapitzlist"/>
        <w:numPr>
          <w:ilvl w:val="0"/>
          <w:numId w:val="1"/>
        </w:numPr>
        <w:spacing w:after="120" w:line="240" w:lineRule="auto"/>
        <w:contextualSpacing w:val="0"/>
        <w:jc w:val="both"/>
        <w:rPr>
          <w:b/>
        </w:rPr>
      </w:pPr>
      <w:r w:rsidRPr="00F41AEF">
        <w:rPr>
          <w:b/>
        </w:rPr>
        <w:t xml:space="preserve">Informacja na temat ostatniego posiedzenia Komitetu Ministrów RE poświęconego nadzorowi nad wykonywaniem wyroków ETPC (30.11-2.12.2021 r.) oraz o planowanych na 2022 r. pracach Komitetu w tym zakresie </w:t>
      </w:r>
    </w:p>
    <w:p w:rsidR="00A604A7" w:rsidRPr="00F41AEF" w:rsidRDefault="00A604A7"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W agendzie posiedzenia Komitetu Ministrów RE poświęconemu nadzorowi nad wykonywaniem wyroków ETPC, które odbyło się w dniach 30 listopada – 2 grudnia 2021 r. znalazły się polskie sprawy: </w:t>
      </w:r>
      <w:r w:rsidRPr="00F41AEF">
        <w:rPr>
          <w:rFonts w:asciiTheme="minorHAnsi" w:eastAsia="Calibri" w:hAnsiTheme="minorHAnsi"/>
          <w:i/>
          <w:sz w:val="22"/>
          <w:szCs w:val="22"/>
          <w:lang w:eastAsia="en-US"/>
        </w:rPr>
        <w:t>P. i S., Tysiąc, R.R. p. Polsce</w:t>
      </w:r>
      <w:r w:rsidRPr="00F41AEF">
        <w:rPr>
          <w:rFonts w:asciiTheme="minorHAnsi" w:eastAsia="Calibri" w:hAnsiTheme="minorHAnsi"/>
          <w:sz w:val="22"/>
          <w:szCs w:val="22"/>
          <w:lang w:eastAsia="en-US"/>
        </w:rPr>
        <w:t xml:space="preserve">. Sprawy nie były poddawane debacie na forum Komitetu. Decyzja w tych sprawach została przyjęta bez dyskusji. </w:t>
      </w:r>
    </w:p>
    <w:p w:rsidR="00A604A7" w:rsidRPr="00F41AEF" w:rsidRDefault="00A604A7"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Rząd przekazał Komitetowi zaktualizowane informacje nt. wykonania tych spraw w dniu 13 października 2021 r. Decyzja przyjęta przez KM odnosi się do zagadnień już wcześniej podnoszonych przez KM, tj. braku reform przewidujących wyraźny obowiązek szpitali skierowania pacjentów do świadczeń alternatywnych, gdy zabieg medyczny nie został wykonany z powodu zastosowania klauzuli sumienia, potrzeby wprowadzenia jednolitych i jasnych procedur, których powinny przestrzegać wszystkie szpitale, regionalnych różnic w dostępie do </w:t>
      </w:r>
      <w:r w:rsidR="00EC41A4">
        <w:rPr>
          <w:rFonts w:asciiTheme="minorHAnsi" w:eastAsia="Calibri" w:hAnsiTheme="minorHAnsi"/>
          <w:sz w:val="22"/>
          <w:szCs w:val="22"/>
          <w:lang w:eastAsia="en-US"/>
        </w:rPr>
        <w:t>zabiegu legalnego przerwania ciąży</w:t>
      </w:r>
      <w:r w:rsidRPr="00F41AEF">
        <w:rPr>
          <w:rFonts w:asciiTheme="minorHAnsi" w:eastAsia="Calibri" w:hAnsiTheme="minorHAnsi"/>
          <w:sz w:val="22"/>
          <w:szCs w:val="22"/>
          <w:lang w:eastAsia="en-US"/>
        </w:rPr>
        <w:t xml:space="preserve">, niezbędnych reform procedury sprzeciwu. Dodatkowo znajdują się w niej odwołania do dostępności do procedur legalnego przerywania ciąży w związku z wyrokiem Trybunału Konstytucyjnego z dnia 22 października 2020 r., a także komunikatem Ministerstwa Zdrowia opublikowanym po śmierci ciężarnej pacjentki w </w:t>
      </w:r>
      <w:r w:rsidRPr="00F41AEF">
        <w:rPr>
          <w:rFonts w:asciiTheme="minorHAnsi" w:eastAsia="Calibri" w:hAnsiTheme="minorHAnsi"/>
          <w:sz w:val="22"/>
          <w:szCs w:val="22"/>
          <w:lang w:eastAsia="en-US"/>
        </w:rPr>
        <w:lastRenderedPageBreak/>
        <w:t>szpitalu w Pszczynie. Komitet Ministrów usilnie zachęca władze do konsultacji na wysokim szczeblu z Sekretariatem KM w celu zbadania możliwych rozwiązań dla kwestii pozostających do realizacji.</w:t>
      </w:r>
    </w:p>
    <w:p w:rsidR="00A604A7" w:rsidRPr="00F41AEF" w:rsidRDefault="00A604A7"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Jeśli chodzi o prace KM-DH w 2022 r. w kontekście spraw polskich, to na agendzie znajdą się na pewno sprawy: grupa </w:t>
      </w:r>
      <w:r w:rsidRPr="00F41AEF">
        <w:rPr>
          <w:rFonts w:asciiTheme="minorHAnsi" w:eastAsia="Calibri" w:hAnsiTheme="minorHAnsi"/>
          <w:i/>
          <w:sz w:val="22"/>
          <w:szCs w:val="22"/>
          <w:lang w:eastAsia="en-US"/>
        </w:rPr>
        <w:t xml:space="preserve">Al </w:t>
      </w:r>
      <w:proofErr w:type="spellStart"/>
      <w:r w:rsidRPr="00F41AEF">
        <w:rPr>
          <w:rFonts w:asciiTheme="minorHAnsi" w:eastAsia="Calibri" w:hAnsiTheme="minorHAnsi"/>
          <w:i/>
          <w:sz w:val="22"/>
          <w:szCs w:val="22"/>
          <w:lang w:eastAsia="en-US"/>
        </w:rPr>
        <w:t>Nashiri</w:t>
      </w:r>
      <w:proofErr w:type="spellEnd"/>
      <w:r w:rsidRPr="00F41AEF">
        <w:rPr>
          <w:rFonts w:asciiTheme="minorHAnsi" w:eastAsia="Calibri" w:hAnsiTheme="minorHAnsi"/>
          <w:sz w:val="22"/>
          <w:szCs w:val="22"/>
          <w:lang w:eastAsia="en-US"/>
        </w:rPr>
        <w:t xml:space="preserve"> (w marcu 2022), </w:t>
      </w:r>
      <w:r w:rsidRPr="00F41AEF">
        <w:rPr>
          <w:rFonts w:asciiTheme="minorHAnsi" w:eastAsia="Calibri" w:hAnsiTheme="minorHAnsi"/>
          <w:i/>
          <w:sz w:val="22"/>
          <w:szCs w:val="22"/>
          <w:lang w:eastAsia="en-US"/>
        </w:rPr>
        <w:t>Tysiąc, P. i S., R.R</w:t>
      </w:r>
      <w:r w:rsidRPr="00F41AEF">
        <w:rPr>
          <w:rFonts w:asciiTheme="minorHAnsi" w:eastAsia="Calibri" w:hAnsiTheme="minorHAnsi"/>
          <w:sz w:val="22"/>
          <w:szCs w:val="22"/>
          <w:lang w:eastAsia="en-US"/>
        </w:rPr>
        <w:t xml:space="preserve">. (we wrześniu 2022 r.). Ponadto, biorąc pod uwagę, że wyroki w sprawach </w:t>
      </w:r>
      <w:r w:rsidRPr="00F41AEF">
        <w:rPr>
          <w:rFonts w:asciiTheme="minorHAnsi" w:eastAsia="Calibri" w:hAnsiTheme="minorHAnsi"/>
          <w:i/>
          <w:sz w:val="22"/>
          <w:szCs w:val="22"/>
          <w:lang w:eastAsia="en-US"/>
        </w:rPr>
        <w:t xml:space="preserve">M.K. i inni </w:t>
      </w:r>
      <w:r w:rsidR="00C974BE" w:rsidRPr="00F41AEF">
        <w:rPr>
          <w:rFonts w:asciiTheme="minorHAnsi" w:eastAsia="Calibri" w:hAnsiTheme="minorHAnsi"/>
          <w:i/>
          <w:sz w:val="22"/>
          <w:szCs w:val="22"/>
          <w:lang w:eastAsia="en-US"/>
        </w:rPr>
        <w:t>p. Polsce</w:t>
      </w:r>
      <w:r w:rsidR="00C974BE" w:rsidRPr="00F41AEF">
        <w:rPr>
          <w:rFonts w:asciiTheme="minorHAnsi" w:eastAsia="Calibri" w:hAnsiTheme="minorHAnsi"/>
          <w:sz w:val="22"/>
          <w:szCs w:val="22"/>
          <w:lang w:eastAsia="en-US"/>
        </w:rPr>
        <w:t xml:space="preserve"> </w:t>
      </w:r>
      <w:r w:rsidRPr="00F41AEF">
        <w:rPr>
          <w:rFonts w:asciiTheme="minorHAnsi" w:eastAsia="Calibri" w:hAnsiTheme="minorHAnsi"/>
          <w:sz w:val="22"/>
          <w:szCs w:val="22"/>
          <w:lang w:eastAsia="en-US"/>
        </w:rPr>
        <w:t xml:space="preserve">oraz </w:t>
      </w:r>
      <w:r w:rsidRPr="00F41AEF">
        <w:rPr>
          <w:rFonts w:asciiTheme="minorHAnsi" w:eastAsia="Calibri" w:hAnsiTheme="minorHAnsi"/>
          <w:i/>
          <w:sz w:val="22"/>
          <w:szCs w:val="22"/>
          <w:lang w:eastAsia="en-US"/>
        </w:rPr>
        <w:t>Xero Flor sp</w:t>
      </w:r>
      <w:r w:rsidR="00C974BE" w:rsidRPr="00F41AEF">
        <w:rPr>
          <w:rFonts w:asciiTheme="minorHAnsi" w:eastAsia="Calibri" w:hAnsiTheme="minorHAnsi"/>
          <w:i/>
          <w:sz w:val="22"/>
          <w:szCs w:val="22"/>
          <w:lang w:eastAsia="en-US"/>
        </w:rPr>
        <w:t>.</w:t>
      </w:r>
      <w:r w:rsidRPr="00F41AEF">
        <w:rPr>
          <w:rFonts w:asciiTheme="minorHAnsi" w:eastAsia="Calibri" w:hAnsiTheme="minorHAnsi"/>
          <w:i/>
          <w:sz w:val="22"/>
          <w:szCs w:val="22"/>
          <w:lang w:eastAsia="en-US"/>
        </w:rPr>
        <w:t xml:space="preserve"> z o.o. w Polsce</w:t>
      </w:r>
      <w:r w:rsidR="00C974BE" w:rsidRPr="00F41AEF">
        <w:rPr>
          <w:rFonts w:asciiTheme="minorHAnsi" w:eastAsia="Calibri" w:hAnsiTheme="minorHAnsi"/>
          <w:i/>
          <w:sz w:val="22"/>
          <w:szCs w:val="22"/>
          <w:lang w:eastAsia="en-US"/>
        </w:rPr>
        <w:t xml:space="preserve"> p. Polsce</w:t>
      </w:r>
      <w:r w:rsidR="00C974BE" w:rsidRPr="00F41AEF">
        <w:rPr>
          <w:rFonts w:asciiTheme="minorHAnsi" w:eastAsia="Calibri" w:hAnsiTheme="minorHAnsi"/>
          <w:sz w:val="22"/>
          <w:szCs w:val="22"/>
          <w:lang w:eastAsia="en-US"/>
        </w:rPr>
        <w:t xml:space="preserve"> </w:t>
      </w:r>
      <w:r w:rsidRPr="00F41AEF">
        <w:rPr>
          <w:rFonts w:asciiTheme="minorHAnsi" w:eastAsia="Calibri" w:hAnsiTheme="minorHAnsi"/>
          <w:sz w:val="22"/>
          <w:szCs w:val="22"/>
          <w:lang w:eastAsia="en-US"/>
        </w:rPr>
        <w:t>zostały zakwalifikowane do wzmocnionej procedury nadzoru KMRE nad wykonywaniem, należy spodziewać się, że znajdą się na agendzie KM-DH w 2022 r</w:t>
      </w:r>
      <w:r w:rsidR="00987B8C" w:rsidRPr="00F41AEF">
        <w:rPr>
          <w:rFonts w:asciiTheme="minorHAnsi" w:eastAsia="Calibri" w:hAnsiTheme="minorHAnsi"/>
          <w:sz w:val="22"/>
          <w:szCs w:val="22"/>
          <w:lang w:eastAsia="en-US"/>
        </w:rPr>
        <w:t>.</w:t>
      </w:r>
    </w:p>
    <w:p w:rsidR="00987B8C" w:rsidRPr="00F41AEF" w:rsidRDefault="00987B8C"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W tym miejscu przedstawicielka Ordo Iuris zapytała dlaczego wyroki dotyczące spraw aborcyjnych nie zostały dotychczas uznane za wykonane przez KMRE pomimo że strona Polska prezentuje stanowisko o wykonaniu tych wyroków.  </w:t>
      </w:r>
    </w:p>
    <w:p w:rsidR="00C44DE5" w:rsidRDefault="00987B8C"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Przedstawiciel MZ potwierdzi</w:t>
      </w:r>
      <w:r w:rsidR="00AA6F51" w:rsidRPr="00F41AEF">
        <w:rPr>
          <w:rFonts w:asciiTheme="minorHAnsi" w:eastAsia="Calibri" w:hAnsiTheme="minorHAnsi"/>
          <w:sz w:val="22"/>
          <w:szCs w:val="22"/>
          <w:lang w:eastAsia="en-US"/>
        </w:rPr>
        <w:t>ł</w:t>
      </w:r>
      <w:r w:rsidRPr="00F41AEF">
        <w:rPr>
          <w:rFonts w:asciiTheme="minorHAnsi" w:eastAsia="Calibri" w:hAnsiTheme="minorHAnsi"/>
          <w:sz w:val="22"/>
          <w:szCs w:val="22"/>
          <w:lang w:eastAsia="en-US"/>
        </w:rPr>
        <w:t xml:space="preserve">, że MZ stoi na stanowisku, że zostały </w:t>
      </w:r>
      <w:r w:rsidR="00C974BE" w:rsidRPr="00F41AEF">
        <w:rPr>
          <w:rFonts w:asciiTheme="minorHAnsi" w:eastAsia="Calibri" w:hAnsiTheme="minorHAnsi"/>
          <w:sz w:val="22"/>
          <w:szCs w:val="22"/>
          <w:lang w:eastAsia="en-US"/>
        </w:rPr>
        <w:t xml:space="preserve">już </w:t>
      </w:r>
      <w:r w:rsidRPr="00F41AEF">
        <w:rPr>
          <w:rFonts w:asciiTheme="minorHAnsi" w:eastAsia="Calibri" w:hAnsiTheme="minorHAnsi"/>
          <w:sz w:val="22"/>
          <w:szCs w:val="22"/>
          <w:lang w:eastAsia="en-US"/>
        </w:rPr>
        <w:t xml:space="preserve">podjęte odpowiednie działania i że ww. wyroki zostały wykonane przez Polskę, niemniej KMRE nadal wymaga przedstawienia dodatkowych informacji. MZ będzie przygotowywać takie szerokie stanowisko na wrześniową debatę w tych sprawach. Ponadto MZ wyraża nadzieję, że we współpracy z NFZ w dziedzinie nadzoru nad liczbą i okolicznościami wykonywania zabiegów przerywania ciąży </w:t>
      </w:r>
      <w:r w:rsidR="00C974BE" w:rsidRPr="00F41AEF">
        <w:rPr>
          <w:rFonts w:asciiTheme="minorHAnsi" w:eastAsia="Calibri" w:hAnsiTheme="minorHAnsi"/>
          <w:sz w:val="22"/>
          <w:szCs w:val="22"/>
          <w:lang w:eastAsia="en-US"/>
        </w:rPr>
        <w:t xml:space="preserve">MZ </w:t>
      </w:r>
      <w:r w:rsidRPr="00F41AEF">
        <w:rPr>
          <w:rFonts w:asciiTheme="minorHAnsi" w:eastAsia="Calibri" w:hAnsiTheme="minorHAnsi"/>
          <w:sz w:val="22"/>
          <w:szCs w:val="22"/>
          <w:lang w:eastAsia="en-US"/>
        </w:rPr>
        <w:t>będ</w:t>
      </w:r>
      <w:r w:rsidR="00C974BE" w:rsidRPr="00F41AEF">
        <w:rPr>
          <w:rFonts w:asciiTheme="minorHAnsi" w:eastAsia="Calibri" w:hAnsiTheme="minorHAnsi"/>
          <w:sz w:val="22"/>
          <w:szCs w:val="22"/>
          <w:lang w:eastAsia="en-US"/>
        </w:rPr>
        <w:t>zie</w:t>
      </w:r>
      <w:r w:rsidRPr="00F41AEF">
        <w:rPr>
          <w:rFonts w:asciiTheme="minorHAnsi" w:eastAsia="Calibri" w:hAnsiTheme="minorHAnsi"/>
          <w:sz w:val="22"/>
          <w:szCs w:val="22"/>
          <w:lang w:eastAsia="en-US"/>
        </w:rPr>
        <w:t xml:space="preserve"> m</w:t>
      </w:r>
      <w:r w:rsidR="00C974BE" w:rsidRPr="00F41AEF">
        <w:rPr>
          <w:rFonts w:asciiTheme="minorHAnsi" w:eastAsia="Calibri" w:hAnsiTheme="minorHAnsi"/>
          <w:sz w:val="22"/>
          <w:szCs w:val="22"/>
          <w:lang w:eastAsia="en-US"/>
        </w:rPr>
        <w:t>ogło</w:t>
      </w:r>
      <w:r w:rsidRPr="00F41AEF">
        <w:rPr>
          <w:rFonts w:asciiTheme="minorHAnsi" w:eastAsia="Calibri" w:hAnsiTheme="minorHAnsi"/>
          <w:sz w:val="22"/>
          <w:szCs w:val="22"/>
          <w:lang w:eastAsia="en-US"/>
        </w:rPr>
        <w:t xml:space="preserve"> przedstawić </w:t>
      </w:r>
      <w:r w:rsidR="00C974BE" w:rsidRPr="00F41AEF">
        <w:rPr>
          <w:rFonts w:asciiTheme="minorHAnsi" w:eastAsia="Calibri" w:hAnsiTheme="minorHAnsi"/>
          <w:sz w:val="22"/>
          <w:szCs w:val="22"/>
          <w:lang w:eastAsia="en-US"/>
        </w:rPr>
        <w:t xml:space="preserve">KMRE </w:t>
      </w:r>
      <w:r w:rsidRPr="00F41AEF">
        <w:rPr>
          <w:rFonts w:asciiTheme="minorHAnsi" w:eastAsia="Calibri" w:hAnsiTheme="minorHAnsi"/>
          <w:sz w:val="22"/>
          <w:szCs w:val="22"/>
          <w:lang w:eastAsia="en-US"/>
        </w:rPr>
        <w:t xml:space="preserve">odpowiednie informacje, bowiem niektóre dane, o które pytał KMRE nie były jeszcze dostępne </w:t>
      </w:r>
      <w:r w:rsidR="004C4BA5">
        <w:rPr>
          <w:rFonts w:asciiTheme="minorHAnsi" w:eastAsia="Calibri" w:hAnsiTheme="minorHAnsi"/>
          <w:sz w:val="22"/>
          <w:szCs w:val="22"/>
          <w:lang w:eastAsia="en-US"/>
        </w:rPr>
        <w:t>2021 r.</w:t>
      </w:r>
    </w:p>
    <w:p w:rsidR="004C4BA5" w:rsidRPr="00F41AEF" w:rsidRDefault="004C4BA5" w:rsidP="00F41AEF">
      <w:pPr>
        <w:spacing w:after="120"/>
        <w:jc w:val="both"/>
        <w:rPr>
          <w:rFonts w:asciiTheme="minorHAnsi" w:eastAsia="Calibri" w:hAnsiTheme="minorHAnsi"/>
          <w:sz w:val="22"/>
          <w:szCs w:val="22"/>
          <w:lang w:eastAsia="en-US"/>
        </w:rPr>
      </w:pPr>
    </w:p>
    <w:p w:rsidR="00775FAD" w:rsidRPr="00F41AEF" w:rsidRDefault="00775FAD" w:rsidP="00F41AEF">
      <w:pPr>
        <w:pStyle w:val="Akapitzlist"/>
        <w:numPr>
          <w:ilvl w:val="0"/>
          <w:numId w:val="1"/>
        </w:numPr>
        <w:spacing w:after="120" w:line="240" w:lineRule="auto"/>
        <w:contextualSpacing w:val="0"/>
        <w:jc w:val="both"/>
        <w:rPr>
          <w:b/>
        </w:rPr>
      </w:pPr>
      <w:r w:rsidRPr="00F41AEF">
        <w:rPr>
          <w:b/>
        </w:rPr>
        <w:t>Informacj</w:t>
      </w:r>
      <w:r w:rsidR="00C974BE" w:rsidRPr="00F41AEF">
        <w:rPr>
          <w:b/>
        </w:rPr>
        <w:t>e</w:t>
      </w:r>
      <w:r w:rsidRPr="00F41AEF">
        <w:rPr>
          <w:b/>
        </w:rPr>
        <w:t xml:space="preserve"> właściwych resortów i innych podmiotów na temat planów dotyczących wykonania i postępów w realizacji poszczególnych orzeczeń ETPC</w:t>
      </w:r>
    </w:p>
    <w:p w:rsidR="004C4BA5" w:rsidRDefault="004C4BA5" w:rsidP="004C4BA5">
      <w:pPr>
        <w:pStyle w:val="Akapitzlist"/>
        <w:spacing w:after="120" w:line="240" w:lineRule="auto"/>
        <w:ind w:left="709"/>
        <w:contextualSpacing w:val="0"/>
        <w:jc w:val="both"/>
        <w:rPr>
          <w:b/>
          <w:i/>
        </w:rPr>
      </w:pPr>
    </w:p>
    <w:p w:rsidR="00775FAD" w:rsidRPr="004C4BA5" w:rsidRDefault="00775FAD" w:rsidP="004C4BA5">
      <w:pPr>
        <w:pStyle w:val="Akapitzlist"/>
        <w:numPr>
          <w:ilvl w:val="0"/>
          <w:numId w:val="21"/>
        </w:numPr>
        <w:spacing w:after="120" w:line="240" w:lineRule="auto"/>
        <w:ind w:left="709"/>
        <w:contextualSpacing w:val="0"/>
        <w:jc w:val="both"/>
        <w:rPr>
          <w:b/>
          <w:i/>
        </w:rPr>
      </w:pPr>
      <w:r w:rsidRPr="004C4BA5">
        <w:rPr>
          <w:b/>
          <w:i/>
        </w:rPr>
        <w:t>Informacja nt. procesu wykonywania wyroku w sprawie Jezior p. Polsce (skarga nr  31955/11) – referuje Ministerstwo Sprawiedliwości</w:t>
      </w:r>
      <w:r w:rsidR="00C974BE" w:rsidRPr="004C4BA5">
        <w:rPr>
          <w:b/>
          <w:i/>
        </w:rPr>
        <w:t xml:space="preserve"> („MS”)</w:t>
      </w:r>
      <w:r w:rsidRPr="004C4BA5">
        <w:rPr>
          <w:b/>
          <w:i/>
        </w:rPr>
        <w:t xml:space="preserve">;  </w:t>
      </w:r>
    </w:p>
    <w:p w:rsidR="00775FAD" w:rsidRPr="00F41AEF" w:rsidRDefault="00C974BE"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Przewodniczący przypomniał krótko, że s</w:t>
      </w:r>
      <w:r w:rsidR="00775FAD" w:rsidRPr="00F41AEF">
        <w:rPr>
          <w:rFonts w:asciiTheme="minorHAnsi" w:eastAsia="Calibri" w:hAnsiTheme="minorHAnsi"/>
          <w:sz w:val="22"/>
          <w:szCs w:val="22"/>
          <w:lang w:eastAsia="en-US"/>
        </w:rPr>
        <w:t xml:space="preserve">prawa dotyczy naruszenia prawa do wolności wypowiedzi w kontekście wyborów samorządowych. Skarżący, który kandydował na radnego, prowadził bloga internetowego poświęconego bieżącym wydarzeniom w gminie, w której mieszkał. Trybunał stwierdził naruszenie art. 10 Konwencji. </w:t>
      </w:r>
    </w:p>
    <w:p w:rsidR="00775FAD" w:rsidRPr="00F41AEF" w:rsidRDefault="00775FA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Trybunał zauważył w wyroku, że przeniesienie odpowiedzialności w odniesieniu do komentarzy osób trzecich może mieć negatywny wpływ na zamieszczanie komentarzy na portalach internetowych i może działać odstraszająco na wolność wypowiedzi w Internecie.</w:t>
      </w:r>
    </w:p>
    <w:p w:rsidR="00775FAD" w:rsidRPr="00F41AEF" w:rsidRDefault="00775FA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Trybunał ponadto zauważył, że kwestionowane orzeczenie sądu krajowego, wydane w postępowaniu wyborczym, stanowiło nieproporcjonalną ingerencję w wolność wypowiedzi skarżącego. W szczególności sądy krajowe nie zachowały właściwej równowagi między pra</w:t>
      </w:r>
      <w:r w:rsidR="00733E51">
        <w:rPr>
          <w:rFonts w:asciiTheme="minorHAnsi" w:eastAsia="Calibri" w:hAnsiTheme="minorHAnsi"/>
          <w:sz w:val="22"/>
          <w:szCs w:val="22"/>
          <w:lang w:eastAsia="en-US"/>
        </w:rPr>
        <w:t>wem skarżącego do wolności wyrażania opinii</w:t>
      </w:r>
      <w:r w:rsidRPr="00F41AEF">
        <w:rPr>
          <w:rFonts w:asciiTheme="minorHAnsi" w:eastAsia="Calibri" w:hAnsiTheme="minorHAnsi"/>
          <w:sz w:val="22"/>
          <w:szCs w:val="22"/>
          <w:lang w:eastAsia="en-US"/>
        </w:rPr>
        <w:t xml:space="preserve"> (w postaci prowadzenia bloga internetowego) oraz prawem drugiej osoby do poszanowania swojej reputacji jako kandydata w wyborach samorządowych. Zatem kwestionowane decyzje sądów krajowych nie były konieczne w społeczeństwie demokratycznym.</w:t>
      </w:r>
    </w:p>
    <w:p w:rsidR="00775FAD" w:rsidRPr="00F41AEF" w:rsidRDefault="00C974BE"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W sprawie tej Rz</w:t>
      </w:r>
      <w:r w:rsidR="00775FAD" w:rsidRPr="00F41AEF">
        <w:rPr>
          <w:rFonts w:asciiTheme="minorHAnsi" w:eastAsia="Calibri" w:hAnsiTheme="minorHAnsi"/>
          <w:sz w:val="22"/>
          <w:szCs w:val="22"/>
          <w:lang w:eastAsia="en-US"/>
        </w:rPr>
        <w:t xml:space="preserve">ąd przedstawił </w:t>
      </w:r>
      <w:r w:rsidRPr="00F41AEF">
        <w:rPr>
          <w:rFonts w:asciiTheme="minorHAnsi" w:eastAsia="Calibri" w:hAnsiTheme="minorHAnsi"/>
          <w:sz w:val="22"/>
          <w:szCs w:val="22"/>
          <w:lang w:eastAsia="en-US"/>
        </w:rPr>
        <w:t>raport z wykonania wyroku,</w:t>
      </w:r>
      <w:r w:rsidR="00775FAD" w:rsidRPr="00F41AEF">
        <w:rPr>
          <w:rFonts w:asciiTheme="minorHAnsi" w:eastAsia="Calibri" w:hAnsiTheme="minorHAnsi"/>
          <w:sz w:val="22"/>
          <w:szCs w:val="22"/>
          <w:lang w:eastAsia="en-US"/>
        </w:rPr>
        <w:t xml:space="preserve"> do którego Dep</w:t>
      </w:r>
      <w:r w:rsidRPr="00F41AEF">
        <w:rPr>
          <w:rFonts w:asciiTheme="minorHAnsi" w:eastAsia="Calibri" w:hAnsiTheme="minorHAnsi"/>
          <w:sz w:val="22"/>
          <w:szCs w:val="22"/>
          <w:lang w:eastAsia="en-US"/>
        </w:rPr>
        <w:t>artament</w:t>
      </w:r>
      <w:r w:rsidR="00775FAD" w:rsidRPr="00F41AEF">
        <w:rPr>
          <w:rFonts w:asciiTheme="minorHAnsi" w:eastAsia="Calibri" w:hAnsiTheme="minorHAnsi"/>
          <w:sz w:val="22"/>
          <w:szCs w:val="22"/>
          <w:lang w:eastAsia="en-US"/>
        </w:rPr>
        <w:t xml:space="preserve"> Wykonywania Wyroków </w:t>
      </w:r>
      <w:r w:rsidR="001273DE" w:rsidRPr="00F41AEF">
        <w:rPr>
          <w:rFonts w:asciiTheme="minorHAnsi" w:eastAsia="Calibri" w:hAnsiTheme="minorHAnsi"/>
          <w:sz w:val="22"/>
          <w:szCs w:val="22"/>
          <w:lang w:eastAsia="en-US"/>
        </w:rPr>
        <w:t xml:space="preserve">ETPC w Sekretariacie RE („DWW”) </w:t>
      </w:r>
      <w:r w:rsidR="00775FAD" w:rsidRPr="00F41AEF">
        <w:rPr>
          <w:rFonts w:asciiTheme="minorHAnsi" w:eastAsia="Calibri" w:hAnsiTheme="minorHAnsi"/>
          <w:sz w:val="22"/>
          <w:szCs w:val="22"/>
          <w:lang w:eastAsia="en-US"/>
        </w:rPr>
        <w:t>zgłosił uwagi odnośnie do środków generalnych.</w:t>
      </w:r>
    </w:p>
    <w:p w:rsidR="00775FAD" w:rsidRPr="00F41AEF" w:rsidRDefault="00C974BE"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Przedstawiciel MS </w:t>
      </w:r>
      <w:r w:rsidR="002E4D6F" w:rsidRPr="00F41AEF">
        <w:rPr>
          <w:rFonts w:asciiTheme="minorHAnsi" w:eastAsia="Calibri" w:hAnsiTheme="minorHAnsi"/>
          <w:sz w:val="22"/>
          <w:szCs w:val="22"/>
          <w:lang w:eastAsia="en-US"/>
        </w:rPr>
        <w:t xml:space="preserve">wskazał, że orzeczenie dotyczy kwestii odpowiedzialności osoby prowadzącej bloga nieodpłatnie za komentarze i treści zamieszczone na tym blogu przez anonimowe osoby trzecie (internautów). To rozstrzygnięcie wyróżnia stwierdzone naruszenie z art. 10 Konwencji w kontekście orzecznictwa sądów krajowych na tle innych spraw związanych z naruszeniem swobody wypowiedzi. Przedstawiciel MS tytułem uzupełnienia przypomniał, że w sprawie skarżącego toczyły się dwa postępowania przed sądami krajowymi: jedno w trybie wyborczym (wybory samorządowe w 2010 r.) </w:t>
      </w:r>
      <w:r w:rsidR="00733E51">
        <w:rPr>
          <w:rFonts w:asciiTheme="minorHAnsi" w:eastAsia="Calibri" w:hAnsiTheme="minorHAnsi"/>
          <w:sz w:val="22"/>
          <w:szCs w:val="22"/>
          <w:lang w:eastAsia="en-US"/>
        </w:rPr>
        <w:t>–</w:t>
      </w:r>
      <w:r w:rsidR="002E4D6F" w:rsidRPr="00F41AEF">
        <w:rPr>
          <w:rFonts w:asciiTheme="minorHAnsi" w:eastAsia="Calibri" w:hAnsiTheme="minorHAnsi"/>
          <w:sz w:val="22"/>
          <w:szCs w:val="22"/>
          <w:lang w:eastAsia="en-US"/>
        </w:rPr>
        <w:t xml:space="preserve"> skarżący</w:t>
      </w:r>
      <w:r w:rsidR="00733E51">
        <w:rPr>
          <w:rFonts w:asciiTheme="minorHAnsi" w:eastAsia="Calibri" w:hAnsiTheme="minorHAnsi"/>
          <w:sz w:val="22"/>
          <w:szCs w:val="22"/>
          <w:lang w:eastAsia="en-US"/>
        </w:rPr>
        <w:t xml:space="preserve"> </w:t>
      </w:r>
      <w:r w:rsidR="002E4D6F" w:rsidRPr="00F41AEF">
        <w:rPr>
          <w:rFonts w:asciiTheme="minorHAnsi" w:eastAsia="Calibri" w:hAnsiTheme="minorHAnsi"/>
          <w:sz w:val="22"/>
          <w:szCs w:val="22"/>
          <w:lang w:eastAsia="en-US"/>
        </w:rPr>
        <w:t xml:space="preserve">też kandydował na radnego w tych wyborach, natomiast osoba, która pozwała go w trybie wyborczym była kandydatem na burmistrza. Skarżący został zobowiązany do zaprzestania naruszeń, tj. usunięcia treści z bloga (zostały usunięte już wcześniej), </w:t>
      </w:r>
      <w:r w:rsidR="00733E51">
        <w:rPr>
          <w:rFonts w:asciiTheme="minorHAnsi" w:eastAsia="Calibri" w:hAnsiTheme="minorHAnsi"/>
          <w:sz w:val="22"/>
          <w:szCs w:val="22"/>
          <w:lang w:eastAsia="en-US"/>
        </w:rPr>
        <w:t>przeproszenia</w:t>
      </w:r>
      <w:r w:rsidR="002E4D6F" w:rsidRPr="00F41AEF">
        <w:rPr>
          <w:rFonts w:asciiTheme="minorHAnsi" w:eastAsia="Calibri" w:hAnsiTheme="minorHAnsi"/>
          <w:sz w:val="22"/>
          <w:szCs w:val="22"/>
          <w:lang w:eastAsia="en-US"/>
        </w:rPr>
        <w:t xml:space="preserve"> kandydata na burmistrza oraz </w:t>
      </w:r>
      <w:r w:rsidR="002E4D6F" w:rsidRPr="00F41AEF">
        <w:rPr>
          <w:rFonts w:asciiTheme="minorHAnsi" w:eastAsia="Calibri" w:hAnsiTheme="minorHAnsi"/>
          <w:sz w:val="22"/>
          <w:szCs w:val="22"/>
          <w:lang w:eastAsia="en-US"/>
        </w:rPr>
        <w:lastRenderedPageBreak/>
        <w:t xml:space="preserve">zapłacenia kwoty 5000 </w:t>
      </w:r>
      <w:r w:rsidR="00F63C6F">
        <w:rPr>
          <w:rFonts w:asciiTheme="minorHAnsi" w:eastAsia="Calibri" w:hAnsiTheme="minorHAnsi"/>
          <w:sz w:val="22"/>
          <w:szCs w:val="22"/>
          <w:lang w:eastAsia="en-US"/>
        </w:rPr>
        <w:t xml:space="preserve">zł </w:t>
      </w:r>
      <w:r w:rsidR="002E4D6F" w:rsidRPr="00F41AEF">
        <w:rPr>
          <w:rFonts w:asciiTheme="minorHAnsi" w:eastAsia="Calibri" w:hAnsiTheme="minorHAnsi"/>
          <w:sz w:val="22"/>
          <w:szCs w:val="22"/>
          <w:lang w:eastAsia="en-US"/>
        </w:rPr>
        <w:t xml:space="preserve">na cel społeczny. Po wyborach toczyło się drugie postępowanie z powództwa byłego kandydata na burmistrza o naruszenie dóbr osobistych. Powództwo zostało oddalone. </w:t>
      </w:r>
      <w:r w:rsidR="006668CA" w:rsidRPr="00F41AEF">
        <w:rPr>
          <w:rFonts w:asciiTheme="minorHAnsi" w:eastAsia="Calibri" w:hAnsiTheme="minorHAnsi"/>
          <w:sz w:val="22"/>
          <w:szCs w:val="22"/>
          <w:lang w:eastAsia="en-US"/>
        </w:rPr>
        <w:t xml:space="preserve">W drugim postępowaniu sądy krajowe trafnie odniosły się do treści ustawy z 2002 r. o świadczeniu usług drogą elektroniczną (art. 14 ustawy), która przewiduje brak odpowiedzialności za zachowanie osoby, która udostępnia systemy teleinformatyczne (hosting) dla treści zamieszczanych przez osoby trzecie, pod warunkiem że nie wie o tym, że zamieszczane treści są inkryminowane (mają bezprawny charakter). Ten brak bezprawności jest utrzymany do momentu otrzymania informacji urzędowej lub innej, że takie treści zostały umieszczone. Nie bez znaczenia były też okoliczności niniejszej sprawy: osoba anonimowa zamieściła na blogu niekomercyjnym o zasięgu lokalnym nieprawdziwe treści naruszające dobra osobiste kandydata na burmistrza, o czym nie wiedział skarżący, a gdy się tylko dowiedział niezwłocznie usunął te treści. </w:t>
      </w:r>
    </w:p>
    <w:p w:rsidR="00277CB2" w:rsidRPr="00F41AEF" w:rsidRDefault="00277CB2"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Trybunał w wyroku nie zakwestionował przepisów nieobowiązującej już ordynacji wyborczej ani też przepisów dotyczących ochrony dóbr osobistych oraz ustawy z 2002 r. o świadczeniu usług drogą elektroniczną (art. 14 i 15). </w:t>
      </w:r>
      <w:r w:rsidR="00091EA2" w:rsidRPr="00F41AEF">
        <w:rPr>
          <w:rFonts w:asciiTheme="minorHAnsi" w:eastAsia="Calibri" w:hAnsiTheme="minorHAnsi"/>
          <w:sz w:val="22"/>
          <w:szCs w:val="22"/>
          <w:lang w:eastAsia="en-US"/>
        </w:rPr>
        <w:t xml:space="preserve">W postępowaniu, w którym doszło do naruszenia Konwencji orzekające sady krajowe dokonały błędnej wykładni ustawy o świadczeniu usług drogą elektroniczną (sąd </w:t>
      </w:r>
      <w:r w:rsidR="00F63C6F">
        <w:rPr>
          <w:rFonts w:asciiTheme="minorHAnsi" w:eastAsia="Calibri" w:hAnsiTheme="minorHAnsi"/>
          <w:sz w:val="22"/>
          <w:szCs w:val="22"/>
          <w:lang w:eastAsia="en-US"/>
        </w:rPr>
        <w:t>pierwszej</w:t>
      </w:r>
      <w:r w:rsidR="00091EA2" w:rsidRPr="00F41AEF">
        <w:rPr>
          <w:rFonts w:asciiTheme="minorHAnsi" w:eastAsia="Calibri" w:hAnsiTheme="minorHAnsi"/>
          <w:sz w:val="22"/>
          <w:szCs w:val="22"/>
          <w:lang w:eastAsia="en-US"/>
        </w:rPr>
        <w:t xml:space="preserve"> instancji pominął tę ustawę</w:t>
      </w:r>
      <w:r w:rsidR="00F63C6F">
        <w:rPr>
          <w:rFonts w:asciiTheme="minorHAnsi" w:eastAsia="Calibri" w:hAnsiTheme="minorHAnsi"/>
          <w:sz w:val="22"/>
          <w:szCs w:val="22"/>
          <w:lang w:eastAsia="en-US"/>
        </w:rPr>
        <w:t>,</w:t>
      </w:r>
      <w:r w:rsidR="00091EA2" w:rsidRPr="00F41AEF">
        <w:rPr>
          <w:rFonts w:asciiTheme="minorHAnsi" w:eastAsia="Calibri" w:hAnsiTheme="minorHAnsi"/>
          <w:sz w:val="22"/>
          <w:szCs w:val="22"/>
          <w:lang w:eastAsia="en-US"/>
        </w:rPr>
        <w:t xml:space="preserve"> a sąd </w:t>
      </w:r>
      <w:r w:rsidR="00F63C6F">
        <w:rPr>
          <w:rFonts w:asciiTheme="minorHAnsi" w:eastAsia="Calibri" w:hAnsiTheme="minorHAnsi"/>
          <w:sz w:val="22"/>
          <w:szCs w:val="22"/>
          <w:lang w:eastAsia="en-US"/>
        </w:rPr>
        <w:t>drugiej</w:t>
      </w:r>
      <w:r w:rsidR="00091EA2" w:rsidRPr="00F41AEF">
        <w:rPr>
          <w:rFonts w:asciiTheme="minorHAnsi" w:eastAsia="Calibri" w:hAnsiTheme="minorHAnsi"/>
          <w:sz w:val="22"/>
          <w:szCs w:val="22"/>
          <w:lang w:eastAsia="en-US"/>
        </w:rPr>
        <w:t xml:space="preserve"> instancji orzekł niezgodnie z jej literalnym brzmieniem). W drugim postępowaniu toczącym się już po wyborach, sądy krajowe dokonały właściwej interpretacji przepisów ustawy i stwierdziły, że brak jest bezprawności działania (powództwo oddalono).</w:t>
      </w:r>
    </w:p>
    <w:p w:rsidR="00E346FA" w:rsidRDefault="007B3F70"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W sprawie </w:t>
      </w:r>
      <w:r w:rsidRPr="00F41AEF">
        <w:rPr>
          <w:rFonts w:asciiTheme="minorHAnsi" w:eastAsia="Calibri" w:hAnsiTheme="minorHAnsi"/>
          <w:i/>
          <w:sz w:val="22"/>
          <w:szCs w:val="22"/>
          <w:lang w:eastAsia="en-US"/>
        </w:rPr>
        <w:t>Jezior p. Polsce</w:t>
      </w:r>
      <w:r w:rsidRPr="00F41AEF">
        <w:rPr>
          <w:rFonts w:asciiTheme="minorHAnsi" w:eastAsia="Calibri" w:hAnsiTheme="minorHAnsi"/>
          <w:sz w:val="22"/>
          <w:szCs w:val="22"/>
          <w:lang w:eastAsia="en-US"/>
        </w:rPr>
        <w:t xml:space="preserve"> Helsińska Fundacja Praw Człowieka złożyła komunikację na podstawie Reguły 9 Regulaminu KMRE. W komunikacji podniesiono zagadnienie zbyt restrykcyjnej interpretacji przez sądy krajowe i Sąd Najwyższy (przed 2020 r.) odpowiedzialności usługodawców hostingowych za zamieszczane treści. SN w wielu orzeczeniach przyjmuje bowiem restrykcyjnie, że jeżeli zamieszczone przez internautów treści są w sposób oczywisty naruszające dobra osobiste wówczas usługodawcy hostingowi (duże portale informacyjne, zarządzane komercyjnie przez spółki medialne) powinni wprowadzać pewnego rodzaju kontrolę prewencyjną treści (nie identyfikacji tych komentatorów, ale identyfikacji treści, odrzucając treści ewidentnie naruszające dobra osobiste osób trzecich zwłaszcza inspirowane artykułami pojawiającymi się w tych portalach). W wyroku w sprawie </w:t>
      </w:r>
      <w:proofErr w:type="spellStart"/>
      <w:r w:rsidRPr="00F41AEF">
        <w:rPr>
          <w:rFonts w:asciiTheme="minorHAnsi" w:eastAsia="Calibri" w:hAnsiTheme="minorHAnsi"/>
          <w:i/>
          <w:sz w:val="22"/>
          <w:szCs w:val="22"/>
          <w:lang w:eastAsia="en-US"/>
        </w:rPr>
        <w:t>Delfi</w:t>
      </w:r>
      <w:proofErr w:type="spellEnd"/>
      <w:r w:rsidRPr="00F41AEF">
        <w:rPr>
          <w:rFonts w:asciiTheme="minorHAnsi" w:eastAsia="Calibri" w:hAnsiTheme="minorHAnsi"/>
          <w:i/>
          <w:sz w:val="22"/>
          <w:szCs w:val="22"/>
          <w:lang w:eastAsia="en-US"/>
        </w:rPr>
        <w:t xml:space="preserve"> AS p. Estonii</w:t>
      </w:r>
      <w:r w:rsidRPr="00F41AEF">
        <w:rPr>
          <w:rFonts w:asciiTheme="minorHAnsi" w:eastAsia="Calibri" w:hAnsiTheme="minorHAnsi"/>
          <w:sz w:val="22"/>
          <w:szCs w:val="22"/>
          <w:lang w:eastAsia="en-US"/>
        </w:rPr>
        <w:t xml:space="preserve"> (WI) Trybunał pośrednio potwierdza ten kierunek troszkę bardziej restrykcyjnej wykładni, przyjmując, że co do zasady nie ma obowiązku kontroli prewencyjnej treści, jak również tym bardziej identyfikowania internatów. Jednak mając na uwadze wyrok </w:t>
      </w:r>
      <w:proofErr w:type="spellStart"/>
      <w:r w:rsidRPr="00F41AEF">
        <w:rPr>
          <w:rFonts w:asciiTheme="minorHAnsi" w:eastAsia="Calibri" w:hAnsiTheme="minorHAnsi"/>
          <w:sz w:val="22"/>
          <w:szCs w:val="22"/>
          <w:lang w:eastAsia="en-US"/>
        </w:rPr>
        <w:t>ws</w:t>
      </w:r>
      <w:proofErr w:type="spellEnd"/>
      <w:r w:rsidRPr="00F41AEF">
        <w:rPr>
          <w:rFonts w:asciiTheme="minorHAnsi" w:eastAsia="Calibri" w:hAnsiTheme="minorHAnsi"/>
          <w:sz w:val="22"/>
          <w:szCs w:val="22"/>
          <w:lang w:eastAsia="en-US"/>
        </w:rPr>
        <w:t xml:space="preserve"> </w:t>
      </w:r>
      <w:proofErr w:type="spellStart"/>
      <w:r w:rsidRPr="00F41AEF">
        <w:rPr>
          <w:rFonts w:asciiTheme="minorHAnsi" w:eastAsia="Calibri" w:hAnsiTheme="minorHAnsi"/>
          <w:i/>
          <w:sz w:val="22"/>
          <w:szCs w:val="22"/>
          <w:lang w:eastAsia="en-US"/>
        </w:rPr>
        <w:t>Delfi</w:t>
      </w:r>
      <w:proofErr w:type="spellEnd"/>
      <w:r w:rsidRPr="00F41AEF">
        <w:rPr>
          <w:rFonts w:asciiTheme="minorHAnsi" w:eastAsia="Calibri" w:hAnsiTheme="minorHAnsi"/>
          <w:i/>
          <w:sz w:val="22"/>
          <w:szCs w:val="22"/>
          <w:lang w:eastAsia="en-US"/>
        </w:rPr>
        <w:t xml:space="preserve"> AS</w:t>
      </w:r>
      <w:r w:rsidRPr="00F41AEF">
        <w:rPr>
          <w:rFonts w:asciiTheme="minorHAnsi" w:eastAsia="Calibri" w:hAnsiTheme="minorHAnsi"/>
          <w:sz w:val="22"/>
          <w:szCs w:val="22"/>
          <w:lang w:eastAsia="en-US"/>
        </w:rPr>
        <w:t xml:space="preserve"> powinno się wprowadzić system filtrujący treści. Trybunał dopuszcza więc pewne ograniczenia swobody wyrażania treści w interesie publicznym, społecznym, w przypadkach ewidentnie naruszających dobra osobiste. </w:t>
      </w:r>
    </w:p>
    <w:p w:rsidR="00091EA2" w:rsidRPr="00F41AEF" w:rsidRDefault="007B3F70"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Należy więc rozróżnić hosting niekomercyjny, lokalny od prowadzenia poważnego portalu internetowego o zasięgu ogólnokrajowym czy większym.</w:t>
      </w:r>
    </w:p>
    <w:p w:rsidR="000C5E21" w:rsidRPr="00F41AEF" w:rsidRDefault="007B3F70"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W zakresie wykonania wyroku w sprawie </w:t>
      </w:r>
      <w:r w:rsidRPr="00E346FA">
        <w:rPr>
          <w:rFonts w:asciiTheme="minorHAnsi" w:eastAsia="Calibri" w:hAnsiTheme="minorHAnsi"/>
          <w:i/>
          <w:sz w:val="22"/>
          <w:szCs w:val="22"/>
          <w:lang w:eastAsia="en-US"/>
        </w:rPr>
        <w:t>Jezior</w:t>
      </w:r>
      <w:r w:rsidRPr="00F41AEF">
        <w:rPr>
          <w:rFonts w:asciiTheme="minorHAnsi" w:eastAsia="Calibri" w:hAnsiTheme="minorHAnsi"/>
          <w:sz w:val="22"/>
          <w:szCs w:val="22"/>
          <w:lang w:eastAsia="en-US"/>
        </w:rPr>
        <w:t xml:space="preserve"> w odniesieniu do środków </w:t>
      </w:r>
      <w:r w:rsidR="009D6A6D" w:rsidRPr="00F41AEF">
        <w:rPr>
          <w:rFonts w:asciiTheme="minorHAnsi" w:eastAsia="Calibri" w:hAnsiTheme="minorHAnsi"/>
          <w:sz w:val="22"/>
          <w:szCs w:val="22"/>
          <w:lang w:eastAsia="en-US"/>
        </w:rPr>
        <w:t>indywidualnych</w:t>
      </w:r>
      <w:r w:rsidRPr="00F41AEF">
        <w:rPr>
          <w:rFonts w:asciiTheme="minorHAnsi" w:eastAsia="Calibri" w:hAnsiTheme="minorHAnsi"/>
          <w:sz w:val="22"/>
          <w:szCs w:val="22"/>
          <w:lang w:eastAsia="en-US"/>
        </w:rPr>
        <w:t xml:space="preserve"> należy odnotować </w:t>
      </w:r>
      <w:r w:rsidR="009D6A6D" w:rsidRPr="00F41AEF">
        <w:rPr>
          <w:rFonts w:asciiTheme="minorHAnsi" w:eastAsia="Calibri" w:hAnsiTheme="minorHAnsi"/>
          <w:sz w:val="22"/>
          <w:szCs w:val="22"/>
          <w:lang w:eastAsia="en-US"/>
        </w:rPr>
        <w:t>wypłatę</w:t>
      </w:r>
      <w:r w:rsidRPr="00F41AEF">
        <w:rPr>
          <w:rFonts w:asciiTheme="minorHAnsi" w:eastAsia="Calibri" w:hAnsiTheme="minorHAnsi"/>
          <w:sz w:val="22"/>
          <w:szCs w:val="22"/>
          <w:lang w:eastAsia="en-US"/>
        </w:rPr>
        <w:t xml:space="preserve"> zasądzonego </w:t>
      </w:r>
      <w:r w:rsidR="009D6A6D" w:rsidRPr="00F41AEF">
        <w:rPr>
          <w:rFonts w:asciiTheme="minorHAnsi" w:eastAsia="Calibri" w:hAnsiTheme="minorHAnsi"/>
          <w:sz w:val="22"/>
          <w:szCs w:val="22"/>
          <w:lang w:eastAsia="en-US"/>
        </w:rPr>
        <w:t>zadośćuczynienia</w:t>
      </w:r>
      <w:r w:rsidRPr="00F41AEF">
        <w:rPr>
          <w:rFonts w:asciiTheme="minorHAnsi" w:eastAsia="Calibri" w:hAnsiTheme="minorHAnsi"/>
          <w:sz w:val="22"/>
          <w:szCs w:val="22"/>
          <w:lang w:eastAsia="en-US"/>
        </w:rPr>
        <w:t xml:space="preserve">. </w:t>
      </w:r>
      <w:r w:rsidR="009D6A6D" w:rsidRPr="00F41AEF">
        <w:rPr>
          <w:rFonts w:asciiTheme="minorHAnsi" w:eastAsia="Calibri" w:hAnsiTheme="minorHAnsi"/>
          <w:sz w:val="22"/>
          <w:szCs w:val="22"/>
          <w:lang w:eastAsia="en-US"/>
        </w:rPr>
        <w:t>N</w:t>
      </w:r>
      <w:r w:rsidRPr="00F41AEF">
        <w:rPr>
          <w:rFonts w:asciiTheme="minorHAnsi" w:eastAsia="Calibri" w:hAnsiTheme="minorHAnsi"/>
          <w:sz w:val="22"/>
          <w:szCs w:val="22"/>
          <w:lang w:eastAsia="en-US"/>
        </w:rPr>
        <w:t xml:space="preserve">ie ma podstaw </w:t>
      </w:r>
      <w:r w:rsidR="009D6A6D" w:rsidRPr="00F41AEF">
        <w:rPr>
          <w:rFonts w:asciiTheme="minorHAnsi" w:eastAsia="Calibri" w:hAnsiTheme="minorHAnsi"/>
          <w:sz w:val="22"/>
          <w:szCs w:val="22"/>
          <w:lang w:eastAsia="en-US"/>
        </w:rPr>
        <w:t xml:space="preserve">do wznowienia postępowania w sprawie skarżącego. W odniesieniu do środków generalnych MS </w:t>
      </w:r>
      <w:r w:rsidRPr="00F41AEF">
        <w:rPr>
          <w:rFonts w:asciiTheme="minorHAnsi" w:eastAsia="Calibri" w:hAnsiTheme="minorHAnsi"/>
          <w:sz w:val="22"/>
          <w:szCs w:val="22"/>
          <w:lang w:eastAsia="en-US"/>
        </w:rPr>
        <w:t xml:space="preserve">podjął szereg działań. </w:t>
      </w:r>
      <w:r w:rsidR="000C5E21" w:rsidRPr="00F41AEF">
        <w:rPr>
          <w:rFonts w:asciiTheme="minorHAnsi" w:eastAsia="Calibri" w:hAnsiTheme="minorHAnsi"/>
          <w:sz w:val="22"/>
          <w:szCs w:val="22"/>
          <w:lang w:eastAsia="en-US"/>
        </w:rPr>
        <w:t>W ocenie MS nie ma potrzeby przeprowadzenia zmian legislacyjnych w zakresie objętym wyrokiem, bowiem to sądy krajowe nie zastosowały odpowiednio istniejących przepisów krajowych. Podjęto przede wszystkim działania o zakresie upowszechniającym i edukacyjnym wśród sędziów i aplikantów sądowych. Wyrok został przetłumaczony na język polski i umieszczony na stronie internetowej MS, w aktualnościach i newsletterze. Informacja o wyroku w sprawie Jezior została przesłana do prezesów sądów, które orzekały w sprawie skarżącego</w:t>
      </w:r>
      <w:r w:rsidR="00E346FA">
        <w:rPr>
          <w:rFonts w:asciiTheme="minorHAnsi" w:eastAsia="Calibri" w:hAnsiTheme="minorHAnsi"/>
          <w:sz w:val="22"/>
          <w:szCs w:val="22"/>
          <w:lang w:eastAsia="en-US"/>
        </w:rPr>
        <w:t>,</w:t>
      </w:r>
      <w:r w:rsidR="000C5E21" w:rsidRPr="00F41AEF">
        <w:rPr>
          <w:rFonts w:asciiTheme="minorHAnsi" w:eastAsia="Calibri" w:hAnsiTheme="minorHAnsi"/>
          <w:sz w:val="22"/>
          <w:szCs w:val="22"/>
          <w:lang w:eastAsia="en-US"/>
        </w:rPr>
        <w:t xml:space="preserve"> wraz z odpowiednimi standardami w zakresie prawa do wolności wypowiedzi</w:t>
      </w:r>
      <w:r w:rsidR="00E346FA">
        <w:rPr>
          <w:rFonts w:asciiTheme="minorHAnsi" w:eastAsia="Calibri" w:hAnsiTheme="minorHAnsi"/>
          <w:sz w:val="22"/>
          <w:szCs w:val="22"/>
          <w:lang w:eastAsia="en-US"/>
        </w:rPr>
        <w:t>,</w:t>
      </w:r>
      <w:r w:rsidR="000C5E21" w:rsidRPr="00F41AEF">
        <w:rPr>
          <w:rFonts w:asciiTheme="minorHAnsi" w:eastAsia="Calibri" w:hAnsiTheme="minorHAnsi"/>
          <w:sz w:val="22"/>
          <w:szCs w:val="22"/>
          <w:lang w:eastAsia="en-US"/>
        </w:rPr>
        <w:t xml:space="preserve"> oraz do sędziów koordynatorów ds. współpracy międzynarodowej i praw człowieka w celu dalszego rozpowszechnienia wśród sędziów. Ponadto uaktualnione zostało i zamieszczone na stronie MS opracowanie na temat orzecznictwa ETPC w zakresie art. 10 Konwencji.</w:t>
      </w:r>
    </w:p>
    <w:p w:rsidR="00882A35" w:rsidRPr="00F41AEF" w:rsidRDefault="000C5E21"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Ponadto problematyka prawa do wolności wypowiedzi jest przedmiotem cyklicznych szkoleń organizowanych przez Krajową Szkołę Sądownictwa i Prokuratury</w:t>
      </w:r>
      <w:r w:rsidR="00982FD1" w:rsidRPr="00F41AEF">
        <w:rPr>
          <w:rFonts w:asciiTheme="minorHAnsi" w:eastAsia="Calibri" w:hAnsiTheme="minorHAnsi"/>
          <w:sz w:val="22"/>
          <w:szCs w:val="22"/>
          <w:lang w:eastAsia="en-US"/>
        </w:rPr>
        <w:t xml:space="preserve"> („</w:t>
      </w:r>
      <w:proofErr w:type="spellStart"/>
      <w:r w:rsidR="00982FD1" w:rsidRPr="00F41AEF">
        <w:rPr>
          <w:rFonts w:asciiTheme="minorHAnsi" w:eastAsia="Calibri" w:hAnsiTheme="minorHAnsi"/>
          <w:sz w:val="22"/>
          <w:szCs w:val="22"/>
          <w:lang w:eastAsia="en-US"/>
        </w:rPr>
        <w:t>KSSiP</w:t>
      </w:r>
      <w:proofErr w:type="spellEnd"/>
      <w:r w:rsidR="00982FD1" w:rsidRPr="00F41AEF">
        <w:rPr>
          <w:rFonts w:asciiTheme="minorHAnsi" w:eastAsia="Calibri" w:hAnsiTheme="minorHAnsi"/>
          <w:sz w:val="22"/>
          <w:szCs w:val="22"/>
          <w:lang w:eastAsia="en-US"/>
        </w:rPr>
        <w:t>”)</w:t>
      </w:r>
      <w:r w:rsidRPr="00F41AEF">
        <w:rPr>
          <w:rFonts w:asciiTheme="minorHAnsi" w:eastAsia="Calibri" w:hAnsiTheme="minorHAnsi"/>
          <w:sz w:val="22"/>
          <w:szCs w:val="22"/>
          <w:lang w:eastAsia="en-US"/>
        </w:rPr>
        <w:t>.</w:t>
      </w:r>
      <w:r w:rsidR="00882A35" w:rsidRPr="00F41AEF">
        <w:rPr>
          <w:rFonts w:asciiTheme="minorHAnsi" w:hAnsiTheme="minorHAnsi"/>
          <w:sz w:val="22"/>
          <w:szCs w:val="22"/>
        </w:rPr>
        <w:t xml:space="preserve"> </w:t>
      </w:r>
      <w:r w:rsidR="00882A35" w:rsidRPr="00F41AEF">
        <w:rPr>
          <w:rFonts w:asciiTheme="minorHAnsi" w:eastAsia="Calibri" w:hAnsiTheme="minorHAnsi"/>
          <w:sz w:val="22"/>
          <w:szCs w:val="22"/>
          <w:lang w:eastAsia="en-US"/>
        </w:rPr>
        <w:t xml:space="preserve">Wyrok w sprawie </w:t>
      </w:r>
      <w:r w:rsidR="00882A35" w:rsidRPr="00F41AEF">
        <w:rPr>
          <w:rFonts w:asciiTheme="minorHAnsi" w:eastAsia="Calibri" w:hAnsiTheme="minorHAnsi"/>
          <w:i/>
          <w:sz w:val="22"/>
          <w:szCs w:val="22"/>
          <w:lang w:eastAsia="en-US"/>
        </w:rPr>
        <w:t>Jezior</w:t>
      </w:r>
      <w:r w:rsidR="00882A35" w:rsidRPr="00F41AEF">
        <w:rPr>
          <w:rFonts w:asciiTheme="minorHAnsi" w:eastAsia="Calibri" w:hAnsiTheme="minorHAnsi"/>
          <w:sz w:val="22"/>
          <w:szCs w:val="22"/>
          <w:lang w:eastAsia="en-US"/>
        </w:rPr>
        <w:t xml:space="preserve"> </w:t>
      </w:r>
      <w:r w:rsidR="00882A35" w:rsidRPr="00F41AEF">
        <w:rPr>
          <w:rFonts w:asciiTheme="minorHAnsi" w:eastAsia="Calibri" w:hAnsiTheme="minorHAnsi"/>
          <w:sz w:val="22"/>
          <w:szCs w:val="22"/>
          <w:lang w:eastAsia="en-US"/>
        </w:rPr>
        <w:lastRenderedPageBreak/>
        <w:t xml:space="preserve">został zaprezentowany na szkoleniu aplikantów sądowych w dniach 26-30 kwietnia 2021 r. Będzie również prezentowany na </w:t>
      </w:r>
      <w:r w:rsidR="00982FD1" w:rsidRPr="00F41AEF">
        <w:rPr>
          <w:rFonts w:asciiTheme="minorHAnsi" w:eastAsia="Calibri" w:hAnsiTheme="minorHAnsi"/>
          <w:sz w:val="22"/>
          <w:szCs w:val="22"/>
          <w:lang w:eastAsia="en-US"/>
        </w:rPr>
        <w:t xml:space="preserve">szkoleniu aplikantów </w:t>
      </w:r>
      <w:r w:rsidR="00882A35" w:rsidRPr="00F41AEF">
        <w:rPr>
          <w:rFonts w:asciiTheme="minorHAnsi" w:eastAsia="Calibri" w:hAnsiTheme="minorHAnsi"/>
          <w:sz w:val="22"/>
          <w:szCs w:val="22"/>
          <w:lang w:eastAsia="en-US"/>
        </w:rPr>
        <w:t xml:space="preserve">w lutym/marcu 2022 r. MS wystąpiło </w:t>
      </w:r>
      <w:r w:rsidR="00E346FA">
        <w:rPr>
          <w:rFonts w:asciiTheme="minorHAnsi" w:eastAsia="Calibri" w:hAnsiTheme="minorHAnsi"/>
          <w:sz w:val="22"/>
          <w:szCs w:val="22"/>
          <w:lang w:eastAsia="en-US"/>
        </w:rPr>
        <w:t xml:space="preserve">również </w:t>
      </w:r>
      <w:r w:rsidR="00882A35" w:rsidRPr="00F41AEF">
        <w:rPr>
          <w:rFonts w:asciiTheme="minorHAnsi" w:eastAsia="Calibri" w:hAnsiTheme="minorHAnsi"/>
          <w:sz w:val="22"/>
          <w:szCs w:val="22"/>
          <w:lang w:eastAsia="en-US"/>
        </w:rPr>
        <w:t xml:space="preserve">do dyrektora </w:t>
      </w:r>
      <w:proofErr w:type="spellStart"/>
      <w:r w:rsidR="00882A35" w:rsidRPr="00F41AEF">
        <w:rPr>
          <w:rFonts w:asciiTheme="minorHAnsi" w:eastAsia="Calibri" w:hAnsiTheme="minorHAnsi"/>
          <w:sz w:val="22"/>
          <w:szCs w:val="22"/>
          <w:lang w:eastAsia="en-US"/>
        </w:rPr>
        <w:t>KSSiP</w:t>
      </w:r>
      <w:proofErr w:type="spellEnd"/>
      <w:r w:rsidR="00882A35" w:rsidRPr="00F41AEF">
        <w:rPr>
          <w:rFonts w:asciiTheme="minorHAnsi" w:eastAsia="Calibri" w:hAnsiTheme="minorHAnsi"/>
          <w:sz w:val="22"/>
          <w:szCs w:val="22"/>
          <w:lang w:eastAsia="en-US"/>
        </w:rPr>
        <w:t xml:space="preserve"> z prośbą o uwzględnienie tego wyroku i wynikających z niego standardów konwencyjnych w planowanych na kolejne lata szkoleniach sędziów, asesorów sądowych i referendarzy. </w:t>
      </w:r>
    </w:p>
    <w:p w:rsidR="007B3F70" w:rsidRPr="00F41AEF" w:rsidRDefault="00882A35"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W ocenie MS dalsze środki indywidualne nie są konieczne, a zrealizowane środki o charakterze generalnym są wystarczające do uznania tego wyroku za wykonany.</w:t>
      </w:r>
    </w:p>
    <w:p w:rsidR="00882A35" w:rsidRDefault="00882A35"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Przedstawiciel</w:t>
      </w:r>
      <w:r w:rsidR="00FB17BC" w:rsidRPr="00F41AEF">
        <w:rPr>
          <w:rFonts w:asciiTheme="minorHAnsi" w:eastAsia="Calibri" w:hAnsiTheme="minorHAnsi"/>
          <w:sz w:val="22"/>
          <w:szCs w:val="22"/>
          <w:lang w:eastAsia="en-US"/>
        </w:rPr>
        <w:t>e</w:t>
      </w:r>
      <w:r w:rsidRPr="00F41AEF">
        <w:rPr>
          <w:rFonts w:asciiTheme="minorHAnsi" w:eastAsia="Calibri" w:hAnsiTheme="minorHAnsi"/>
          <w:sz w:val="22"/>
          <w:szCs w:val="22"/>
          <w:lang w:eastAsia="en-US"/>
        </w:rPr>
        <w:t xml:space="preserve"> </w:t>
      </w:r>
      <w:proofErr w:type="spellStart"/>
      <w:r w:rsidRPr="00F41AEF">
        <w:rPr>
          <w:rFonts w:asciiTheme="minorHAnsi" w:eastAsia="Calibri" w:hAnsiTheme="minorHAnsi"/>
          <w:sz w:val="22"/>
          <w:szCs w:val="22"/>
          <w:lang w:eastAsia="en-US"/>
        </w:rPr>
        <w:t>KSSiP</w:t>
      </w:r>
      <w:proofErr w:type="spellEnd"/>
      <w:r w:rsidRPr="00F41AEF">
        <w:rPr>
          <w:rFonts w:asciiTheme="minorHAnsi" w:eastAsia="Calibri" w:hAnsiTheme="minorHAnsi"/>
          <w:sz w:val="22"/>
          <w:szCs w:val="22"/>
          <w:lang w:eastAsia="en-US"/>
        </w:rPr>
        <w:t xml:space="preserve"> </w:t>
      </w:r>
      <w:r w:rsidR="00DE11DB" w:rsidRPr="00F41AEF">
        <w:rPr>
          <w:rFonts w:asciiTheme="minorHAnsi" w:eastAsia="Calibri" w:hAnsiTheme="minorHAnsi"/>
          <w:sz w:val="22"/>
          <w:szCs w:val="22"/>
          <w:lang w:eastAsia="en-US"/>
        </w:rPr>
        <w:t>poinformowa</w:t>
      </w:r>
      <w:r w:rsidR="00FB17BC" w:rsidRPr="00F41AEF">
        <w:rPr>
          <w:rFonts w:asciiTheme="minorHAnsi" w:eastAsia="Calibri" w:hAnsiTheme="minorHAnsi"/>
          <w:sz w:val="22"/>
          <w:szCs w:val="22"/>
          <w:lang w:eastAsia="en-US"/>
        </w:rPr>
        <w:t>li</w:t>
      </w:r>
      <w:r w:rsidR="00DE11DB" w:rsidRPr="00F41AEF">
        <w:rPr>
          <w:rFonts w:asciiTheme="minorHAnsi" w:eastAsia="Calibri" w:hAnsiTheme="minorHAnsi"/>
          <w:sz w:val="22"/>
          <w:szCs w:val="22"/>
          <w:lang w:eastAsia="en-US"/>
        </w:rPr>
        <w:t xml:space="preserve">, że 17 grudnia 2021 odbyło się szkolenie online, którego adresatem byli sędziowie sądów powszechnych, W ramach tego szkolenia wprost jako jeden z podtematów szczegółowych został przytoczony wyrok w sprawie </w:t>
      </w:r>
      <w:r w:rsidR="00DE11DB" w:rsidRPr="00F41AEF">
        <w:rPr>
          <w:rFonts w:asciiTheme="minorHAnsi" w:eastAsia="Calibri" w:hAnsiTheme="minorHAnsi"/>
          <w:i/>
          <w:sz w:val="22"/>
          <w:szCs w:val="22"/>
          <w:lang w:eastAsia="en-US"/>
        </w:rPr>
        <w:t>Jezior p. Polsce</w:t>
      </w:r>
      <w:r w:rsidR="00DE11DB" w:rsidRPr="00F41AEF">
        <w:rPr>
          <w:rFonts w:asciiTheme="minorHAnsi" w:eastAsia="Calibri" w:hAnsiTheme="minorHAnsi"/>
          <w:sz w:val="22"/>
          <w:szCs w:val="22"/>
          <w:lang w:eastAsia="en-US"/>
        </w:rPr>
        <w:t xml:space="preserve">. To szkolenie było dostępne dla osób zapisanych na nie, jednak zostało ono nagrane więc dla użytkowników portalu szkoleniowego KSSIP </w:t>
      </w:r>
      <w:r w:rsidR="00E346FA" w:rsidRPr="00F41AEF">
        <w:rPr>
          <w:rFonts w:asciiTheme="minorHAnsi" w:eastAsia="Calibri" w:hAnsiTheme="minorHAnsi"/>
          <w:sz w:val="22"/>
          <w:szCs w:val="22"/>
          <w:lang w:eastAsia="en-US"/>
        </w:rPr>
        <w:t xml:space="preserve">będzie możliwe </w:t>
      </w:r>
      <w:r w:rsidR="00DE11DB" w:rsidRPr="00F41AEF">
        <w:rPr>
          <w:rFonts w:asciiTheme="minorHAnsi" w:eastAsia="Calibri" w:hAnsiTheme="minorHAnsi"/>
          <w:sz w:val="22"/>
          <w:szCs w:val="22"/>
          <w:lang w:eastAsia="en-US"/>
        </w:rPr>
        <w:t xml:space="preserve">odtworzenie tego materiału także w okresie późniejszym. </w:t>
      </w:r>
      <w:r w:rsidR="00FB17BC" w:rsidRPr="00F41AEF">
        <w:rPr>
          <w:rFonts w:asciiTheme="minorHAnsi" w:eastAsia="Calibri" w:hAnsiTheme="minorHAnsi"/>
          <w:sz w:val="22"/>
          <w:szCs w:val="22"/>
          <w:lang w:eastAsia="en-US"/>
        </w:rPr>
        <w:t>Ponadto</w:t>
      </w:r>
      <w:r w:rsidR="00E346FA">
        <w:rPr>
          <w:rFonts w:asciiTheme="minorHAnsi" w:eastAsia="Calibri" w:hAnsiTheme="minorHAnsi"/>
          <w:sz w:val="22"/>
          <w:szCs w:val="22"/>
          <w:lang w:eastAsia="en-US"/>
        </w:rPr>
        <w:t>,</w:t>
      </w:r>
      <w:r w:rsidR="00FB17BC" w:rsidRPr="00F41AEF">
        <w:rPr>
          <w:rFonts w:asciiTheme="minorHAnsi" w:eastAsia="Calibri" w:hAnsiTheme="minorHAnsi"/>
          <w:sz w:val="22"/>
          <w:szCs w:val="22"/>
          <w:lang w:eastAsia="en-US"/>
        </w:rPr>
        <w:t xml:space="preserve"> w 2021 r. omówienie tego wyroku nastąpiło na spotkaniach z aplikantami na szkoleniu wstępnym, ale </w:t>
      </w:r>
      <w:proofErr w:type="spellStart"/>
      <w:r w:rsidR="00FB17BC" w:rsidRPr="00F41AEF">
        <w:rPr>
          <w:rFonts w:asciiTheme="minorHAnsi" w:eastAsia="Calibri" w:hAnsiTheme="minorHAnsi"/>
          <w:sz w:val="22"/>
          <w:szCs w:val="22"/>
          <w:lang w:eastAsia="en-US"/>
        </w:rPr>
        <w:t>KSSiP</w:t>
      </w:r>
      <w:proofErr w:type="spellEnd"/>
      <w:r w:rsidR="00FB17BC" w:rsidRPr="00F41AEF">
        <w:rPr>
          <w:rFonts w:asciiTheme="minorHAnsi" w:eastAsia="Calibri" w:hAnsiTheme="minorHAnsi"/>
          <w:sz w:val="22"/>
          <w:szCs w:val="22"/>
          <w:lang w:eastAsia="en-US"/>
        </w:rPr>
        <w:t xml:space="preserve"> będzie systematycznie proponować wykładowcom-koordynatorom, aby wyrok był </w:t>
      </w:r>
      <w:r w:rsidR="00E346FA">
        <w:rPr>
          <w:rFonts w:asciiTheme="minorHAnsi" w:eastAsia="Calibri" w:hAnsiTheme="minorHAnsi"/>
          <w:sz w:val="22"/>
          <w:szCs w:val="22"/>
          <w:lang w:eastAsia="en-US"/>
        </w:rPr>
        <w:t>uwzględniany w trakcie szkoleń.</w:t>
      </w:r>
    </w:p>
    <w:p w:rsidR="00E346FA" w:rsidRPr="00F41AEF" w:rsidRDefault="00E346FA" w:rsidP="00F41AEF">
      <w:pPr>
        <w:spacing w:after="120"/>
        <w:jc w:val="both"/>
        <w:rPr>
          <w:rFonts w:asciiTheme="minorHAnsi" w:eastAsia="Calibri" w:hAnsiTheme="minorHAnsi"/>
          <w:sz w:val="22"/>
          <w:szCs w:val="22"/>
          <w:lang w:eastAsia="en-US"/>
        </w:rPr>
      </w:pPr>
    </w:p>
    <w:p w:rsidR="00775FAD" w:rsidRPr="00E346FA" w:rsidRDefault="00775FAD" w:rsidP="00E346FA">
      <w:pPr>
        <w:pStyle w:val="Akapitzlist"/>
        <w:numPr>
          <w:ilvl w:val="0"/>
          <w:numId w:val="21"/>
        </w:numPr>
        <w:spacing w:after="120" w:line="240" w:lineRule="auto"/>
        <w:ind w:left="709"/>
        <w:contextualSpacing w:val="0"/>
        <w:jc w:val="both"/>
        <w:rPr>
          <w:b/>
          <w:i/>
        </w:rPr>
      </w:pPr>
      <w:r w:rsidRPr="00E346FA">
        <w:rPr>
          <w:b/>
          <w:i/>
        </w:rPr>
        <w:t xml:space="preserve">Informacja nt. procesu wykonywania wyroków w sprawach Filas p. Polsce (skarga nr </w:t>
      </w:r>
      <w:r w:rsidRPr="00E346FA">
        <w:rPr>
          <w:rStyle w:val="sfbbfee58"/>
          <w:rFonts w:cs="Arial"/>
          <w:b/>
          <w:i/>
        </w:rPr>
        <w:t xml:space="preserve">31806/17), </w:t>
      </w:r>
      <w:proofErr w:type="spellStart"/>
      <w:r w:rsidRPr="00E346FA">
        <w:rPr>
          <w:b/>
          <w:i/>
        </w:rPr>
        <w:t>Leńczuk</w:t>
      </w:r>
      <w:proofErr w:type="spellEnd"/>
      <w:r w:rsidRPr="00E346FA">
        <w:rPr>
          <w:b/>
          <w:i/>
        </w:rPr>
        <w:t xml:space="preserve"> p. Polsce (skarga nr </w:t>
      </w:r>
      <w:r w:rsidRPr="00E346FA">
        <w:rPr>
          <w:rStyle w:val="sfbbfee58"/>
          <w:rFonts w:cs="Arial"/>
          <w:b/>
          <w:i/>
        </w:rPr>
        <w:t xml:space="preserve">47800/17) oraz </w:t>
      </w:r>
      <w:r w:rsidRPr="00E346FA">
        <w:rPr>
          <w:b/>
          <w:i/>
        </w:rPr>
        <w:t xml:space="preserve">Bechta p. Polsce (skarga nr </w:t>
      </w:r>
      <w:r w:rsidRPr="00E346FA">
        <w:rPr>
          <w:rStyle w:val="sfbbfee58"/>
          <w:b/>
          <w:i/>
        </w:rPr>
        <w:t>39496/17)</w:t>
      </w:r>
      <w:r w:rsidRPr="00E346FA">
        <w:rPr>
          <w:b/>
          <w:i/>
        </w:rPr>
        <w:t xml:space="preserve"> - referuje Ministerstwo Sprawiedliwości.</w:t>
      </w:r>
    </w:p>
    <w:p w:rsidR="00775FAD" w:rsidRPr="00F41AEF" w:rsidRDefault="00FB17BC"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Pełnomocnik </w:t>
      </w:r>
      <w:r w:rsidR="00380B4F" w:rsidRPr="00F41AEF">
        <w:rPr>
          <w:rFonts w:asciiTheme="minorHAnsi" w:eastAsia="Calibri" w:hAnsiTheme="minorHAnsi"/>
          <w:sz w:val="22"/>
          <w:szCs w:val="22"/>
          <w:lang w:eastAsia="en-US"/>
        </w:rPr>
        <w:t>przypomniał, że w</w:t>
      </w:r>
      <w:r w:rsidR="00775FAD" w:rsidRPr="00F41AEF">
        <w:rPr>
          <w:rFonts w:asciiTheme="minorHAnsi" w:eastAsia="Calibri" w:hAnsiTheme="minorHAnsi"/>
          <w:sz w:val="22"/>
          <w:szCs w:val="22"/>
          <w:lang w:eastAsia="en-US"/>
        </w:rPr>
        <w:t xml:space="preserve">yroki w sprawach </w:t>
      </w:r>
      <w:r w:rsidR="00775FAD" w:rsidRPr="00F41AEF">
        <w:rPr>
          <w:rFonts w:asciiTheme="minorHAnsi" w:eastAsia="Calibri" w:hAnsiTheme="minorHAnsi"/>
          <w:i/>
          <w:sz w:val="22"/>
          <w:szCs w:val="22"/>
          <w:lang w:eastAsia="en-US"/>
        </w:rPr>
        <w:t xml:space="preserve">Filas p. Polsce, </w:t>
      </w:r>
      <w:proofErr w:type="spellStart"/>
      <w:r w:rsidR="00775FAD" w:rsidRPr="00F41AEF">
        <w:rPr>
          <w:rFonts w:asciiTheme="minorHAnsi" w:eastAsia="Calibri" w:hAnsiTheme="minorHAnsi"/>
          <w:i/>
          <w:sz w:val="22"/>
          <w:szCs w:val="22"/>
          <w:lang w:eastAsia="en-US"/>
        </w:rPr>
        <w:t>Leńczuk</w:t>
      </w:r>
      <w:proofErr w:type="spellEnd"/>
      <w:r w:rsidR="00775FAD" w:rsidRPr="00F41AEF">
        <w:rPr>
          <w:rFonts w:asciiTheme="minorHAnsi" w:eastAsia="Calibri" w:hAnsiTheme="minorHAnsi"/>
          <w:i/>
          <w:sz w:val="22"/>
          <w:szCs w:val="22"/>
          <w:lang w:eastAsia="en-US"/>
        </w:rPr>
        <w:t xml:space="preserve"> p. Polsce</w:t>
      </w:r>
      <w:r w:rsidR="00775FAD" w:rsidRPr="00F41AEF">
        <w:rPr>
          <w:rFonts w:asciiTheme="minorHAnsi" w:eastAsia="Calibri" w:hAnsiTheme="minorHAnsi"/>
          <w:sz w:val="22"/>
          <w:szCs w:val="22"/>
          <w:lang w:eastAsia="en-US"/>
        </w:rPr>
        <w:t xml:space="preserve"> oraz </w:t>
      </w:r>
      <w:r w:rsidR="00775FAD" w:rsidRPr="00F41AEF">
        <w:rPr>
          <w:rFonts w:asciiTheme="minorHAnsi" w:eastAsia="Calibri" w:hAnsiTheme="minorHAnsi"/>
          <w:i/>
          <w:sz w:val="22"/>
          <w:szCs w:val="22"/>
          <w:lang w:eastAsia="en-US"/>
        </w:rPr>
        <w:t>Bechta p. Polsce</w:t>
      </w:r>
      <w:r w:rsidR="00775FAD" w:rsidRPr="00F41AEF">
        <w:rPr>
          <w:rFonts w:asciiTheme="minorHAnsi" w:eastAsia="Calibri" w:hAnsiTheme="minorHAnsi"/>
          <w:sz w:val="22"/>
          <w:szCs w:val="22"/>
          <w:lang w:eastAsia="en-US"/>
        </w:rPr>
        <w:t xml:space="preserve"> zostały wydane w kwietniu i maju 2021 r. i dotyczą zagadnienia nałożenia na skarżących w trakcie ich osadzenia reżimu tzw. więźnia niebezpiecznego (na</w:t>
      </w:r>
      <w:r w:rsidR="00380B4F" w:rsidRPr="00F41AEF">
        <w:rPr>
          <w:rFonts w:asciiTheme="minorHAnsi" w:eastAsia="Calibri" w:hAnsiTheme="minorHAnsi"/>
          <w:sz w:val="22"/>
          <w:szCs w:val="22"/>
          <w:lang w:eastAsia="en-US"/>
        </w:rPr>
        <w:t>ruszenie art. 3 Konwencji)</w:t>
      </w:r>
      <w:r w:rsidR="00775FAD" w:rsidRPr="00F41AEF">
        <w:rPr>
          <w:rFonts w:asciiTheme="minorHAnsi" w:eastAsia="Calibri" w:hAnsiTheme="minorHAnsi"/>
          <w:sz w:val="22"/>
          <w:szCs w:val="22"/>
          <w:lang w:eastAsia="en-US"/>
        </w:rPr>
        <w:t xml:space="preserve">. W wyrokach tych Trybunał stwierdził, że chociaż kontrole osobiste mogą być konieczne dla zapewnienia bezpieczeństwa w </w:t>
      </w:r>
      <w:r w:rsidR="001273DE" w:rsidRPr="00F41AEF">
        <w:rPr>
          <w:rFonts w:asciiTheme="minorHAnsi" w:eastAsia="Calibri" w:hAnsiTheme="minorHAnsi"/>
          <w:sz w:val="22"/>
          <w:szCs w:val="22"/>
          <w:lang w:eastAsia="en-US"/>
        </w:rPr>
        <w:t>jednostce penitencjarnej</w:t>
      </w:r>
      <w:r w:rsidR="00FD732C" w:rsidRPr="00F41AEF">
        <w:rPr>
          <w:rFonts w:asciiTheme="minorHAnsi" w:eastAsia="Calibri" w:hAnsiTheme="minorHAnsi"/>
          <w:sz w:val="22"/>
          <w:szCs w:val="22"/>
          <w:lang w:eastAsia="en-US"/>
        </w:rPr>
        <w:t>,</w:t>
      </w:r>
      <w:r w:rsidR="00775FAD" w:rsidRPr="00F41AEF">
        <w:rPr>
          <w:rFonts w:asciiTheme="minorHAnsi" w:eastAsia="Calibri" w:hAnsiTheme="minorHAnsi"/>
          <w:sz w:val="22"/>
          <w:szCs w:val="22"/>
          <w:lang w:eastAsia="en-US"/>
        </w:rPr>
        <w:t xml:space="preserve"> ale nie przekonał go argument</w:t>
      </w:r>
      <w:r w:rsidR="00FD732C" w:rsidRPr="00F41AEF">
        <w:rPr>
          <w:rFonts w:asciiTheme="minorHAnsi" w:eastAsia="Calibri" w:hAnsiTheme="minorHAnsi"/>
          <w:sz w:val="22"/>
          <w:szCs w:val="22"/>
          <w:lang w:eastAsia="en-US"/>
        </w:rPr>
        <w:t xml:space="preserve"> Rządu, że takie systematyczne </w:t>
      </w:r>
      <w:r w:rsidR="00775FAD" w:rsidRPr="00F41AEF">
        <w:rPr>
          <w:rFonts w:asciiTheme="minorHAnsi" w:eastAsia="Calibri" w:hAnsiTheme="minorHAnsi"/>
          <w:sz w:val="22"/>
          <w:szCs w:val="22"/>
          <w:lang w:eastAsia="en-US"/>
        </w:rPr>
        <w:t xml:space="preserve">i wyjątkowo krępujące kontrole przeprowadzane codziennie, a nawet kilka razy </w:t>
      </w:r>
      <w:r w:rsidR="00FD732C" w:rsidRPr="00F41AEF">
        <w:rPr>
          <w:rFonts w:asciiTheme="minorHAnsi" w:eastAsia="Calibri" w:hAnsiTheme="minorHAnsi"/>
          <w:sz w:val="22"/>
          <w:szCs w:val="22"/>
          <w:lang w:eastAsia="en-US"/>
        </w:rPr>
        <w:t>dziennie</w:t>
      </w:r>
      <w:r w:rsidR="00ED74F0">
        <w:rPr>
          <w:rFonts w:asciiTheme="minorHAnsi" w:eastAsia="Calibri" w:hAnsiTheme="minorHAnsi"/>
          <w:sz w:val="22"/>
          <w:szCs w:val="22"/>
          <w:lang w:eastAsia="en-US"/>
        </w:rPr>
        <w:t>,</w:t>
      </w:r>
      <w:r w:rsidR="00FD732C" w:rsidRPr="00F41AEF">
        <w:rPr>
          <w:rFonts w:asciiTheme="minorHAnsi" w:eastAsia="Calibri" w:hAnsiTheme="minorHAnsi"/>
          <w:sz w:val="22"/>
          <w:szCs w:val="22"/>
          <w:lang w:eastAsia="en-US"/>
        </w:rPr>
        <w:t xml:space="preserve"> </w:t>
      </w:r>
      <w:r w:rsidR="00775FAD" w:rsidRPr="00F41AEF">
        <w:rPr>
          <w:rFonts w:asciiTheme="minorHAnsi" w:eastAsia="Calibri" w:hAnsiTheme="minorHAnsi"/>
          <w:sz w:val="22"/>
          <w:szCs w:val="22"/>
          <w:lang w:eastAsia="en-US"/>
        </w:rPr>
        <w:t>były niezbędne do zapewnie</w:t>
      </w:r>
      <w:r w:rsidR="00FD732C" w:rsidRPr="00F41AEF">
        <w:rPr>
          <w:rFonts w:asciiTheme="minorHAnsi" w:eastAsia="Calibri" w:hAnsiTheme="minorHAnsi"/>
          <w:sz w:val="22"/>
          <w:szCs w:val="22"/>
          <w:lang w:eastAsia="en-US"/>
        </w:rPr>
        <w:t>nia bezpieczeństwa w jednostce penitencjarnej</w:t>
      </w:r>
      <w:r w:rsidR="00775FAD" w:rsidRPr="00F41AEF">
        <w:rPr>
          <w:rFonts w:asciiTheme="minorHAnsi" w:eastAsia="Calibri" w:hAnsiTheme="minorHAnsi"/>
          <w:sz w:val="22"/>
          <w:szCs w:val="22"/>
          <w:lang w:eastAsia="en-US"/>
        </w:rPr>
        <w:t xml:space="preserve">. Ponadto władze nie przedstawiły wystarczających i odpowiednich powodów, które mogłyby uzasadnić, w okolicznościach tych spraw, że zastosowanie szerokiego zakresu środków, szczególnie w początkowym okresie nałożenia reżimu, było konieczne do osiągnięcia uzasadnionego celu zapewnienia </w:t>
      </w:r>
      <w:r w:rsidR="00ED74F0" w:rsidRPr="00F41AEF">
        <w:rPr>
          <w:rFonts w:asciiTheme="minorHAnsi" w:eastAsia="Calibri" w:hAnsiTheme="minorHAnsi"/>
          <w:sz w:val="22"/>
          <w:szCs w:val="22"/>
          <w:lang w:eastAsia="en-US"/>
        </w:rPr>
        <w:t>bezpieczeństw</w:t>
      </w:r>
      <w:r w:rsidR="00ED74F0">
        <w:rPr>
          <w:rFonts w:asciiTheme="minorHAnsi" w:eastAsia="Calibri" w:hAnsiTheme="minorHAnsi"/>
          <w:sz w:val="22"/>
          <w:szCs w:val="22"/>
          <w:lang w:eastAsia="en-US"/>
        </w:rPr>
        <w:t>a</w:t>
      </w:r>
      <w:r w:rsidR="00ED74F0" w:rsidRPr="00F41AEF">
        <w:rPr>
          <w:rFonts w:asciiTheme="minorHAnsi" w:eastAsia="Calibri" w:hAnsiTheme="minorHAnsi"/>
          <w:sz w:val="22"/>
          <w:szCs w:val="22"/>
          <w:lang w:eastAsia="en-US"/>
        </w:rPr>
        <w:t xml:space="preserve"> </w:t>
      </w:r>
      <w:r w:rsidR="00775FAD" w:rsidRPr="00F41AEF">
        <w:rPr>
          <w:rFonts w:asciiTheme="minorHAnsi" w:eastAsia="Calibri" w:hAnsiTheme="minorHAnsi"/>
          <w:sz w:val="22"/>
          <w:szCs w:val="22"/>
          <w:lang w:eastAsia="en-US"/>
        </w:rPr>
        <w:t>więzień.</w:t>
      </w:r>
    </w:p>
    <w:p w:rsidR="00775FAD" w:rsidRPr="00F41AEF" w:rsidRDefault="00775FA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Podkreślenia wymaga, że stany faktyczne wszystkich trzech orzeczeń Trybunału, a tym samym naruszenia Konwencji, mi</w:t>
      </w:r>
      <w:r w:rsidR="00ED74F0">
        <w:rPr>
          <w:rFonts w:asciiTheme="minorHAnsi" w:eastAsia="Calibri" w:hAnsiTheme="minorHAnsi"/>
          <w:sz w:val="22"/>
          <w:szCs w:val="22"/>
          <w:lang w:eastAsia="en-US"/>
        </w:rPr>
        <w:t>ały miejsce już po nowelizacji k</w:t>
      </w:r>
      <w:r w:rsidRPr="00F41AEF">
        <w:rPr>
          <w:rFonts w:asciiTheme="minorHAnsi" w:eastAsia="Calibri" w:hAnsiTheme="minorHAnsi"/>
          <w:sz w:val="22"/>
          <w:szCs w:val="22"/>
          <w:lang w:eastAsia="en-US"/>
        </w:rPr>
        <w:t>odeksu karnego wykonawczego, która weszła w</w:t>
      </w:r>
      <w:r w:rsidR="001273DE" w:rsidRPr="00F41AEF">
        <w:rPr>
          <w:rFonts w:asciiTheme="minorHAnsi" w:eastAsia="Calibri" w:hAnsiTheme="minorHAnsi"/>
          <w:sz w:val="22"/>
          <w:szCs w:val="22"/>
          <w:lang w:eastAsia="en-US"/>
        </w:rPr>
        <w:t xml:space="preserve"> </w:t>
      </w:r>
      <w:r w:rsidRPr="00F41AEF">
        <w:rPr>
          <w:rFonts w:asciiTheme="minorHAnsi" w:eastAsia="Calibri" w:hAnsiTheme="minorHAnsi"/>
          <w:sz w:val="22"/>
          <w:szCs w:val="22"/>
          <w:lang w:eastAsia="en-US"/>
        </w:rPr>
        <w:t xml:space="preserve">życie 24 października 2015 r. (jako element wykonania wyroku w sprawach </w:t>
      </w:r>
      <w:proofErr w:type="spellStart"/>
      <w:r w:rsidRPr="00F41AEF">
        <w:rPr>
          <w:rFonts w:asciiTheme="minorHAnsi" w:eastAsia="Calibri" w:hAnsiTheme="minorHAnsi"/>
          <w:i/>
          <w:sz w:val="22"/>
          <w:szCs w:val="22"/>
          <w:lang w:eastAsia="en-US"/>
        </w:rPr>
        <w:t>Horych</w:t>
      </w:r>
      <w:proofErr w:type="spellEnd"/>
      <w:r w:rsidRPr="00F41AEF">
        <w:rPr>
          <w:rFonts w:asciiTheme="minorHAnsi" w:eastAsia="Calibri" w:hAnsiTheme="minorHAnsi"/>
          <w:i/>
          <w:sz w:val="22"/>
          <w:szCs w:val="22"/>
          <w:lang w:eastAsia="en-US"/>
        </w:rPr>
        <w:t xml:space="preserve"> i Piechowicz</w:t>
      </w:r>
      <w:r w:rsidRPr="00F41AEF">
        <w:rPr>
          <w:rFonts w:asciiTheme="minorHAnsi" w:eastAsia="Calibri" w:hAnsiTheme="minorHAnsi"/>
          <w:sz w:val="22"/>
          <w:szCs w:val="22"/>
          <w:lang w:eastAsia="en-US"/>
        </w:rPr>
        <w:t xml:space="preserve">). </w:t>
      </w:r>
    </w:p>
    <w:p w:rsidR="00775FAD" w:rsidRPr="00F41AEF" w:rsidRDefault="00FD732C"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R</w:t>
      </w:r>
      <w:r w:rsidR="00775FAD" w:rsidRPr="00F41AEF">
        <w:rPr>
          <w:rFonts w:asciiTheme="minorHAnsi" w:eastAsia="Calibri" w:hAnsiTheme="minorHAnsi"/>
          <w:sz w:val="22"/>
          <w:szCs w:val="22"/>
          <w:lang w:eastAsia="en-US"/>
        </w:rPr>
        <w:t xml:space="preserve">ząd przedstawił </w:t>
      </w:r>
      <w:r w:rsidR="00380B4F" w:rsidRPr="00F41AEF">
        <w:rPr>
          <w:rFonts w:asciiTheme="minorHAnsi" w:eastAsia="Calibri" w:hAnsiTheme="minorHAnsi"/>
          <w:sz w:val="22"/>
          <w:szCs w:val="22"/>
          <w:lang w:eastAsia="en-US"/>
        </w:rPr>
        <w:t>raport z wykonania ww. wyroków</w:t>
      </w:r>
      <w:r w:rsidRPr="00F41AEF">
        <w:rPr>
          <w:rFonts w:asciiTheme="minorHAnsi" w:eastAsia="Calibri" w:hAnsiTheme="minorHAnsi"/>
          <w:sz w:val="22"/>
          <w:szCs w:val="22"/>
          <w:lang w:eastAsia="en-US"/>
        </w:rPr>
        <w:t>,</w:t>
      </w:r>
      <w:r w:rsidR="00380B4F" w:rsidRPr="00F41AEF">
        <w:rPr>
          <w:rFonts w:asciiTheme="minorHAnsi" w:eastAsia="Calibri" w:hAnsiTheme="minorHAnsi"/>
          <w:sz w:val="22"/>
          <w:szCs w:val="22"/>
          <w:lang w:eastAsia="en-US"/>
        </w:rPr>
        <w:t xml:space="preserve"> </w:t>
      </w:r>
      <w:r w:rsidR="00775FAD" w:rsidRPr="00F41AEF">
        <w:rPr>
          <w:rFonts w:asciiTheme="minorHAnsi" w:eastAsia="Calibri" w:hAnsiTheme="minorHAnsi"/>
          <w:sz w:val="22"/>
          <w:szCs w:val="22"/>
          <w:lang w:eastAsia="en-US"/>
        </w:rPr>
        <w:t>do którego D</w:t>
      </w:r>
      <w:r w:rsidR="001273DE" w:rsidRPr="00F41AEF">
        <w:rPr>
          <w:rFonts w:asciiTheme="minorHAnsi" w:eastAsia="Calibri" w:hAnsiTheme="minorHAnsi"/>
          <w:sz w:val="22"/>
          <w:szCs w:val="22"/>
          <w:lang w:eastAsia="en-US"/>
        </w:rPr>
        <w:t>WW</w:t>
      </w:r>
      <w:r w:rsidR="005F0A31" w:rsidRPr="00F41AEF">
        <w:rPr>
          <w:rFonts w:asciiTheme="minorHAnsi" w:eastAsia="Calibri" w:hAnsiTheme="minorHAnsi"/>
          <w:sz w:val="22"/>
          <w:szCs w:val="22"/>
          <w:lang w:eastAsia="en-US"/>
        </w:rPr>
        <w:t xml:space="preserve"> </w:t>
      </w:r>
      <w:r w:rsidR="00775FAD" w:rsidRPr="00F41AEF">
        <w:rPr>
          <w:rFonts w:asciiTheme="minorHAnsi" w:eastAsia="Calibri" w:hAnsiTheme="minorHAnsi"/>
          <w:sz w:val="22"/>
          <w:szCs w:val="22"/>
          <w:lang w:eastAsia="en-US"/>
        </w:rPr>
        <w:t>zgłosił uwagi odnośnie do środków generalnych. DWW wskazał m.in. na działania uświadamiające, które jego ocenie muszą mieć charakter ukierunkowany. W szczególności powinny być skierowane do personelu służby więziennej oraz sędziów penitencjarnych. Ponadto konieczne jest wykazanie</w:t>
      </w:r>
      <w:r w:rsidR="00ED74F0">
        <w:rPr>
          <w:rFonts w:asciiTheme="minorHAnsi" w:eastAsia="Calibri" w:hAnsiTheme="minorHAnsi"/>
          <w:sz w:val="22"/>
          <w:szCs w:val="22"/>
          <w:lang w:eastAsia="en-US"/>
        </w:rPr>
        <w:t>,</w:t>
      </w:r>
      <w:r w:rsidR="00775FAD" w:rsidRPr="00F41AEF">
        <w:rPr>
          <w:rFonts w:asciiTheme="minorHAnsi" w:eastAsia="Calibri" w:hAnsiTheme="minorHAnsi"/>
          <w:sz w:val="22"/>
          <w:szCs w:val="22"/>
          <w:lang w:eastAsia="en-US"/>
        </w:rPr>
        <w:t xml:space="preserve"> że faktycznie istnieje możliwość dostosowania reżimu do indywidualnych okoliczności każdego osadzonego (zgodnie ze znowelizowanymi przepisami). </w:t>
      </w:r>
    </w:p>
    <w:p w:rsidR="00B06129" w:rsidRPr="00F41AEF" w:rsidRDefault="00FD732C"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Przedstawicielka MS </w:t>
      </w:r>
      <w:r w:rsidR="00E77F29" w:rsidRPr="00F41AEF">
        <w:rPr>
          <w:rFonts w:asciiTheme="minorHAnsi" w:eastAsia="Calibri" w:hAnsiTheme="minorHAnsi"/>
          <w:sz w:val="22"/>
          <w:szCs w:val="22"/>
          <w:lang w:eastAsia="en-US"/>
        </w:rPr>
        <w:t xml:space="preserve">uzupełniła stany faktyczne ww. spraw wskazując na różnice pomiędzy nimi. </w:t>
      </w:r>
      <w:r w:rsidR="00B06129" w:rsidRPr="00F41AEF">
        <w:rPr>
          <w:rFonts w:asciiTheme="minorHAnsi" w:eastAsia="Calibri" w:hAnsiTheme="minorHAnsi"/>
          <w:sz w:val="22"/>
          <w:szCs w:val="22"/>
          <w:lang w:eastAsia="en-US"/>
        </w:rPr>
        <w:t>Stany fakt</w:t>
      </w:r>
      <w:r w:rsidR="00ED74F0">
        <w:rPr>
          <w:rFonts w:asciiTheme="minorHAnsi" w:eastAsia="Calibri" w:hAnsiTheme="minorHAnsi"/>
          <w:sz w:val="22"/>
          <w:szCs w:val="22"/>
          <w:lang w:eastAsia="en-US"/>
        </w:rPr>
        <w:t>ycznie ww. spraw miały miejsce t</w:t>
      </w:r>
      <w:r w:rsidR="00B06129" w:rsidRPr="00F41AEF">
        <w:rPr>
          <w:rFonts w:asciiTheme="minorHAnsi" w:eastAsia="Calibri" w:hAnsiTheme="minorHAnsi"/>
          <w:sz w:val="22"/>
          <w:szCs w:val="22"/>
          <w:lang w:eastAsia="en-US"/>
        </w:rPr>
        <w:t>uż po wejściu w życie nowelizacji przepisów kodeksu karnego wykonawczego, która miała na celu wyeliminowanie automatyzmu przy kwalifikowaniu do reżimu więźnia niebezpiecznego</w:t>
      </w:r>
      <w:r w:rsidR="00ED74F0">
        <w:rPr>
          <w:rFonts w:asciiTheme="minorHAnsi" w:eastAsia="Calibri" w:hAnsiTheme="minorHAnsi"/>
          <w:sz w:val="22"/>
          <w:szCs w:val="22"/>
          <w:lang w:eastAsia="en-US"/>
        </w:rPr>
        <w:t>,</w:t>
      </w:r>
      <w:r w:rsidR="00B06129" w:rsidRPr="00F41AEF">
        <w:rPr>
          <w:rFonts w:asciiTheme="minorHAnsi" w:eastAsia="Calibri" w:hAnsiTheme="minorHAnsi"/>
          <w:sz w:val="22"/>
          <w:szCs w:val="22"/>
          <w:lang w:eastAsia="en-US"/>
        </w:rPr>
        <w:t xml:space="preserve"> poprzez szczegółowe określenie przesłanek, które powinny zostać spełnione przy kwalifikacji</w:t>
      </w:r>
      <w:r w:rsidR="00ED74F0">
        <w:rPr>
          <w:rFonts w:asciiTheme="minorHAnsi" w:eastAsia="Calibri" w:hAnsiTheme="minorHAnsi"/>
          <w:sz w:val="22"/>
          <w:szCs w:val="22"/>
          <w:lang w:eastAsia="en-US"/>
        </w:rPr>
        <w:t>,</w:t>
      </w:r>
      <w:r w:rsidR="00B06129" w:rsidRPr="00F41AEF">
        <w:rPr>
          <w:rFonts w:asciiTheme="minorHAnsi" w:eastAsia="Calibri" w:hAnsiTheme="minorHAnsi"/>
          <w:sz w:val="22"/>
          <w:szCs w:val="22"/>
          <w:lang w:eastAsia="en-US"/>
        </w:rPr>
        <w:t xml:space="preserve"> oraz stopniowe łagodzenie rygorów. W związku z przeprowadzoną nowelizacją KKW MS stoi na stanowisku, że dalsze zmiany legislacyjne nie są konieczne. W wykonywaniu ww. orzeczeń należy skupić się przede wszystkim na działaniach o charakterze edukacyjnym i upowszechniającym. </w:t>
      </w:r>
    </w:p>
    <w:p w:rsidR="00775FAD" w:rsidRPr="00F41AEF" w:rsidRDefault="00B0612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MS przedstawiło już wkład do raportu z wykonania tych wyroków. Wyroki zostały przetłumaczone na język polski i umieszczone w bazie MS, informacje o wydaniu tych wyroków zostały opublikowane na stronie internetowej MS w aktualnościach i newsletterze. Informacje o orzeczeniach zostały </w:t>
      </w:r>
      <w:r w:rsidRPr="00F41AEF">
        <w:rPr>
          <w:rFonts w:asciiTheme="minorHAnsi" w:eastAsia="Calibri" w:hAnsiTheme="minorHAnsi"/>
          <w:sz w:val="22"/>
          <w:szCs w:val="22"/>
          <w:lang w:eastAsia="en-US"/>
        </w:rPr>
        <w:lastRenderedPageBreak/>
        <w:t>przekazane właściwym sądom oraz Centralnemu Zarządowi Służby Więziennej.</w:t>
      </w:r>
      <w:r w:rsidR="00ED74F0">
        <w:rPr>
          <w:rFonts w:asciiTheme="minorHAnsi" w:eastAsia="Calibri" w:hAnsiTheme="minorHAnsi"/>
          <w:sz w:val="22"/>
          <w:szCs w:val="22"/>
          <w:lang w:eastAsia="en-US"/>
        </w:rPr>
        <w:t xml:space="preserve"> W ramach współpracy z </w:t>
      </w:r>
      <w:proofErr w:type="spellStart"/>
      <w:r w:rsidR="00ED74F0">
        <w:rPr>
          <w:rFonts w:asciiTheme="minorHAnsi" w:eastAsia="Calibri" w:hAnsiTheme="minorHAnsi"/>
          <w:sz w:val="22"/>
          <w:szCs w:val="22"/>
          <w:lang w:eastAsia="en-US"/>
        </w:rPr>
        <w:t>KSSi</w:t>
      </w:r>
      <w:r w:rsidR="003E1A5C" w:rsidRPr="00F41AEF">
        <w:rPr>
          <w:rFonts w:asciiTheme="minorHAnsi" w:eastAsia="Calibri" w:hAnsiTheme="minorHAnsi"/>
          <w:sz w:val="22"/>
          <w:szCs w:val="22"/>
          <w:lang w:eastAsia="en-US"/>
        </w:rPr>
        <w:t>P</w:t>
      </w:r>
      <w:proofErr w:type="spellEnd"/>
      <w:r w:rsidR="003E1A5C" w:rsidRPr="00F41AEF">
        <w:rPr>
          <w:rFonts w:asciiTheme="minorHAnsi" w:eastAsia="Calibri" w:hAnsiTheme="minorHAnsi"/>
          <w:sz w:val="22"/>
          <w:szCs w:val="22"/>
          <w:lang w:eastAsia="en-US"/>
        </w:rPr>
        <w:t xml:space="preserve"> wyroki znajdą się z programie szkolenia aplikacji sądowej w lutym/marcu 2022 r. Ponadto </w:t>
      </w:r>
      <w:proofErr w:type="spellStart"/>
      <w:r w:rsidR="003E1A5C" w:rsidRPr="00F41AEF">
        <w:rPr>
          <w:rFonts w:asciiTheme="minorHAnsi" w:eastAsia="Calibri" w:hAnsiTheme="minorHAnsi"/>
          <w:sz w:val="22"/>
          <w:szCs w:val="22"/>
          <w:lang w:eastAsia="en-US"/>
        </w:rPr>
        <w:t>KSSiP</w:t>
      </w:r>
      <w:proofErr w:type="spellEnd"/>
      <w:r w:rsidR="003E1A5C" w:rsidRPr="00F41AEF">
        <w:rPr>
          <w:rFonts w:asciiTheme="minorHAnsi" w:eastAsia="Calibri" w:hAnsiTheme="minorHAnsi"/>
          <w:sz w:val="22"/>
          <w:szCs w:val="22"/>
          <w:lang w:eastAsia="en-US"/>
        </w:rPr>
        <w:t xml:space="preserve"> poinformował, że planowane są dodatkowe szkolenia dedykowane sędziom penitencjarnym i te wyroki będą w ramach szkoleń uwzględniane. </w:t>
      </w:r>
    </w:p>
    <w:p w:rsidR="004079B7" w:rsidRPr="00F41AEF" w:rsidRDefault="004079B7"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Działania upowszechniające i szkoleniowe podejmowane są przez służbę więzienną. Z informacji uzyskanych w CZSW wynika, że ta problematyka jest przedmiotem szkoleń, rocznej odprawy kierownictwa SW oraz odprawy dla specjalistów okręgowych inspektoratów SW.</w:t>
      </w:r>
    </w:p>
    <w:p w:rsidR="004079B7" w:rsidRPr="00F41AEF" w:rsidRDefault="004079B7"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15 grudnia 2017 r. weszła w życie znowelizowana instrukcja DGSW w sprawie zasad organizacji warunków prowadzenia oddziaływań penitencjarnych wobec osadzonych stwarzających poważne zagrożenie społeczne lub poważne zagrożenie dla bezpieczeństwa aresztu śledczego lub zakładu karnego. Przepisy tej instrukcji mają przede wszystkim na celu wdrażanie konstruktywnych rozwiązań sprzyjających poprawie efektywności w organizacji i prowadzeniu oddziaływań penitencjarnych wobec tej grupy osadzonych. Wskazuje ona na konieczność organizowania i prowadzenia oddziaływań penitencjarnych, w tym aktywizację fizyczną osadzonych, rozładowywanie napięć związanych z izolacją w celu utrzymania właściwej kondycji psychicznej i uczynienia okresu pobytu osadzonych w szczególnych warunkach możliwie jak najkrótszym. </w:t>
      </w:r>
    </w:p>
    <w:p w:rsidR="003F6B4B" w:rsidRPr="00F41AEF" w:rsidRDefault="004079B7"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CZSW przekazał także dane statystyczne, które również poruszono w uwagach DWW. </w:t>
      </w:r>
      <w:r w:rsidR="003F6B4B" w:rsidRPr="00F41AEF">
        <w:rPr>
          <w:rFonts w:asciiTheme="minorHAnsi" w:eastAsia="Calibri" w:hAnsiTheme="minorHAnsi"/>
          <w:sz w:val="22"/>
          <w:szCs w:val="22"/>
          <w:lang w:eastAsia="en-US"/>
        </w:rPr>
        <w:t>Liczba osadzonych zakwalifikowanych do tej kategorii wynosiła w 2018 r.  – 191, w 2019 r.  – 178, w 2020 r. – 171, do 31 października 2021</w:t>
      </w:r>
      <w:r w:rsidR="006E09DE" w:rsidRPr="00F41AEF">
        <w:rPr>
          <w:rFonts w:asciiTheme="minorHAnsi" w:eastAsia="Calibri" w:hAnsiTheme="minorHAnsi"/>
          <w:sz w:val="22"/>
          <w:szCs w:val="22"/>
          <w:lang w:eastAsia="en-US"/>
        </w:rPr>
        <w:t xml:space="preserve"> r.</w:t>
      </w:r>
      <w:r w:rsidR="003F6B4B" w:rsidRPr="00F41AEF">
        <w:rPr>
          <w:rFonts w:asciiTheme="minorHAnsi" w:eastAsia="Calibri" w:hAnsiTheme="minorHAnsi"/>
          <w:sz w:val="22"/>
          <w:szCs w:val="22"/>
          <w:lang w:eastAsia="en-US"/>
        </w:rPr>
        <w:t xml:space="preserve"> – 137 (więc te liczby spadają). Podano także informacje</w:t>
      </w:r>
      <w:r w:rsidR="00162F57">
        <w:rPr>
          <w:rFonts w:asciiTheme="minorHAnsi" w:eastAsia="Calibri" w:hAnsiTheme="minorHAnsi"/>
          <w:sz w:val="22"/>
          <w:szCs w:val="22"/>
          <w:lang w:eastAsia="en-US"/>
        </w:rPr>
        <w:t>,</w:t>
      </w:r>
      <w:r w:rsidR="003F6B4B" w:rsidRPr="00F41AEF">
        <w:rPr>
          <w:rFonts w:asciiTheme="minorHAnsi" w:eastAsia="Calibri" w:hAnsiTheme="minorHAnsi"/>
          <w:sz w:val="22"/>
          <w:szCs w:val="22"/>
          <w:lang w:eastAsia="en-US"/>
        </w:rPr>
        <w:t xml:space="preserve"> jakie są przyczyny do kwalifikowania do kategorii „N”. Wydaje się, że jeśli chodzi o wykonanie tych wyroków to działania legislacyjne nie są konieczne. W przypadku tych spraw doszło do niewłaściwego zastosowania istniejących przepisów dlatego też najwłaściwsze będą szkolenia i upowszechnianie przede wszystkim. </w:t>
      </w:r>
    </w:p>
    <w:p w:rsidR="003F6B4B" w:rsidRPr="00F41AEF" w:rsidRDefault="003F6B4B"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Przewodniczący zauważył, że w takich przypadkach bardzo ważne jest szerokie rozpowszechnienie wyroku Trybunału, jak również przeprowadzenie szkoleń. DWW czasem prosi również o dokładniejsze informacje dotyczące treści przeprowadzanych szkoleń. </w:t>
      </w:r>
    </w:p>
    <w:p w:rsidR="003E1A5C" w:rsidRDefault="006E09DE"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Przedstawiciel </w:t>
      </w:r>
      <w:proofErr w:type="spellStart"/>
      <w:r w:rsidRPr="00F41AEF">
        <w:rPr>
          <w:rFonts w:asciiTheme="minorHAnsi" w:eastAsia="Calibri" w:hAnsiTheme="minorHAnsi"/>
          <w:sz w:val="22"/>
          <w:szCs w:val="22"/>
          <w:lang w:eastAsia="en-US"/>
        </w:rPr>
        <w:t>KSSiP</w:t>
      </w:r>
      <w:proofErr w:type="spellEnd"/>
      <w:r w:rsidRPr="00F41AEF">
        <w:rPr>
          <w:rFonts w:asciiTheme="minorHAnsi" w:eastAsia="Calibri" w:hAnsiTheme="minorHAnsi"/>
          <w:sz w:val="22"/>
          <w:szCs w:val="22"/>
          <w:lang w:eastAsia="en-US"/>
        </w:rPr>
        <w:t xml:space="preserve"> poinformował, że szkolenia związane z tematyką, która pojawiła siew ww. wyrokach</w:t>
      </w:r>
      <w:r w:rsidR="00162F57">
        <w:rPr>
          <w:rFonts w:asciiTheme="minorHAnsi" w:eastAsia="Calibri" w:hAnsiTheme="minorHAnsi"/>
          <w:sz w:val="22"/>
          <w:szCs w:val="22"/>
          <w:lang w:eastAsia="en-US"/>
        </w:rPr>
        <w:t>,</w:t>
      </w:r>
      <w:r w:rsidRPr="00F41AEF">
        <w:rPr>
          <w:rFonts w:asciiTheme="minorHAnsi" w:eastAsia="Calibri" w:hAnsiTheme="minorHAnsi"/>
          <w:sz w:val="22"/>
          <w:szCs w:val="22"/>
          <w:lang w:eastAsia="en-US"/>
        </w:rPr>
        <w:t xml:space="preserve"> miały już miejsce od 2016 r. (np. szkolenia nt.: ochrona praw człowieka i zakaz dyskryminacji</w:t>
      </w:r>
      <w:r w:rsidR="00162F57">
        <w:rPr>
          <w:rFonts w:asciiTheme="minorHAnsi" w:eastAsia="Calibri" w:hAnsiTheme="minorHAnsi"/>
          <w:sz w:val="22"/>
          <w:szCs w:val="22"/>
          <w:lang w:eastAsia="en-US"/>
        </w:rPr>
        <w:t>,</w:t>
      </w:r>
      <w:r w:rsidRPr="00F41AEF">
        <w:rPr>
          <w:rFonts w:asciiTheme="minorHAnsi" w:eastAsia="Calibri" w:hAnsiTheme="minorHAnsi"/>
          <w:sz w:val="22"/>
          <w:szCs w:val="22"/>
          <w:lang w:eastAsia="en-US"/>
        </w:rPr>
        <w:t xml:space="preserve"> gwarancje procesowe ochrony praw człowieka i osadzonych</w:t>
      </w:r>
      <w:r w:rsidR="00162F57">
        <w:rPr>
          <w:rFonts w:asciiTheme="minorHAnsi" w:eastAsia="Calibri" w:hAnsiTheme="minorHAnsi"/>
          <w:sz w:val="22"/>
          <w:szCs w:val="22"/>
          <w:lang w:eastAsia="en-US"/>
        </w:rPr>
        <w:t>)</w:t>
      </w:r>
      <w:r w:rsidRPr="00F41AEF">
        <w:rPr>
          <w:rFonts w:asciiTheme="minorHAnsi" w:eastAsia="Calibri" w:hAnsiTheme="minorHAnsi"/>
          <w:sz w:val="22"/>
          <w:szCs w:val="22"/>
          <w:lang w:eastAsia="en-US"/>
        </w:rPr>
        <w:t xml:space="preserve"> i w nich były przewidziane zagadnienia także dotyczące osadzonych niebezpiecznych. W dotychczasowej praktyce wychodzono z założenia, że orzecznictwo Trybunału jest normalnym elementem porządku prawnego w P</w:t>
      </w:r>
      <w:r w:rsidR="001273DE" w:rsidRPr="00F41AEF">
        <w:rPr>
          <w:rFonts w:asciiTheme="minorHAnsi" w:eastAsia="Calibri" w:hAnsiTheme="minorHAnsi"/>
          <w:sz w:val="22"/>
          <w:szCs w:val="22"/>
          <w:lang w:eastAsia="en-US"/>
        </w:rPr>
        <w:t>olsce</w:t>
      </w:r>
      <w:r w:rsidR="00162F57">
        <w:rPr>
          <w:rFonts w:asciiTheme="minorHAnsi" w:eastAsia="Calibri" w:hAnsiTheme="minorHAnsi"/>
          <w:sz w:val="22"/>
          <w:szCs w:val="22"/>
          <w:lang w:eastAsia="en-US"/>
        </w:rPr>
        <w:t>, wię</w:t>
      </w:r>
      <w:r w:rsidRPr="00F41AEF">
        <w:rPr>
          <w:rFonts w:asciiTheme="minorHAnsi" w:eastAsia="Calibri" w:hAnsiTheme="minorHAnsi"/>
          <w:sz w:val="22"/>
          <w:szCs w:val="22"/>
          <w:lang w:eastAsia="en-US"/>
        </w:rPr>
        <w:t>c nie zawsze było wyszczególniane</w:t>
      </w:r>
      <w:r w:rsidR="00162F57">
        <w:rPr>
          <w:rFonts w:asciiTheme="minorHAnsi" w:eastAsia="Calibri" w:hAnsiTheme="minorHAnsi"/>
          <w:sz w:val="22"/>
          <w:szCs w:val="22"/>
          <w:lang w:eastAsia="en-US"/>
        </w:rPr>
        <w:t>,</w:t>
      </w:r>
      <w:r w:rsidRPr="00F41AEF">
        <w:rPr>
          <w:rFonts w:asciiTheme="minorHAnsi" w:eastAsia="Calibri" w:hAnsiTheme="minorHAnsi"/>
          <w:sz w:val="22"/>
          <w:szCs w:val="22"/>
          <w:lang w:eastAsia="en-US"/>
        </w:rPr>
        <w:t xml:space="preserve"> bowiem było traktowane tak</w:t>
      </w:r>
      <w:r w:rsidR="00162F57">
        <w:rPr>
          <w:rFonts w:asciiTheme="minorHAnsi" w:eastAsia="Calibri" w:hAnsiTheme="minorHAnsi"/>
          <w:sz w:val="22"/>
          <w:szCs w:val="22"/>
          <w:lang w:eastAsia="en-US"/>
        </w:rPr>
        <w:t>,</w:t>
      </w:r>
      <w:r w:rsidRPr="00F41AEF">
        <w:rPr>
          <w:rFonts w:asciiTheme="minorHAnsi" w:eastAsia="Calibri" w:hAnsiTheme="minorHAnsi"/>
          <w:sz w:val="22"/>
          <w:szCs w:val="22"/>
          <w:lang w:eastAsia="en-US"/>
        </w:rPr>
        <w:t xml:space="preserve"> jak orzecznictwo polskiej judykatury. </w:t>
      </w:r>
      <w:proofErr w:type="spellStart"/>
      <w:r w:rsidRPr="00F41AEF">
        <w:rPr>
          <w:rFonts w:asciiTheme="minorHAnsi" w:eastAsia="Calibri" w:hAnsiTheme="minorHAnsi"/>
          <w:sz w:val="22"/>
          <w:szCs w:val="22"/>
          <w:lang w:eastAsia="en-US"/>
        </w:rPr>
        <w:t>KSSiP</w:t>
      </w:r>
      <w:proofErr w:type="spellEnd"/>
      <w:r w:rsidRPr="00F41AEF">
        <w:rPr>
          <w:rFonts w:asciiTheme="minorHAnsi" w:eastAsia="Calibri" w:hAnsiTheme="minorHAnsi"/>
          <w:sz w:val="22"/>
          <w:szCs w:val="22"/>
          <w:lang w:eastAsia="en-US"/>
        </w:rPr>
        <w:t xml:space="preserve"> będzie wprowadzać do swojej oferty nową formułę – webinaria online – krótkie wystąpienia dotyczące jednego zagadnienia czy problemu, podczas których osoba prowadząca będzie miała przedstawić dane zagadnienie i to będzie dobra formuła, aby przedstawiać konkretne wyroki. </w:t>
      </w:r>
      <w:r w:rsidR="002C2EA3" w:rsidRPr="00F41AEF">
        <w:rPr>
          <w:rFonts w:asciiTheme="minorHAnsi" w:eastAsia="Calibri" w:hAnsiTheme="minorHAnsi"/>
          <w:sz w:val="22"/>
          <w:szCs w:val="22"/>
          <w:lang w:eastAsia="en-US"/>
        </w:rPr>
        <w:t>Ponadto osobom, które układają programy szkoleń</w:t>
      </w:r>
      <w:r w:rsidR="00162F57">
        <w:rPr>
          <w:rFonts w:asciiTheme="minorHAnsi" w:eastAsia="Calibri" w:hAnsiTheme="minorHAnsi"/>
          <w:sz w:val="22"/>
          <w:szCs w:val="22"/>
          <w:lang w:eastAsia="en-US"/>
        </w:rPr>
        <w:t>,</w:t>
      </w:r>
      <w:r w:rsidR="002C2EA3" w:rsidRPr="00F41AEF">
        <w:rPr>
          <w:rFonts w:asciiTheme="minorHAnsi" w:eastAsia="Calibri" w:hAnsiTheme="minorHAnsi"/>
          <w:sz w:val="22"/>
          <w:szCs w:val="22"/>
          <w:lang w:eastAsia="en-US"/>
        </w:rPr>
        <w:t xml:space="preserve"> zostanie zwrócona uwaga, aby wyroki ETPC, jeśli będą poruszane w trakcie szkoleń, były wyszczególnione już w samych programach, tak aby pozyskanie informacji o nich było łatwiejs</w:t>
      </w:r>
      <w:r w:rsidR="00E346FA">
        <w:rPr>
          <w:rFonts w:asciiTheme="minorHAnsi" w:eastAsia="Calibri" w:hAnsiTheme="minorHAnsi"/>
          <w:sz w:val="22"/>
          <w:szCs w:val="22"/>
          <w:lang w:eastAsia="en-US"/>
        </w:rPr>
        <w:t>ze.</w:t>
      </w:r>
    </w:p>
    <w:p w:rsidR="00E346FA" w:rsidRPr="00F41AEF" w:rsidRDefault="00E346FA" w:rsidP="00F41AEF">
      <w:pPr>
        <w:spacing w:after="120"/>
        <w:jc w:val="both"/>
        <w:rPr>
          <w:rFonts w:asciiTheme="minorHAnsi" w:eastAsia="Calibri" w:hAnsiTheme="minorHAnsi"/>
          <w:sz w:val="22"/>
          <w:szCs w:val="22"/>
          <w:lang w:eastAsia="en-US"/>
        </w:rPr>
      </w:pPr>
    </w:p>
    <w:p w:rsidR="00EA2D09" w:rsidRPr="00F41AEF" w:rsidRDefault="00EA2D09" w:rsidP="00F41AEF">
      <w:pPr>
        <w:pStyle w:val="Akapitzlist"/>
        <w:numPr>
          <w:ilvl w:val="0"/>
          <w:numId w:val="1"/>
        </w:numPr>
        <w:spacing w:after="120" w:line="240" w:lineRule="auto"/>
        <w:contextualSpacing w:val="0"/>
        <w:jc w:val="both"/>
        <w:rPr>
          <w:b/>
        </w:rPr>
      </w:pPr>
      <w:r w:rsidRPr="00F41AEF">
        <w:rPr>
          <w:b/>
        </w:rPr>
        <w:t>Pozostałe informacje i ogłoszenia</w:t>
      </w:r>
    </w:p>
    <w:p w:rsidR="00EA2D09" w:rsidRPr="00F41AEF" w:rsidRDefault="00380B4F"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Przewodniczący poinformował o </w:t>
      </w:r>
      <w:r w:rsidR="00EA2D09" w:rsidRPr="00F41AEF">
        <w:rPr>
          <w:rFonts w:asciiTheme="minorHAnsi" w:eastAsia="Calibri" w:hAnsiTheme="minorHAnsi"/>
          <w:sz w:val="22"/>
          <w:szCs w:val="22"/>
          <w:lang w:eastAsia="en-US"/>
        </w:rPr>
        <w:t>procedur</w:t>
      </w:r>
      <w:r w:rsidRPr="00F41AEF">
        <w:rPr>
          <w:rFonts w:asciiTheme="minorHAnsi" w:eastAsia="Calibri" w:hAnsiTheme="minorHAnsi"/>
          <w:sz w:val="22"/>
          <w:szCs w:val="22"/>
          <w:lang w:eastAsia="en-US"/>
        </w:rPr>
        <w:t>ze</w:t>
      </w:r>
      <w:r w:rsidR="00EA2D09" w:rsidRPr="00F41AEF">
        <w:rPr>
          <w:rFonts w:asciiTheme="minorHAnsi" w:eastAsia="Calibri" w:hAnsiTheme="minorHAnsi"/>
          <w:sz w:val="22"/>
          <w:szCs w:val="22"/>
          <w:lang w:eastAsia="en-US"/>
        </w:rPr>
        <w:t xml:space="preserve"> wyłonienia nowej listy kandydatów na sędziego ETPC z ramienia Polski</w:t>
      </w:r>
      <w:r w:rsidRPr="00F41AEF">
        <w:rPr>
          <w:rFonts w:asciiTheme="minorHAnsi" w:eastAsia="Calibri" w:hAnsiTheme="minorHAnsi"/>
          <w:sz w:val="22"/>
          <w:szCs w:val="22"/>
          <w:lang w:eastAsia="en-US"/>
        </w:rPr>
        <w:t xml:space="preserve">, po tym jak </w:t>
      </w:r>
      <w:r w:rsidR="00EA2D09" w:rsidRPr="00F41AEF">
        <w:rPr>
          <w:rFonts w:asciiTheme="minorHAnsi" w:eastAsia="Calibri" w:hAnsiTheme="minorHAnsi"/>
          <w:sz w:val="22"/>
          <w:szCs w:val="22"/>
          <w:lang w:eastAsia="en-US"/>
        </w:rPr>
        <w:t>Zgromadzenie Parlamentarne RE odrzuciło poprzednią polską listę z uwagi na kwestie proceduralne, bez przesłuchania kandydatów. W związku z decyzją ZPRE MSZ dokonało zmian w procedurze. W szczególności</w:t>
      </w:r>
      <w:r w:rsidR="00162F57">
        <w:rPr>
          <w:rFonts w:asciiTheme="minorHAnsi" w:eastAsia="Calibri" w:hAnsiTheme="minorHAnsi"/>
          <w:sz w:val="22"/>
          <w:szCs w:val="22"/>
          <w:lang w:eastAsia="en-US"/>
        </w:rPr>
        <w:t>,</w:t>
      </w:r>
      <w:r w:rsidR="00EA2D09" w:rsidRPr="00F41AEF">
        <w:rPr>
          <w:rFonts w:asciiTheme="minorHAnsi" w:eastAsia="Calibri" w:hAnsiTheme="minorHAnsi"/>
          <w:sz w:val="22"/>
          <w:szCs w:val="22"/>
          <w:lang w:eastAsia="en-US"/>
        </w:rPr>
        <w:t xml:space="preserve"> w celu zwiększenia przejrzystości procesu wyłaniania kandydatów wprowadzona została możliwość wyznaczenia przez organizacje pozarządowe obserwatorów w czasie rozmów kwalifikacyjnych z kandydatami. </w:t>
      </w:r>
    </w:p>
    <w:p w:rsidR="00EA2D09" w:rsidRPr="00F41AEF"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lastRenderedPageBreak/>
        <w:t xml:space="preserve">Ponadto Minister Spraw Zagranicznych powołał nowy Zespół do spraw wyłonienia kandydatów na urząd Sędziego Europejskiego Trybunału Praw Człowieka w Strasburgu, zwiększając liczbę osób spoza administracji rządowej, wchodzących w jego skład. </w:t>
      </w:r>
    </w:p>
    <w:p w:rsidR="00EA2D09" w:rsidRPr="00F41AEF"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Podobnie jak w poprzedniej procedurze MSZ bardzo szeroko upowszechniło konkurs: informację o nowym naborze </w:t>
      </w:r>
      <w:r w:rsidR="008D187E" w:rsidRPr="00F41AEF">
        <w:rPr>
          <w:rFonts w:asciiTheme="minorHAnsi" w:eastAsia="Calibri" w:hAnsiTheme="minorHAnsi"/>
          <w:sz w:val="22"/>
          <w:szCs w:val="22"/>
          <w:lang w:eastAsia="en-US"/>
        </w:rPr>
        <w:t xml:space="preserve">wysłano </w:t>
      </w:r>
      <w:r w:rsidRPr="00F41AEF">
        <w:rPr>
          <w:rFonts w:asciiTheme="minorHAnsi" w:eastAsia="Calibri" w:hAnsiTheme="minorHAnsi"/>
          <w:sz w:val="22"/>
          <w:szCs w:val="22"/>
          <w:lang w:eastAsia="en-US"/>
        </w:rPr>
        <w:t xml:space="preserve">do ok. 130 podmiotów oraz wszystkich członków Zespołu i osób z nim współpracujących. Informacje o konkursie były również na bieżąco publikowane na stronie internetowej MSZ. </w:t>
      </w:r>
    </w:p>
    <w:p w:rsidR="00695525"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W wyznaczonym terminie zgłosiło się 19 kandydatów</w:t>
      </w:r>
      <w:r w:rsidR="008D187E" w:rsidRPr="00F41AEF">
        <w:rPr>
          <w:rFonts w:asciiTheme="minorHAnsi" w:eastAsia="Calibri" w:hAnsiTheme="minorHAnsi"/>
          <w:sz w:val="22"/>
          <w:szCs w:val="22"/>
          <w:lang w:eastAsia="en-US"/>
        </w:rPr>
        <w:t>. Lista k</w:t>
      </w:r>
      <w:r w:rsidRPr="00F41AEF">
        <w:rPr>
          <w:rFonts w:asciiTheme="minorHAnsi" w:eastAsia="Calibri" w:hAnsiTheme="minorHAnsi"/>
          <w:sz w:val="22"/>
          <w:szCs w:val="22"/>
          <w:lang w:eastAsia="en-US"/>
        </w:rPr>
        <w:t>andydatów została wyłoniona w oparciu o rozmowy kwalifikacyjne</w:t>
      </w:r>
      <w:r w:rsidR="00162F57">
        <w:rPr>
          <w:rFonts w:asciiTheme="minorHAnsi" w:eastAsia="Calibri" w:hAnsiTheme="minorHAnsi"/>
          <w:sz w:val="22"/>
          <w:szCs w:val="22"/>
          <w:lang w:eastAsia="en-US"/>
        </w:rPr>
        <w:t>,</w:t>
      </w:r>
      <w:r w:rsidRPr="00F41AEF">
        <w:rPr>
          <w:rFonts w:asciiTheme="minorHAnsi" w:eastAsia="Calibri" w:hAnsiTheme="minorHAnsi"/>
          <w:sz w:val="22"/>
          <w:szCs w:val="22"/>
          <w:lang w:eastAsia="en-US"/>
        </w:rPr>
        <w:t xml:space="preserve"> przeprowadzone przez Zespół w dniach 20-21 października 2021 r. z 16 osobami, które pozostały w konkursie (trzy inne osoby wycofały swe kandydatury). Przy rozmowach kwalifikacyjnych z kandydatami obecni byli przedstawiciele organizacji pozarządowych, w tym zawodów prawniczych (sędziów, adwokatów i radców prawnych), które przesłały zgłoszenia </w:t>
      </w:r>
      <w:r w:rsidR="008D187E" w:rsidRPr="00F41AEF">
        <w:rPr>
          <w:rFonts w:asciiTheme="minorHAnsi" w:eastAsia="Calibri" w:hAnsiTheme="minorHAnsi"/>
          <w:sz w:val="22"/>
          <w:szCs w:val="22"/>
          <w:lang w:eastAsia="en-US"/>
        </w:rPr>
        <w:t>w wyznaczonym terminie</w:t>
      </w:r>
      <w:r w:rsidRPr="00F41AEF">
        <w:rPr>
          <w:rFonts w:asciiTheme="minorHAnsi" w:eastAsia="Calibri" w:hAnsiTheme="minorHAnsi"/>
          <w:sz w:val="22"/>
          <w:szCs w:val="22"/>
          <w:lang w:eastAsia="en-US"/>
        </w:rPr>
        <w:t xml:space="preserve">. W sumie 15 organizacji skorzystało z tej możliwości, choć ostatecznie nie wszyscy obserwatorzy pojawili się na przesłuchaniach, a w drugim dniu liczba obserwatorów była mniejsza niż w pierwszym dniu. </w:t>
      </w:r>
    </w:p>
    <w:p w:rsidR="00EA2D09" w:rsidRPr="00F41AEF"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Korzystając </w:t>
      </w:r>
      <w:r w:rsidR="00162F57">
        <w:rPr>
          <w:rFonts w:asciiTheme="minorHAnsi" w:eastAsia="Calibri" w:hAnsiTheme="minorHAnsi"/>
          <w:sz w:val="22"/>
          <w:szCs w:val="22"/>
          <w:lang w:eastAsia="en-US"/>
        </w:rPr>
        <w:t>z okazji</w:t>
      </w:r>
      <w:r w:rsidR="00695525">
        <w:rPr>
          <w:rFonts w:asciiTheme="minorHAnsi" w:eastAsia="Calibri" w:hAnsiTheme="minorHAnsi"/>
          <w:sz w:val="22"/>
          <w:szCs w:val="22"/>
          <w:lang w:eastAsia="en-US"/>
        </w:rPr>
        <w:t>,</w:t>
      </w:r>
      <w:r w:rsidR="00162F57">
        <w:rPr>
          <w:rFonts w:asciiTheme="minorHAnsi" w:eastAsia="Calibri" w:hAnsiTheme="minorHAnsi"/>
          <w:sz w:val="22"/>
          <w:szCs w:val="22"/>
          <w:lang w:eastAsia="en-US"/>
        </w:rPr>
        <w:t xml:space="preserve"> Przewodniczący wyraził podziękowania</w:t>
      </w:r>
      <w:r w:rsidRPr="00F41AEF">
        <w:rPr>
          <w:rFonts w:asciiTheme="minorHAnsi" w:eastAsia="Calibri" w:hAnsiTheme="minorHAnsi"/>
          <w:sz w:val="22"/>
          <w:szCs w:val="22"/>
          <w:lang w:eastAsia="en-US"/>
        </w:rPr>
        <w:t xml:space="preserve"> wszystkim obserwatorom za udział, a także za uwagi, jakie </w:t>
      </w:r>
      <w:r w:rsidR="00695525">
        <w:rPr>
          <w:rFonts w:asciiTheme="minorHAnsi" w:eastAsia="Calibri" w:hAnsiTheme="minorHAnsi"/>
          <w:sz w:val="22"/>
          <w:szCs w:val="22"/>
          <w:lang w:eastAsia="en-US"/>
        </w:rPr>
        <w:t>zostały przekazane</w:t>
      </w:r>
      <w:r w:rsidRPr="00F41AEF">
        <w:rPr>
          <w:rFonts w:asciiTheme="minorHAnsi" w:eastAsia="Calibri" w:hAnsiTheme="minorHAnsi"/>
          <w:sz w:val="22"/>
          <w:szCs w:val="22"/>
          <w:lang w:eastAsia="en-US"/>
        </w:rPr>
        <w:t xml:space="preserve"> od 11 osób w sprawie kwestii organizacyjnych związanych z przesłuchaniami i procedurą wyłaniania kandydatów. </w:t>
      </w:r>
    </w:p>
    <w:p w:rsidR="00EA2D09" w:rsidRPr="00F41AEF"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Zespół wyłonił następującą listę kandydatów na urząd sędziego Europejskiego Trybunału Praw Człowieka:</w:t>
      </w:r>
    </w:p>
    <w:p w:rsidR="00EA2D09" w:rsidRPr="00F41AEF"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w:t>
      </w:r>
      <w:r w:rsidRPr="00F41AEF">
        <w:rPr>
          <w:rFonts w:asciiTheme="minorHAnsi" w:eastAsia="Calibri" w:hAnsiTheme="minorHAnsi"/>
          <w:sz w:val="22"/>
          <w:szCs w:val="22"/>
          <w:lang w:eastAsia="en-US"/>
        </w:rPr>
        <w:tab/>
        <w:t>pani prof. dr hab. Elżbieta Karska;</w:t>
      </w:r>
    </w:p>
    <w:p w:rsidR="00EA2D09" w:rsidRPr="00F41AEF"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w:t>
      </w:r>
      <w:r w:rsidRPr="00F41AEF">
        <w:rPr>
          <w:rFonts w:asciiTheme="minorHAnsi" w:eastAsia="Calibri" w:hAnsiTheme="minorHAnsi"/>
          <w:sz w:val="22"/>
          <w:szCs w:val="22"/>
          <w:lang w:eastAsia="en-US"/>
        </w:rPr>
        <w:tab/>
        <w:t>pan prof. dr hab. Aleksander Stępkowski;</w:t>
      </w:r>
    </w:p>
    <w:p w:rsidR="00EA2D09" w:rsidRPr="00F41AEF"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w:t>
      </w:r>
      <w:r w:rsidRPr="00F41AEF">
        <w:rPr>
          <w:rFonts w:asciiTheme="minorHAnsi" w:eastAsia="Calibri" w:hAnsiTheme="minorHAnsi"/>
          <w:sz w:val="22"/>
          <w:szCs w:val="22"/>
          <w:lang w:eastAsia="en-US"/>
        </w:rPr>
        <w:tab/>
        <w:t>pani dr Agnieszka Szklanna.</w:t>
      </w:r>
    </w:p>
    <w:p w:rsidR="00EA2D09" w:rsidRPr="00F41AEF"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Zgodnie z § 7 ust. 1 zarządzenia nr 1 Ministra Spraw Zagranicznych, lista trzech kandydatów wyłonionych przez Zespół w dniu 29 października 2021 r. została przedstawiona do zaopiniowania Doradczemu Panelowi Ekspertów Rady Europy do spraw wyłonienia kandydatów na wybór na stanowisko sędziego E</w:t>
      </w:r>
      <w:r w:rsidR="008D187E" w:rsidRPr="00F41AEF">
        <w:rPr>
          <w:rFonts w:asciiTheme="minorHAnsi" w:eastAsia="Calibri" w:hAnsiTheme="minorHAnsi"/>
          <w:sz w:val="22"/>
          <w:szCs w:val="22"/>
          <w:lang w:eastAsia="en-US"/>
        </w:rPr>
        <w:t>TPC</w:t>
      </w:r>
      <w:r w:rsidRPr="00F41AEF">
        <w:rPr>
          <w:rFonts w:asciiTheme="minorHAnsi" w:eastAsia="Calibri" w:hAnsiTheme="minorHAnsi"/>
          <w:sz w:val="22"/>
          <w:szCs w:val="22"/>
          <w:lang w:eastAsia="en-US"/>
        </w:rPr>
        <w:t>. Stanowisko Panelu Doradczego w sprawie listy zostało przekazane w dniu 3 grudnia 2021 r.</w:t>
      </w:r>
    </w:p>
    <w:p w:rsidR="00EA2D09" w:rsidRPr="00F41AEF" w:rsidRDefault="00EA2D09"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W dniu 6 grudnia 2021 r. powyższa lista kandydatów została przekazana Sekretarz Generalnej Z</w:t>
      </w:r>
      <w:r w:rsidR="008D187E" w:rsidRPr="00F41AEF">
        <w:rPr>
          <w:rFonts w:asciiTheme="minorHAnsi" w:eastAsia="Calibri" w:hAnsiTheme="minorHAnsi"/>
          <w:sz w:val="22"/>
          <w:szCs w:val="22"/>
          <w:lang w:eastAsia="en-US"/>
        </w:rPr>
        <w:t>PRE</w:t>
      </w:r>
      <w:r w:rsidRPr="00F41AEF">
        <w:rPr>
          <w:rFonts w:asciiTheme="minorHAnsi" w:eastAsia="Calibri" w:hAnsiTheme="minorHAnsi"/>
          <w:sz w:val="22"/>
          <w:szCs w:val="22"/>
          <w:lang w:eastAsia="en-US"/>
        </w:rPr>
        <w:t>, które jest właściwe do przeprowadzenia wyboru sędziego z ramienia Polski. Lista zostanie w pierwszej kolejności przeanalizowana przez Komisję ZPRE do spraw wyboru sędziów E</w:t>
      </w:r>
      <w:r w:rsidR="008D187E" w:rsidRPr="00F41AEF">
        <w:rPr>
          <w:rFonts w:asciiTheme="minorHAnsi" w:eastAsia="Calibri" w:hAnsiTheme="minorHAnsi"/>
          <w:sz w:val="22"/>
          <w:szCs w:val="22"/>
          <w:lang w:eastAsia="en-US"/>
        </w:rPr>
        <w:t xml:space="preserve">TPC </w:t>
      </w:r>
      <w:r w:rsidRPr="00F41AEF">
        <w:rPr>
          <w:rFonts w:asciiTheme="minorHAnsi" w:eastAsia="Calibri" w:hAnsiTheme="minorHAnsi"/>
          <w:sz w:val="22"/>
          <w:szCs w:val="22"/>
          <w:lang w:eastAsia="en-US"/>
        </w:rPr>
        <w:t>na posiedzeniu w dniu 14 stycznia 2022 r. Jeśli Komisja dojdzie do wniosku, że kwestie proceduralne zostały poprawione, dokona przesłuchania kandydatów. Jeśli uzna, że spełniają oni wymogi przewidziane w Konwencji, przedstawi swoje rekomendacje odnośnie do sposobu głosowania. W takiej sytuacji lista zostanie przedłożona Zgromadzeniu Parlamentarnemu Rady Europy, które dokona wyboru sędziego z ramienia Polski na sesji plenarnej w dniach 24-28 stycznia 2022 r.</w:t>
      </w:r>
    </w:p>
    <w:p w:rsidR="00EA2D09" w:rsidRPr="00F41AEF" w:rsidRDefault="008B700D"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Przewodniczący </w:t>
      </w:r>
      <w:r w:rsidR="00EA2D09" w:rsidRPr="00F41AEF">
        <w:rPr>
          <w:rFonts w:asciiTheme="minorHAnsi" w:eastAsia="Calibri" w:hAnsiTheme="minorHAnsi"/>
          <w:sz w:val="22"/>
          <w:szCs w:val="22"/>
          <w:lang w:eastAsia="en-US"/>
        </w:rPr>
        <w:t>zauważy</w:t>
      </w:r>
      <w:r w:rsidRPr="00F41AEF">
        <w:rPr>
          <w:rFonts w:asciiTheme="minorHAnsi" w:eastAsia="Calibri" w:hAnsiTheme="minorHAnsi"/>
          <w:sz w:val="22"/>
          <w:szCs w:val="22"/>
          <w:lang w:eastAsia="en-US"/>
        </w:rPr>
        <w:t>ł</w:t>
      </w:r>
      <w:r w:rsidR="00EA2D09" w:rsidRPr="00F41AEF">
        <w:rPr>
          <w:rFonts w:asciiTheme="minorHAnsi" w:eastAsia="Calibri" w:hAnsiTheme="minorHAnsi"/>
          <w:sz w:val="22"/>
          <w:szCs w:val="22"/>
          <w:lang w:eastAsia="en-US"/>
        </w:rPr>
        <w:t>, że kadencja obecnego sędziego z ramienia Polski, Pana Prof. Krzysztofa Wojtyczka, została przedłużona z mocy Konwencji od dnia 1 listopada 2021 r. do czasu objęcia funkcji przez nowego sędziego.</w:t>
      </w:r>
    </w:p>
    <w:p w:rsidR="008C7CA0" w:rsidRPr="00F41AEF" w:rsidRDefault="0049665B" w:rsidP="00F41AEF">
      <w:pPr>
        <w:spacing w:after="120"/>
        <w:jc w:val="both"/>
        <w:rPr>
          <w:rFonts w:asciiTheme="minorHAnsi" w:eastAsia="Calibri" w:hAnsiTheme="minorHAnsi"/>
          <w:sz w:val="22"/>
          <w:szCs w:val="22"/>
          <w:lang w:eastAsia="en-US"/>
        </w:rPr>
      </w:pPr>
      <w:r w:rsidRPr="00F41AEF">
        <w:rPr>
          <w:rFonts w:asciiTheme="minorHAnsi" w:eastAsia="Calibri" w:hAnsiTheme="minorHAnsi"/>
          <w:sz w:val="22"/>
          <w:szCs w:val="22"/>
          <w:lang w:eastAsia="en-US"/>
        </w:rPr>
        <w:t xml:space="preserve">Na koniec spotkania Pełnomocnik poinformował, że </w:t>
      </w:r>
      <w:r w:rsidR="00695525" w:rsidRPr="00F41AEF">
        <w:rPr>
          <w:rFonts w:asciiTheme="minorHAnsi" w:eastAsia="Calibri" w:hAnsiTheme="minorHAnsi"/>
          <w:sz w:val="22"/>
          <w:szCs w:val="22"/>
          <w:lang w:eastAsia="en-US"/>
        </w:rPr>
        <w:t xml:space="preserve">na czerwiec 2022 r. </w:t>
      </w:r>
      <w:r w:rsidRPr="00F41AEF">
        <w:rPr>
          <w:rFonts w:asciiTheme="minorHAnsi" w:eastAsia="Calibri" w:hAnsiTheme="minorHAnsi"/>
          <w:sz w:val="22"/>
          <w:szCs w:val="22"/>
          <w:lang w:eastAsia="en-US"/>
        </w:rPr>
        <w:t>planowane jest</w:t>
      </w:r>
      <w:r w:rsidR="00AA456C" w:rsidRPr="00F41AEF">
        <w:rPr>
          <w:rFonts w:asciiTheme="minorHAnsi" w:eastAsia="Calibri" w:hAnsiTheme="minorHAnsi"/>
          <w:sz w:val="22"/>
          <w:szCs w:val="22"/>
          <w:lang w:eastAsia="en-US"/>
        </w:rPr>
        <w:t xml:space="preserve"> wstępnie </w:t>
      </w:r>
      <w:r w:rsidRPr="00F41AEF">
        <w:rPr>
          <w:rFonts w:asciiTheme="minorHAnsi" w:eastAsia="Calibri" w:hAnsiTheme="minorHAnsi"/>
          <w:sz w:val="22"/>
          <w:szCs w:val="22"/>
          <w:lang w:eastAsia="en-US"/>
        </w:rPr>
        <w:t>ponowne</w:t>
      </w:r>
      <w:r w:rsidR="008C7CA0" w:rsidRPr="00F41AEF">
        <w:rPr>
          <w:rFonts w:asciiTheme="minorHAnsi" w:eastAsia="Calibri" w:hAnsiTheme="minorHAnsi"/>
          <w:sz w:val="22"/>
          <w:szCs w:val="22"/>
          <w:lang w:eastAsia="en-US"/>
        </w:rPr>
        <w:t xml:space="preserve"> zorganizowa</w:t>
      </w:r>
      <w:r w:rsidRPr="00F41AEF">
        <w:rPr>
          <w:rFonts w:asciiTheme="minorHAnsi" w:eastAsia="Calibri" w:hAnsiTheme="minorHAnsi"/>
          <w:sz w:val="22"/>
          <w:szCs w:val="22"/>
          <w:lang w:eastAsia="en-US"/>
        </w:rPr>
        <w:t>nie</w:t>
      </w:r>
      <w:r w:rsidR="008C7CA0" w:rsidRPr="00F41AEF">
        <w:rPr>
          <w:rFonts w:asciiTheme="minorHAnsi" w:eastAsia="Calibri" w:hAnsiTheme="minorHAnsi"/>
          <w:sz w:val="22"/>
          <w:szCs w:val="22"/>
          <w:lang w:eastAsia="en-US"/>
        </w:rPr>
        <w:t xml:space="preserve"> seminarium </w:t>
      </w:r>
      <w:r w:rsidRPr="00F41AEF">
        <w:rPr>
          <w:rFonts w:asciiTheme="minorHAnsi" w:eastAsia="Calibri" w:hAnsiTheme="minorHAnsi"/>
          <w:sz w:val="22"/>
          <w:szCs w:val="22"/>
          <w:lang w:eastAsia="en-US"/>
        </w:rPr>
        <w:t>w</w:t>
      </w:r>
      <w:r w:rsidR="008C7CA0" w:rsidRPr="00F41AEF">
        <w:rPr>
          <w:rFonts w:asciiTheme="minorHAnsi" w:eastAsia="Calibri" w:hAnsiTheme="minorHAnsi"/>
          <w:sz w:val="22"/>
          <w:szCs w:val="22"/>
          <w:lang w:eastAsia="en-US"/>
        </w:rPr>
        <w:t>arszawskie</w:t>
      </w:r>
      <w:r w:rsidRPr="00F41AEF">
        <w:rPr>
          <w:rFonts w:asciiTheme="minorHAnsi" w:eastAsia="Calibri" w:hAnsiTheme="minorHAnsi"/>
          <w:sz w:val="22"/>
          <w:szCs w:val="22"/>
          <w:lang w:eastAsia="en-US"/>
        </w:rPr>
        <w:t>go</w:t>
      </w:r>
      <w:r w:rsidR="008C7CA0" w:rsidRPr="00F41AEF">
        <w:rPr>
          <w:rFonts w:asciiTheme="minorHAnsi" w:eastAsia="Calibri" w:hAnsiTheme="minorHAnsi"/>
          <w:sz w:val="22"/>
          <w:szCs w:val="22"/>
          <w:lang w:eastAsia="en-US"/>
        </w:rPr>
        <w:t>, jeśli sytuacja epidemiologiczna na to pozwoli. Wydaje się</w:t>
      </w:r>
      <w:r w:rsidRPr="00F41AEF">
        <w:rPr>
          <w:rFonts w:asciiTheme="minorHAnsi" w:eastAsia="Calibri" w:hAnsiTheme="minorHAnsi"/>
          <w:sz w:val="22"/>
          <w:szCs w:val="22"/>
          <w:lang w:eastAsia="en-US"/>
        </w:rPr>
        <w:t xml:space="preserve">, że </w:t>
      </w:r>
      <w:r w:rsidR="008C7CA0" w:rsidRPr="00F41AEF">
        <w:rPr>
          <w:rFonts w:asciiTheme="minorHAnsi" w:eastAsia="Calibri" w:hAnsiTheme="minorHAnsi"/>
          <w:sz w:val="22"/>
          <w:szCs w:val="22"/>
          <w:lang w:eastAsia="en-US"/>
        </w:rPr>
        <w:t xml:space="preserve">jednym z </w:t>
      </w:r>
      <w:r w:rsidRPr="00F41AEF">
        <w:rPr>
          <w:rFonts w:asciiTheme="minorHAnsi" w:eastAsia="Calibri" w:hAnsiTheme="minorHAnsi"/>
          <w:sz w:val="22"/>
          <w:szCs w:val="22"/>
          <w:lang w:eastAsia="en-US"/>
        </w:rPr>
        <w:t xml:space="preserve">ciekawych </w:t>
      </w:r>
      <w:r w:rsidR="008C7CA0" w:rsidRPr="00F41AEF">
        <w:rPr>
          <w:rFonts w:asciiTheme="minorHAnsi" w:eastAsia="Calibri" w:hAnsiTheme="minorHAnsi"/>
          <w:sz w:val="22"/>
          <w:szCs w:val="22"/>
          <w:lang w:eastAsia="en-US"/>
        </w:rPr>
        <w:t>tematów</w:t>
      </w:r>
      <w:r w:rsidRPr="00F41AEF">
        <w:rPr>
          <w:rFonts w:asciiTheme="minorHAnsi" w:eastAsia="Calibri" w:hAnsiTheme="minorHAnsi"/>
          <w:sz w:val="22"/>
          <w:szCs w:val="22"/>
          <w:lang w:eastAsia="en-US"/>
        </w:rPr>
        <w:t>, które mogą być przedmiotem seminarium</w:t>
      </w:r>
      <w:r w:rsidR="00695525">
        <w:rPr>
          <w:rFonts w:asciiTheme="minorHAnsi" w:eastAsia="Calibri" w:hAnsiTheme="minorHAnsi"/>
          <w:sz w:val="22"/>
          <w:szCs w:val="22"/>
          <w:lang w:eastAsia="en-US"/>
        </w:rPr>
        <w:t>,</w:t>
      </w:r>
      <w:r w:rsidRPr="00F41AEF">
        <w:rPr>
          <w:rFonts w:asciiTheme="minorHAnsi" w:eastAsia="Calibri" w:hAnsiTheme="minorHAnsi"/>
          <w:sz w:val="22"/>
          <w:szCs w:val="22"/>
          <w:lang w:eastAsia="en-US"/>
        </w:rPr>
        <w:t xml:space="preserve"> są</w:t>
      </w:r>
      <w:r w:rsidR="008C7CA0" w:rsidRPr="00F41AEF">
        <w:rPr>
          <w:rFonts w:asciiTheme="minorHAnsi" w:eastAsia="Calibri" w:hAnsiTheme="minorHAnsi"/>
          <w:sz w:val="22"/>
          <w:szCs w:val="22"/>
          <w:lang w:eastAsia="en-US"/>
        </w:rPr>
        <w:t xml:space="preserve"> prawa człowieka w sytuacjach kryzysowych, szczególnie związanych z pan</w:t>
      </w:r>
      <w:r w:rsidRPr="00F41AEF">
        <w:rPr>
          <w:rFonts w:asciiTheme="minorHAnsi" w:eastAsia="Calibri" w:hAnsiTheme="minorHAnsi"/>
          <w:sz w:val="22"/>
          <w:szCs w:val="22"/>
          <w:lang w:eastAsia="en-US"/>
        </w:rPr>
        <w:t>demią</w:t>
      </w:r>
      <w:r w:rsidR="008C7CA0" w:rsidRPr="00F41AEF">
        <w:rPr>
          <w:rFonts w:asciiTheme="minorHAnsi" w:eastAsia="Calibri" w:hAnsiTheme="minorHAnsi"/>
          <w:sz w:val="22"/>
          <w:szCs w:val="22"/>
          <w:lang w:eastAsia="en-US"/>
        </w:rPr>
        <w:t xml:space="preserve"> COVID-19. </w:t>
      </w:r>
      <w:r w:rsidRPr="00F41AEF">
        <w:rPr>
          <w:rFonts w:asciiTheme="minorHAnsi" w:eastAsia="Calibri" w:hAnsiTheme="minorHAnsi"/>
          <w:sz w:val="22"/>
          <w:szCs w:val="22"/>
          <w:lang w:eastAsia="en-US"/>
        </w:rPr>
        <w:t>Pełnomocnik zauważył, że w</w:t>
      </w:r>
      <w:r w:rsidR="008C7CA0" w:rsidRPr="00F41AEF">
        <w:rPr>
          <w:rFonts w:asciiTheme="minorHAnsi" w:eastAsia="Calibri" w:hAnsiTheme="minorHAnsi"/>
          <w:sz w:val="22"/>
          <w:szCs w:val="22"/>
          <w:lang w:eastAsia="en-US"/>
        </w:rPr>
        <w:t xml:space="preserve"> tym zakresie już na samym początku pandemii </w:t>
      </w:r>
      <w:r w:rsidRPr="00F41AEF">
        <w:rPr>
          <w:rFonts w:asciiTheme="minorHAnsi" w:eastAsia="Calibri" w:hAnsiTheme="minorHAnsi"/>
          <w:sz w:val="22"/>
          <w:szCs w:val="22"/>
          <w:lang w:eastAsia="en-US"/>
        </w:rPr>
        <w:t>w marcu 2020 r. okazało się, że w całej Europ</w:t>
      </w:r>
      <w:r w:rsidR="008C7CA0" w:rsidRPr="00F41AEF">
        <w:rPr>
          <w:rFonts w:asciiTheme="minorHAnsi" w:eastAsia="Calibri" w:hAnsiTheme="minorHAnsi"/>
          <w:sz w:val="22"/>
          <w:szCs w:val="22"/>
          <w:lang w:eastAsia="en-US"/>
        </w:rPr>
        <w:t xml:space="preserve">ie brak jest jednolitej </w:t>
      </w:r>
      <w:r w:rsidRPr="00F41AEF">
        <w:rPr>
          <w:rFonts w:asciiTheme="minorHAnsi" w:eastAsia="Calibri" w:hAnsiTheme="minorHAnsi"/>
          <w:sz w:val="22"/>
          <w:szCs w:val="22"/>
          <w:lang w:eastAsia="en-US"/>
        </w:rPr>
        <w:t>p</w:t>
      </w:r>
      <w:r w:rsidR="008C7CA0" w:rsidRPr="00F41AEF">
        <w:rPr>
          <w:rFonts w:asciiTheme="minorHAnsi" w:eastAsia="Calibri" w:hAnsiTheme="minorHAnsi"/>
          <w:sz w:val="22"/>
          <w:szCs w:val="22"/>
          <w:lang w:eastAsia="en-US"/>
        </w:rPr>
        <w:t>raktyki p</w:t>
      </w:r>
      <w:r w:rsidRPr="00F41AEF">
        <w:rPr>
          <w:rFonts w:asciiTheme="minorHAnsi" w:eastAsia="Calibri" w:hAnsiTheme="minorHAnsi"/>
          <w:sz w:val="22"/>
          <w:szCs w:val="22"/>
          <w:lang w:eastAsia="en-US"/>
        </w:rPr>
        <w:t xml:space="preserve">aństw </w:t>
      </w:r>
      <w:r w:rsidR="008C7CA0" w:rsidRPr="00F41AEF">
        <w:rPr>
          <w:rFonts w:asciiTheme="minorHAnsi" w:eastAsia="Calibri" w:hAnsiTheme="minorHAnsi"/>
          <w:sz w:val="22"/>
          <w:szCs w:val="22"/>
          <w:lang w:eastAsia="en-US"/>
        </w:rPr>
        <w:t>cz</w:t>
      </w:r>
      <w:r w:rsidRPr="00F41AEF">
        <w:rPr>
          <w:rFonts w:asciiTheme="minorHAnsi" w:eastAsia="Calibri" w:hAnsiTheme="minorHAnsi"/>
          <w:sz w:val="22"/>
          <w:szCs w:val="22"/>
          <w:lang w:eastAsia="en-US"/>
        </w:rPr>
        <w:t xml:space="preserve">łonkowskich. </w:t>
      </w:r>
      <w:r w:rsidR="008C7CA0" w:rsidRPr="00F41AEF">
        <w:rPr>
          <w:rFonts w:asciiTheme="minorHAnsi" w:eastAsia="Calibri" w:hAnsiTheme="minorHAnsi"/>
          <w:sz w:val="22"/>
          <w:szCs w:val="22"/>
          <w:lang w:eastAsia="en-US"/>
        </w:rPr>
        <w:t xml:space="preserve">Część </w:t>
      </w:r>
      <w:r w:rsidRPr="00F41AEF">
        <w:rPr>
          <w:rFonts w:asciiTheme="minorHAnsi" w:eastAsia="Calibri" w:hAnsiTheme="minorHAnsi"/>
          <w:sz w:val="22"/>
          <w:szCs w:val="22"/>
          <w:lang w:eastAsia="en-US"/>
        </w:rPr>
        <w:t xml:space="preserve">pełnomocników rządów </w:t>
      </w:r>
      <w:r w:rsidR="008C7CA0" w:rsidRPr="00F41AEF">
        <w:rPr>
          <w:rFonts w:asciiTheme="minorHAnsi" w:eastAsia="Calibri" w:hAnsiTheme="minorHAnsi"/>
          <w:sz w:val="22"/>
          <w:szCs w:val="22"/>
          <w:lang w:eastAsia="en-US"/>
        </w:rPr>
        <w:t>zgłaszała</w:t>
      </w:r>
      <w:r w:rsidRPr="00F41AEF">
        <w:rPr>
          <w:rFonts w:asciiTheme="minorHAnsi" w:eastAsia="Calibri" w:hAnsiTheme="minorHAnsi"/>
          <w:sz w:val="22"/>
          <w:szCs w:val="22"/>
          <w:lang w:eastAsia="en-US"/>
        </w:rPr>
        <w:t xml:space="preserve"> bowiem</w:t>
      </w:r>
      <w:r w:rsidR="008C7CA0" w:rsidRPr="00F41AEF">
        <w:rPr>
          <w:rFonts w:asciiTheme="minorHAnsi" w:eastAsia="Calibri" w:hAnsiTheme="minorHAnsi"/>
          <w:sz w:val="22"/>
          <w:szCs w:val="22"/>
          <w:lang w:eastAsia="en-US"/>
        </w:rPr>
        <w:t xml:space="preserve"> </w:t>
      </w:r>
      <w:r w:rsidRPr="00F41AEF">
        <w:rPr>
          <w:rFonts w:asciiTheme="minorHAnsi" w:eastAsia="Calibri" w:hAnsiTheme="minorHAnsi"/>
          <w:sz w:val="22"/>
          <w:szCs w:val="22"/>
          <w:lang w:eastAsia="en-US"/>
        </w:rPr>
        <w:t>derogacje</w:t>
      </w:r>
      <w:r w:rsidR="008C7CA0" w:rsidRPr="00F41AEF">
        <w:rPr>
          <w:rFonts w:asciiTheme="minorHAnsi" w:eastAsia="Calibri" w:hAnsiTheme="minorHAnsi"/>
          <w:sz w:val="22"/>
          <w:szCs w:val="22"/>
          <w:lang w:eastAsia="en-US"/>
        </w:rPr>
        <w:t xml:space="preserve"> </w:t>
      </w:r>
      <w:r w:rsidRPr="00F41AEF">
        <w:rPr>
          <w:rFonts w:asciiTheme="minorHAnsi" w:eastAsia="Calibri" w:hAnsiTheme="minorHAnsi"/>
          <w:sz w:val="22"/>
          <w:szCs w:val="22"/>
          <w:lang w:eastAsia="en-US"/>
        </w:rPr>
        <w:t>poszczególnych p</w:t>
      </w:r>
      <w:r w:rsidR="008C7CA0" w:rsidRPr="00F41AEF">
        <w:rPr>
          <w:rFonts w:asciiTheme="minorHAnsi" w:eastAsia="Calibri" w:hAnsiTheme="minorHAnsi"/>
          <w:sz w:val="22"/>
          <w:szCs w:val="22"/>
          <w:lang w:eastAsia="en-US"/>
        </w:rPr>
        <w:t xml:space="preserve">raw człowieka chronionych </w:t>
      </w:r>
      <w:r w:rsidRPr="00F41AEF">
        <w:rPr>
          <w:rFonts w:asciiTheme="minorHAnsi" w:eastAsia="Calibri" w:hAnsiTheme="minorHAnsi"/>
          <w:sz w:val="22"/>
          <w:szCs w:val="22"/>
          <w:lang w:eastAsia="en-US"/>
        </w:rPr>
        <w:t>K</w:t>
      </w:r>
      <w:r w:rsidR="008C7CA0" w:rsidRPr="00F41AEF">
        <w:rPr>
          <w:rFonts w:asciiTheme="minorHAnsi" w:eastAsia="Calibri" w:hAnsiTheme="minorHAnsi"/>
          <w:sz w:val="22"/>
          <w:szCs w:val="22"/>
          <w:lang w:eastAsia="en-US"/>
        </w:rPr>
        <w:t xml:space="preserve">onwencją, a część nie. </w:t>
      </w:r>
      <w:r w:rsidRPr="00F41AEF">
        <w:rPr>
          <w:rFonts w:asciiTheme="minorHAnsi" w:eastAsia="Calibri" w:hAnsiTheme="minorHAnsi"/>
          <w:sz w:val="22"/>
          <w:szCs w:val="22"/>
          <w:lang w:eastAsia="en-US"/>
        </w:rPr>
        <w:t xml:space="preserve">Utworzono też </w:t>
      </w:r>
      <w:r w:rsidRPr="00F41AEF">
        <w:rPr>
          <w:rFonts w:asciiTheme="minorHAnsi" w:eastAsia="Calibri" w:hAnsiTheme="minorHAnsi"/>
          <w:sz w:val="22"/>
          <w:szCs w:val="22"/>
          <w:lang w:eastAsia="en-US"/>
        </w:rPr>
        <w:lastRenderedPageBreak/>
        <w:t>w RE specjalną grupę roboczą do spraw tej kwestii i wydaje się, ze wyniki jej prac i doświadczeń mogłyby zostać wykorzystane pod</w:t>
      </w:r>
      <w:r w:rsidR="00695525">
        <w:rPr>
          <w:rFonts w:asciiTheme="minorHAnsi" w:eastAsia="Calibri" w:hAnsiTheme="minorHAnsi"/>
          <w:sz w:val="22"/>
          <w:szCs w:val="22"/>
          <w:lang w:eastAsia="en-US"/>
        </w:rPr>
        <w:t>czas seminarium warszawskiego.</w:t>
      </w:r>
    </w:p>
    <w:p w:rsidR="00D97722" w:rsidRPr="00F41AEF" w:rsidRDefault="00D97722" w:rsidP="00F41AEF">
      <w:pPr>
        <w:spacing w:after="120"/>
        <w:jc w:val="both"/>
        <w:rPr>
          <w:rFonts w:asciiTheme="minorHAnsi" w:hAnsiTheme="minorHAnsi"/>
          <w:sz w:val="22"/>
          <w:szCs w:val="22"/>
        </w:rPr>
      </w:pPr>
    </w:p>
    <w:p w:rsidR="00AC0C27" w:rsidRPr="00F41AEF" w:rsidRDefault="00AC0C27" w:rsidP="00E346FA">
      <w:pPr>
        <w:jc w:val="center"/>
        <w:rPr>
          <w:rFonts w:asciiTheme="minorHAnsi" w:hAnsiTheme="minorHAnsi"/>
          <w:sz w:val="22"/>
          <w:szCs w:val="22"/>
        </w:rPr>
      </w:pPr>
      <w:r w:rsidRPr="00F41AEF">
        <w:rPr>
          <w:rFonts w:asciiTheme="minorHAnsi" w:hAnsiTheme="minorHAnsi"/>
          <w:sz w:val="22"/>
          <w:szCs w:val="22"/>
        </w:rPr>
        <w:t>Jan Sobczak</w:t>
      </w:r>
    </w:p>
    <w:p w:rsidR="00911745" w:rsidRPr="00F41AEF" w:rsidRDefault="00AC0C27" w:rsidP="00E346FA">
      <w:pPr>
        <w:jc w:val="center"/>
        <w:rPr>
          <w:rFonts w:asciiTheme="minorHAnsi" w:hAnsiTheme="minorHAnsi"/>
          <w:sz w:val="22"/>
          <w:szCs w:val="22"/>
        </w:rPr>
      </w:pPr>
      <w:r w:rsidRPr="00F41AEF">
        <w:rPr>
          <w:rFonts w:asciiTheme="minorHAnsi" w:hAnsiTheme="minorHAnsi"/>
          <w:sz w:val="22"/>
          <w:szCs w:val="22"/>
        </w:rPr>
        <w:t xml:space="preserve">Pełnomocnik </w:t>
      </w:r>
      <w:r w:rsidR="001366FE" w:rsidRPr="00F41AEF">
        <w:rPr>
          <w:rFonts w:asciiTheme="minorHAnsi" w:hAnsiTheme="minorHAnsi"/>
          <w:sz w:val="22"/>
          <w:szCs w:val="22"/>
        </w:rPr>
        <w:t>Ministra</w:t>
      </w:r>
    </w:p>
    <w:p w:rsidR="00A81987" w:rsidRPr="00F41AEF" w:rsidRDefault="00A81987" w:rsidP="00F41AEF">
      <w:pPr>
        <w:spacing w:after="120"/>
        <w:jc w:val="center"/>
        <w:rPr>
          <w:rFonts w:asciiTheme="minorHAnsi" w:hAnsiTheme="minorHAnsi"/>
          <w:i/>
          <w:sz w:val="22"/>
          <w:szCs w:val="22"/>
        </w:rPr>
      </w:pPr>
      <w:r w:rsidRPr="00F41AEF">
        <w:rPr>
          <w:rFonts w:asciiTheme="minorHAnsi" w:hAnsiTheme="minorHAnsi"/>
          <w:i/>
          <w:sz w:val="22"/>
          <w:szCs w:val="22"/>
        </w:rPr>
        <w:t>/podpisano elektronicznie/</w:t>
      </w:r>
      <w:bookmarkEnd w:id="0"/>
    </w:p>
    <w:sectPr w:rsidR="00A81987" w:rsidRPr="00F41AEF" w:rsidSect="009269A9">
      <w:footerReference w:type="default" r:id="rId8"/>
      <w:headerReference w:type="first" r:id="rId9"/>
      <w:pgSz w:w="11907" w:h="16839" w:code="9"/>
      <w:pgMar w:top="1418" w:right="1134" w:bottom="1418" w:left="1701" w:header="284"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2AE" w:rsidRDefault="001802AE">
      <w:r>
        <w:separator/>
      </w:r>
    </w:p>
  </w:endnote>
  <w:endnote w:type="continuationSeparator" w:id="0">
    <w:p w:rsidR="001802AE" w:rsidRDefault="001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E9" w:rsidRPr="00D52A5E" w:rsidRDefault="000E309D" w:rsidP="00D52A5E">
    <w:pPr>
      <w:pStyle w:val="Stopka"/>
      <w:jc w:val="center"/>
      <w:rPr>
        <w:rFonts w:asciiTheme="minorHAnsi" w:hAnsiTheme="minorHAnsi"/>
      </w:rPr>
    </w:pPr>
    <w:r w:rsidRPr="00A712A2">
      <w:rPr>
        <w:rFonts w:asciiTheme="minorHAnsi" w:hAnsiTheme="minorHAnsi"/>
      </w:rPr>
      <w:fldChar w:fldCharType="begin"/>
    </w:r>
    <w:r w:rsidRPr="00A712A2">
      <w:rPr>
        <w:rFonts w:asciiTheme="minorHAnsi" w:hAnsiTheme="minorHAnsi"/>
      </w:rPr>
      <w:instrText xml:space="preserve"> PAGE   \* MERGEFORMAT </w:instrText>
    </w:r>
    <w:r w:rsidRPr="00A712A2">
      <w:rPr>
        <w:rFonts w:asciiTheme="minorHAnsi" w:hAnsiTheme="minorHAnsi"/>
      </w:rPr>
      <w:fldChar w:fldCharType="separate"/>
    </w:r>
    <w:r w:rsidR="00695525">
      <w:rPr>
        <w:rFonts w:asciiTheme="minorHAnsi" w:hAnsiTheme="minorHAnsi"/>
        <w:noProof/>
      </w:rPr>
      <w:t>10</w:t>
    </w:r>
    <w:r w:rsidRPr="00A712A2">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2AE" w:rsidRDefault="001802AE">
      <w:r>
        <w:separator/>
      </w:r>
    </w:p>
  </w:footnote>
  <w:footnote w:type="continuationSeparator" w:id="0">
    <w:p w:rsidR="001802AE" w:rsidRDefault="0018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E9" w:rsidRDefault="000E309D">
    <w:pPr>
      <w:pStyle w:val="Nagwek"/>
    </w:pPr>
    <w:r>
      <w:rPr>
        <w:noProof/>
      </w:rPr>
      <w:drawing>
        <wp:anchor distT="0" distB="0" distL="114300" distR="114300" simplePos="0" relativeHeight="251659264" behindDoc="1" locked="0" layoutInCell="1" allowOverlap="1" wp14:anchorId="595B4FFF" wp14:editId="1F18BEE8">
          <wp:simplePos x="0" y="0"/>
          <wp:positionH relativeFrom="page">
            <wp:posOffset>15240</wp:posOffset>
          </wp:positionH>
          <wp:positionV relativeFrom="page">
            <wp:align>top</wp:align>
          </wp:positionV>
          <wp:extent cx="2527935" cy="2608580"/>
          <wp:effectExtent l="0" t="0" r="5715" b="1270"/>
          <wp:wrapNone/>
          <wp:docPr id="4" name="Obraz 4" descr="pelnom-EuTrybPrCz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nom-EuTrybPrCz 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2608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A23"/>
    <w:multiLevelType w:val="hybridMultilevel"/>
    <w:tmpl w:val="17DCCC3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EB2171"/>
    <w:multiLevelType w:val="hybridMultilevel"/>
    <w:tmpl w:val="582883FA"/>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3A7258"/>
    <w:multiLevelType w:val="hybridMultilevel"/>
    <w:tmpl w:val="E7C63E4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C4659"/>
    <w:multiLevelType w:val="hybridMultilevel"/>
    <w:tmpl w:val="6B620DA2"/>
    <w:lvl w:ilvl="0" w:tplc="04150001">
      <w:start w:val="1"/>
      <w:numFmt w:val="bullet"/>
      <w:lvlText w:val=""/>
      <w:lvlJc w:val="left"/>
      <w:pPr>
        <w:ind w:left="720" w:hanging="360"/>
      </w:pPr>
      <w:rPr>
        <w:rFonts w:ascii="Symbol" w:hAnsi="Symbol" w:hint="default"/>
        <w:b/>
        <w:i w:val="0"/>
      </w:rPr>
    </w:lvl>
    <w:lvl w:ilvl="1" w:tplc="2C2A8DB4">
      <w:start w:val="1"/>
      <w:numFmt w:val="bullet"/>
      <w:lvlText w:val="−"/>
      <w:lvlJc w:val="left"/>
      <w:pPr>
        <w:ind w:left="1440" w:hanging="360"/>
      </w:pPr>
      <w:rPr>
        <w:rFonts w:ascii="Calibri" w:eastAsiaTheme="minorHAnsi" w:hAnsi="Calibri" w:cstheme="minorBid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F644D"/>
    <w:multiLevelType w:val="hybridMultilevel"/>
    <w:tmpl w:val="B4269F5E"/>
    <w:lvl w:ilvl="0" w:tplc="CED09968">
      <w:start w:val="1"/>
      <w:numFmt w:val="bullet"/>
      <w:lvlText w:val=""/>
      <w:lvlJc w:val="center"/>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725B5F"/>
    <w:multiLevelType w:val="hybridMultilevel"/>
    <w:tmpl w:val="1390D036"/>
    <w:lvl w:ilvl="0" w:tplc="CED0996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9E7E94"/>
    <w:multiLevelType w:val="hybridMultilevel"/>
    <w:tmpl w:val="2B2C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14677A5"/>
    <w:multiLevelType w:val="hybridMultilevel"/>
    <w:tmpl w:val="9CF4A666"/>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3675A6"/>
    <w:multiLevelType w:val="hybridMultilevel"/>
    <w:tmpl w:val="429E3A58"/>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19535D"/>
    <w:multiLevelType w:val="hybridMultilevel"/>
    <w:tmpl w:val="BC465D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4D2544"/>
    <w:multiLevelType w:val="hybridMultilevel"/>
    <w:tmpl w:val="DBEC8234"/>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7A7C11"/>
    <w:multiLevelType w:val="hybridMultilevel"/>
    <w:tmpl w:val="BD285F0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A3258B"/>
    <w:multiLevelType w:val="hybridMultilevel"/>
    <w:tmpl w:val="25048A8C"/>
    <w:lvl w:ilvl="0" w:tplc="80E65810">
      <w:start w:val="1"/>
      <w:numFmt w:val="upperRoman"/>
      <w:lvlText w:val="%1."/>
      <w:lvlJc w:val="righ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4B4F40"/>
    <w:multiLevelType w:val="hybridMultilevel"/>
    <w:tmpl w:val="FBE888E8"/>
    <w:lvl w:ilvl="0" w:tplc="35AECC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15:restartNumberingAfterBreak="0">
    <w:nsid w:val="5D8B5D03"/>
    <w:multiLevelType w:val="hybridMultilevel"/>
    <w:tmpl w:val="7DF0C3E2"/>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EF664C"/>
    <w:multiLevelType w:val="hybridMultilevel"/>
    <w:tmpl w:val="9EA6C682"/>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F30626"/>
    <w:multiLevelType w:val="hybridMultilevel"/>
    <w:tmpl w:val="06F65A8C"/>
    <w:lvl w:ilvl="0" w:tplc="35AECC2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1673A4"/>
    <w:multiLevelType w:val="hybridMultilevel"/>
    <w:tmpl w:val="1850328E"/>
    <w:lvl w:ilvl="0" w:tplc="ACBA02B4">
      <w:start w:val="1"/>
      <w:numFmt w:val="upperRoman"/>
      <w:lvlText w:val="%1."/>
      <w:lvlJc w:val="left"/>
      <w:pPr>
        <w:ind w:left="1080" w:hanging="7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6A7288B"/>
    <w:multiLevelType w:val="hybridMultilevel"/>
    <w:tmpl w:val="37681BFC"/>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1861C6"/>
    <w:multiLevelType w:val="hybridMultilevel"/>
    <w:tmpl w:val="7D2C5EE8"/>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B50F79"/>
    <w:multiLevelType w:val="hybridMultilevel"/>
    <w:tmpl w:val="1850328E"/>
    <w:lvl w:ilvl="0" w:tplc="ACBA02B4">
      <w:start w:val="1"/>
      <w:numFmt w:val="upperRoman"/>
      <w:lvlText w:val="%1."/>
      <w:lvlJc w:val="left"/>
      <w:pPr>
        <w:ind w:left="1080" w:hanging="7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3"/>
  </w:num>
  <w:num w:numId="3">
    <w:abstractNumId w:val="4"/>
  </w:num>
  <w:num w:numId="4">
    <w:abstractNumId w:val="9"/>
  </w:num>
  <w:num w:numId="5">
    <w:abstractNumId w:val="16"/>
  </w:num>
  <w:num w:numId="6">
    <w:abstractNumId w:val="11"/>
  </w:num>
  <w:num w:numId="7">
    <w:abstractNumId w:val="5"/>
  </w:num>
  <w:num w:numId="8">
    <w:abstractNumId w:val="7"/>
  </w:num>
  <w:num w:numId="9">
    <w:abstractNumId w:val="8"/>
  </w:num>
  <w:num w:numId="10">
    <w:abstractNumId w:val="1"/>
  </w:num>
  <w:num w:numId="11">
    <w:abstractNumId w:val="2"/>
  </w:num>
  <w:num w:numId="12">
    <w:abstractNumId w:val="18"/>
  </w:num>
  <w:num w:numId="13">
    <w:abstractNumId w:val="19"/>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14"/>
  </w:num>
  <w:num w:numId="19">
    <w:abstractNumId w:val="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57"/>
    <w:rsid w:val="000067BA"/>
    <w:rsid w:val="00010DA1"/>
    <w:rsid w:val="00013C8F"/>
    <w:rsid w:val="00023902"/>
    <w:rsid w:val="00034692"/>
    <w:rsid w:val="00034D1C"/>
    <w:rsid w:val="00041EFF"/>
    <w:rsid w:val="00051384"/>
    <w:rsid w:val="00052B0D"/>
    <w:rsid w:val="00060DB7"/>
    <w:rsid w:val="00060F89"/>
    <w:rsid w:val="00065867"/>
    <w:rsid w:val="000810ED"/>
    <w:rsid w:val="00091EA2"/>
    <w:rsid w:val="00094531"/>
    <w:rsid w:val="000A0F6D"/>
    <w:rsid w:val="000A475B"/>
    <w:rsid w:val="000A5801"/>
    <w:rsid w:val="000C5E21"/>
    <w:rsid w:val="000D00FD"/>
    <w:rsid w:val="000D0726"/>
    <w:rsid w:val="000E309D"/>
    <w:rsid w:val="000E623A"/>
    <w:rsid w:val="000F0237"/>
    <w:rsid w:val="0010149B"/>
    <w:rsid w:val="00103033"/>
    <w:rsid w:val="00104F5A"/>
    <w:rsid w:val="0011520C"/>
    <w:rsid w:val="00117FE6"/>
    <w:rsid w:val="00121264"/>
    <w:rsid w:val="001245F5"/>
    <w:rsid w:val="001273DE"/>
    <w:rsid w:val="00127775"/>
    <w:rsid w:val="001308B3"/>
    <w:rsid w:val="00131E05"/>
    <w:rsid w:val="001366FE"/>
    <w:rsid w:val="00140065"/>
    <w:rsid w:val="00141B67"/>
    <w:rsid w:val="0014242E"/>
    <w:rsid w:val="00147D4E"/>
    <w:rsid w:val="00151009"/>
    <w:rsid w:val="0015530E"/>
    <w:rsid w:val="00162F57"/>
    <w:rsid w:val="00162FF9"/>
    <w:rsid w:val="00166E98"/>
    <w:rsid w:val="0017092A"/>
    <w:rsid w:val="00170A2E"/>
    <w:rsid w:val="001802AE"/>
    <w:rsid w:val="00182189"/>
    <w:rsid w:val="00187B59"/>
    <w:rsid w:val="00191D10"/>
    <w:rsid w:val="00194F61"/>
    <w:rsid w:val="001A456A"/>
    <w:rsid w:val="001B2621"/>
    <w:rsid w:val="001B2B2E"/>
    <w:rsid w:val="001E07A0"/>
    <w:rsid w:val="001E1EA6"/>
    <w:rsid w:val="001F0263"/>
    <w:rsid w:val="001F12DF"/>
    <w:rsid w:val="0021258B"/>
    <w:rsid w:val="00220828"/>
    <w:rsid w:val="0023418E"/>
    <w:rsid w:val="00235820"/>
    <w:rsid w:val="00236CBF"/>
    <w:rsid w:val="002460BB"/>
    <w:rsid w:val="00246DD7"/>
    <w:rsid w:val="00251D66"/>
    <w:rsid w:val="00257DD4"/>
    <w:rsid w:val="00257F0C"/>
    <w:rsid w:val="00261D92"/>
    <w:rsid w:val="00261F7D"/>
    <w:rsid w:val="00264AB1"/>
    <w:rsid w:val="00267D01"/>
    <w:rsid w:val="00277CB2"/>
    <w:rsid w:val="00282488"/>
    <w:rsid w:val="002837B3"/>
    <w:rsid w:val="002A780B"/>
    <w:rsid w:val="002C076A"/>
    <w:rsid w:val="002C2EA3"/>
    <w:rsid w:val="002D60BA"/>
    <w:rsid w:val="002E30B4"/>
    <w:rsid w:val="002E4D6F"/>
    <w:rsid w:val="002F20A2"/>
    <w:rsid w:val="002F6870"/>
    <w:rsid w:val="00305575"/>
    <w:rsid w:val="0031011F"/>
    <w:rsid w:val="00310C80"/>
    <w:rsid w:val="00313260"/>
    <w:rsid w:val="00313F35"/>
    <w:rsid w:val="00330D70"/>
    <w:rsid w:val="00340C26"/>
    <w:rsid w:val="00341EF5"/>
    <w:rsid w:val="00342DF2"/>
    <w:rsid w:val="00380B4F"/>
    <w:rsid w:val="00394842"/>
    <w:rsid w:val="003B1611"/>
    <w:rsid w:val="003B52B6"/>
    <w:rsid w:val="003C3EC7"/>
    <w:rsid w:val="003C4A04"/>
    <w:rsid w:val="003D3306"/>
    <w:rsid w:val="003D57CB"/>
    <w:rsid w:val="003E01D5"/>
    <w:rsid w:val="003E102E"/>
    <w:rsid w:val="003E1A5C"/>
    <w:rsid w:val="003E32E7"/>
    <w:rsid w:val="003E4644"/>
    <w:rsid w:val="003E5A59"/>
    <w:rsid w:val="003F6B4B"/>
    <w:rsid w:val="00406B76"/>
    <w:rsid w:val="004079B7"/>
    <w:rsid w:val="004150D6"/>
    <w:rsid w:val="00433471"/>
    <w:rsid w:val="00437211"/>
    <w:rsid w:val="00457F24"/>
    <w:rsid w:val="00466B51"/>
    <w:rsid w:val="00484EA5"/>
    <w:rsid w:val="00485FF3"/>
    <w:rsid w:val="00487AF7"/>
    <w:rsid w:val="0049078C"/>
    <w:rsid w:val="004933FC"/>
    <w:rsid w:val="00495F5C"/>
    <w:rsid w:val="0049665B"/>
    <w:rsid w:val="004A73D2"/>
    <w:rsid w:val="004B1AF0"/>
    <w:rsid w:val="004B5649"/>
    <w:rsid w:val="004B7859"/>
    <w:rsid w:val="004C0ECC"/>
    <w:rsid w:val="004C4BA5"/>
    <w:rsid w:val="004C564F"/>
    <w:rsid w:val="004D004D"/>
    <w:rsid w:val="004D2AB5"/>
    <w:rsid w:val="004E4A5D"/>
    <w:rsid w:val="004F5184"/>
    <w:rsid w:val="00502AA2"/>
    <w:rsid w:val="00510BC2"/>
    <w:rsid w:val="005161F7"/>
    <w:rsid w:val="00536A3A"/>
    <w:rsid w:val="00557C95"/>
    <w:rsid w:val="00560876"/>
    <w:rsid w:val="005662B8"/>
    <w:rsid w:val="005758FD"/>
    <w:rsid w:val="005761CC"/>
    <w:rsid w:val="0058236D"/>
    <w:rsid w:val="00590C8C"/>
    <w:rsid w:val="005914EB"/>
    <w:rsid w:val="00595462"/>
    <w:rsid w:val="00595F0B"/>
    <w:rsid w:val="005A6C56"/>
    <w:rsid w:val="005B556A"/>
    <w:rsid w:val="005C79EE"/>
    <w:rsid w:val="005D690B"/>
    <w:rsid w:val="005E2C2A"/>
    <w:rsid w:val="005F0A31"/>
    <w:rsid w:val="005F44C5"/>
    <w:rsid w:val="005F4B90"/>
    <w:rsid w:val="00601E8D"/>
    <w:rsid w:val="00605BC2"/>
    <w:rsid w:val="00607BD4"/>
    <w:rsid w:val="00611249"/>
    <w:rsid w:val="00621F53"/>
    <w:rsid w:val="0064425C"/>
    <w:rsid w:val="00651715"/>
    <w:rsid w:val="006668CA"/>
    <w:rsid w:val="00680E61"/>
    <w:rsid w:val="0068457B"/>
    <w:rsid w:val="00684722"/>
    <w:rsid w:val="006853AE"/>
    <w:rsid w:val="00686645"/>
    <w:rsid w:val="00690194"/>
    <w:rsid w:val="00693C34"/>
    <w:rsid w:val="00695525"/>
    <w:rsid w:val="006969ED"/>
    <w:rsid w:val="006A1940"/>
    <w:rsid w:val="006A260C"/>
    <w:rsid w:val="006A3158"/>
    <w:rsid w:val="006A3AA3"/>
    <w:rsid w:val="006A6456"/>
    <w:rsid w:val="006B6B50"/>
    <w:rsid w:val="006C37B8"/>
    <w:rsid w:val="006D4803"/>
    <w:rsid w:val="006D750F"/>
    <w:rsid w:val="006D7FD6"/>
    <w:rsid w:val="006E09DE"/>
    <w:rsid w:val="006E1200"/>
    <w:rsid w:val="006E1D15"/>
    <w:rsid w:val="006E2A32"/>
    <w:rsid w:val="006E2FEF"/>
    <w:rsid w:val="006E3D3A"/>
    <w:rsid w:val="006E694C"/>
    <w:rsid w:val="006F069D"/>
    <w:rsid w:val="007020ED"/>
    <w:rsid w:val="00703388"/>
    <w:rsid w:val="0071067D"/>
    <w:rsid w:val="00715F51"/>
    <w:rsid w:val="00717670"/>
    <w:rsid w:val="00733E51"/>
    <w:rsid w:val="007439A5"/>
    <w:rsid w:val="00744545"/>
    <w:rsid w:val="0074726E"/>
    <w:rsid w:val="007545AE"/>
    <w:rsid w:val="00760959"/>
    <w:rsid w:val="00761921"/>
    <w:rsid w:val="00765AC4"/>
    <w:rsid w:val="00771033"/>
    <w:rsid w:val="007757ED"/>
    <w:rsid w:val="00775FAD"/>
    <w:rsid w:val="00791893"/>
    <w:rsid w:val="0079361A"/>
    <w:rsid w:val="00794BAB"/>
    <w:rsid w:val="007A5498"/>
    <w:rsid w:val="007B0D57"/>
    <w:rsid w:val="007B3F70"/>
    <w:rsid w:val="007C3655"/>
    <w:rsid w:val="007F31CE"/>
    <w:rsid w:val="007F5E1C"/>
    <w:rsid w:val="00803167"/>
    <w:rsid w:val="008046E0"/>
    <w:rsid w:val="00806BCF"/>
    <w:rsid w:val="008109A2"/>
    <w:rsid w:val="00816777"/>
    <w:rsid w:val="0082312D"/>
    <w:rsid w:val="00827B31"/>
    <w:rsid w:val="00832B8F"/>
    <w:rsid w:val="00850BF7"/>
    <w:rsid w:val="00867B29"/>
    <w:rsid w:val="0087603C"/>
    <w:rsid w:val="00876D9B"/>
    <w:rsid w:val="00882A35"/>
    <w:rsid w:val="0088647D"/>
    <w:rsid w:val="008878E5"/>
    <w:rsid w:val="008968D5"/>
    <w:rsid w:val="008A6EEF"/>
    <w:rsid w:val="008B14FA"/>
    <w:rsid w:val="008B2A7F"/>
    <w:rsid w:val="008B2C0A"/>
    <w:rsid w:val="008B700D"/>
    <w:rsid w:val="008C54A7"/>
    <w:rsid w:val="008C7CA0"/>
    <w:rsid w:val="008D187E"/>
    <w:rsid w:val="008E0DFE"/>
    <w:rsid w:val="008E3823"/>
    <w:rsid w:val="008F27E5"/>
    <w:rsid w:val="008F2FF7"/>
    <w:rsid w:val="008F6AC0"/>
    <w:rsid w:val="00902C48"/>
    <w:rsid w:val="00903F60"/>
    <w:rsid w:val="009047C6"/>
    <w:rsid w:val="00911745"/>
    <w:rsid w:val="009147C0"/>
    <w:rsid w:val="009269A9"/>
    <w:rsid w:val="00931EF7"/>
    <w:rsid w:val="00942A66"/>
    <w:rsid w:val="0094557D"/>
    <w:rsid w:val="00966D3B"/>
    <w:rsid w:val="00971D19"/>
    <w:rsid w:val="0097746E"/>
    <w:rsid w:val="00982FD1"/>
    <w:rsid w:val="00987B8C"/>
    <w:rsid w:val="00990718"/>
    <w:rsid w:val="009C1AD6"/>
    <w:rsid w:val="009C5F7A"/>
    <w:rsid w:val="009D5259"/>
    <w:rsid w:val="009D6A6D"/>
    <w:rsid w:val="009F3588"/>
    <w:rsid w:val="009F65AB"/>
    <w:rsid w:val="00A03B89"/>
    <w:rsid w:val="00A0658C"/>
    <w:rsid w:val="00A130FE"/>
    <w:rsid w:val="00A14EF0"/>
    <w:rsid w:val="00A30866"/>
    <w:rsid w:val="00A31E71"/>
    <w:rsid w:val="00A346E5"/>
    <w:rsid w:val="00A3753B"/>
    <w:rsid w:val="00A45220"/>
    <w:rsid w:val="00A47170"/>
    <w:rsid w:val="00A527D8"/>
    <w:rsid w:val="00A5296A"/>
    <w:rsid w:val="00A576A8"/>
    <w:rsid w:val="00A604A7"/>
    <w:rsid w:val="00A6279B"/>
    <w:rsid w:val="00A644CF"/>
    <w:rsid w:val="00A73DDD"/>
    <w:rsid w:val="00A74502"/>
    <w:rsid w:val="00A81221"/>
    <w:rsid w:val="00A81987"/>
    <w:rsid w:val="00A82F68"/>
    <w:rsid w:val="00A854BD"/>
    <w:rsid w:val="00A85BB7"/>
    <w:rsid w:val="00A9172F"/>
    <w:rsid w:val="00A94F14"/>
    <w:rsid w:val="00A96C42"/>
    <w:rsid w:val="00AA3A17"/>
    <w:rsid w:val="00AA456C"/>
    <w:rsid w:val="00AA4EAD"/>
    <w:rsid w:val="00AA52DF"/>
    <w:rsid w:val="00AA6F51"/>
    <w:rsid w:val="00AC0C27"/>
    <w:rsid w:val="00AD02B8"/>
    <w:rsid w:val="00AD3957"/>
    <w:rsid w:val="00AD3B2D"/>
    <w:rsid w:val="00AE2EB8"/>
    <w:rsid w:val="00AF44F0"/>
    <w:rsid w:val="00AF454E"/>
    <w:rsid w:val="00AF474B"/>
    <w:rsid w:val="00AF6EAA"/>
    <w:rsid w:val="00B05413"/>
    <w:rsid w:val="00B06129"/>
    <w:rsid w:val="00B10BB2"/>
    <w:rsid w:val="00B24F5B"/>
    <w:rsid w:val="00B42810"/>
    <w:rsid w:val="00B54950"/>
    <w:rsid w:val="00B561E2"/>
    <w:rsid w:val="00B76611"/>
    <w:rsid w:val="00B901D8"/>
    <w:rsid w:val="00B91237"/>
    <w:rsid w:val="00BA3C5F"/>
    <w:rsid w:val="00BB1C34"/>
    <w:rsid w:val="00BB7414"/>
    <w:rsid w:val="00C02635"/>
    <w:rsid w:val="00C10EB2"/>
    <w:rsid w:val="00C17F53"/>
    <w:rsid w:val="00C26FDA"/>
    <w:rsid w:val="00C40BB5"/>
    <w:rsid w:val="00C40FA2"/>
    <w:rsid w:val="00C44DE5"/>
    <w:rsid w:val="00C512D8"/>
    <w:rsid w:val="00C641F1"/>
    <w:rsid w:val="00C679B4"/>
    <w:rsid w:val="00C723C4"/>
    <w:rsid w:val="00C86E2B"/>
    <w:rsid w:val="00C92E39"/>
    <w:rsid w:val="00C940F9"/>
    <w:rsid w:val="00C974BE"/>
    <w:rsid w:val="00CA4298"/>
    <w:rsid w:val="00CA6F91"/>
    <w:rsid w:val="00CB7F50"/>
    <w:rsid w:val="00CC3F4F"/>
    <w:rsid w:val="00CC4A64"/>
    <w:rsid w:val="00CC66A5"/>
    <w:rsid w:val="00CD03DA"/>
    <w:rsid w:val="00CD08A8"/>
    <w:rsid w:val="00CD6C91"/>
    <w:rsid w:val="00D43B68"/>
    <w:rsid w:val="00D52A5E"/>
    <w:rsid w:val="00D52B5C"/>
    <w:rsid w:val="00D56C40"/>
    <w:rsid w:val="00D70E6A"/>
    <w:rsid w:val="00D711DA"/>
    <w:rsid w:val="00D76738"/>
    <w:rsid w:val="00D86FB9"/>
    <w:rsid w:val="00D97722"/>
    <w:rsid w:val="00DA78A6"/>
    <w:rsid w:val="00DB19E8"/>
    <w:rsid w:val="00DC11A6"/>
    <w:rsid w:val="00DC3B69"/>
    <w:rsid w:val="00DD16CB"/>
    <w:rsid w:val="00DE11DB"/>
    <w:rsid w:val="00DF56B9"/>
    <w:rsid w:val="00E00BA9"/>
    <w:rsid w:val="00E059F2"/>
    <w:rsid w:val="00E106C0"/>
    <w:rsid w:val="00E16264"/>
    <w:rsid w:val="00E251F9"/>
    <w:rsid w:val="00E30FCA"/>
    <w:rsid w:val="00E32DF5"/>
    <w:rsid w:val="00E3308F"/>
    <w:rsid w:val="00E346FA"/>
    <w:rsid w:val="00E51266"/>
    <w:rsid w:val="00E54F8F"/>
    <w:rsid w:val="00E57B28"/>
    <w:rsid w:val="00E612DA"/>
    <w:rsid w:val="00E62D4A"/>
    <w:rsid w:val="00E6494C"/>
    <w:rsid w:val="00E7660B"/>
    <w:rsid w:val="00E77F29"/>
    <w:rsid w:val="00E83910"/>
    <w:rsid w:val="00E83C8E"/>
    <w:rsid w:val="00E846B5"/>
    <w:rsid w:val="00E8571F"/>
    <w:rsid w:val="00E9326B"/>
    <w:rsid w:val="00E97331"/>
    <w:rsid w:val="00EA0031"/>
    <w:rsid w:val="00EA1B22"/>
    <w:rsid w:val="00EA2D09"/>
    <w:rsid w:val="00EA56B3"/>
    <w:rsid w:val="00EC41A4"/>
    <w:rsid w:val="00ED29E8"/>
    <w:rsid w:val="00ED4A57"/>
    <w:rsid w:val="00ED74F0"/>
    <w:rsid w:val="00EE37D4"/>
    <w:rsid w:val="00EE40B1"/>
    <w:rsid w:val="00F02EE7"/>
    <w:rsid w:val="00F10A64"/>
    <w:rsid w:val="00F10C43"/>
    <w:rsid w:val="00F270C4"/>
    <w:rsid w:val="00F32357"/>
    <w:rsid w:val="00F33953"/>
    <w:rsid w:val="00F33CDE"/>
    <w:rsid w:val="00F379F3"/>
    <w:rsid w:val="00F41AEF"/>
    <w:rsid w:val="00F5254E"/>
    <w:rsid w:val="00F52A26"/>
    <w:rsid w:val="00F54EE1"/>
    <w:rsid w:val="00F56007"/>
    <w:rsid w:val="00F6158E"/>
    <w:rsid w:val="00F63C6F"/>
    <w:rsid w:val="00F67949"/>
    <w:rsid w:val="00F73B25"/>
    <w:rsid w:val="00F7745A"/>
    <w:rsid w:val="00F87748"/>
    <w:rsid w:val="00F93BA5"/>
    <w:rsid w:val="00F955B8"/>
    <w:rsid w:val="00F97A9F"/>
    <w:rsid w:val="00FA5C1D"/>
    <w:rsid w:val="00FB17BC"/>
    <w:rsid w:val="00FD0B1E"/>
    <w:rsid w:val="00FD2E07"/>
    <w:rsid w:val="00FD3EE4"/>
    <w:rsid w:val="00FD732C"/>
    <w:rsid w:val="00FE1E6D"/>
    <w:rsid w:val="00FE7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C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95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3957"/>
    <w:pPr>
      <w:tabs>
        <w:tab w:val="center" w:pos="4536"/>
        <w:tab w:val="right" w:pos="9072"/>
      </w:tabs>
    </w:pPr>
  </w:style>
  <w:style w:type="character" w:customStyle="1" w:styleId="NagwekZnak">
    <w:name w:val="Nagłówek Znak"/>
    <w:basedOn w:val="Domylnaczcionkaakapitu"/>
    <w:link w:val="Nagwek"/>
    <w:uiPriority w:val="99"/>
    <w:rsid w:val="00AD395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D3957"/>
    <w:pPr>
      <w:tabs>
        <w:tab w:val="center" w:pos="4536"/>
        <w:tab w:val="right" w:pos="9072"/>
      </w:tabs>
    </w:pPr>
  </w:style>
  <w:style w:type="character" w:customStyle="1" w:styleId="StopkaZnak">
    <w:name w:val="Stopka Znak"/>
    <w:basedOn w:val="Domylnaczcionkaakapitu"/>
    <w:link w:val="Stopka"/>
    <w:uiPriority w:val="99"/>
    <w:rsid w:val="00AD395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D3957"/>
    <w:pPr>
      <w:spacing w:line="360" w:lineRule="auto"/>
      <w:ind w:firstLine="708"/>
      <w:jc w:val="both"/>
    </w:pPr>
    <w:rPr>
      <w:b/>
      <w:sz w:val="24"/>
    </w:rPr>
  </w:style>
  <w:style w:type="character" w:customStyle="1" w:styleId="Tekstpodstawowywcity2Znak">
    <w:name w:val="Tekst podstawowy wcięty 2 Znak"/>
    <w:basedOn w:val="Domylnaczcionkaakapitu"/>
    <w:link w:val="Tekstpodstawowywcity2"/>
    <w:rsid w:val="00AD3957"/>
    <w:rPr>
      <w:rFonts w:ascii="Times New Roman" w:eastAsia="Times New Roman" w:hAnsi="Times New Roman" w:cs="Times New Roman"/>
      <w:b/>
      <w:sz w:val="24"/>
      <w:szCs w:val="20"/>
      <w:lang w:eastAsia="pl-PL"/>
    </w:rPr>
  </w:style>
  <w:style w:type="character" w:customStyle="1" w:styleId="readonlytext">
    <w:name w:val="readonly_text"/>
    <w:rsid w:val="00AD3957"/>
  </w:style>
  <w:style w:type="paragraph" w:styleId="Tekstdymka">
    <w:name w:val="Balloon Text"/>
    <w:basedOn w:val="Normalny"/>
    <w:link w:val="TekstdymkaZnak"/>
    <w:uiPriority w:val="99"/>
    <w:semiHidden/>
    <w:unhideWhenUsed/>
    <w:rsid w:val="00AD3957"/>
    <w:rPr>
      <w:rFonts w:ascii="Tahoma" w:hAnsi="Tahoma" w:cs="Tahoma"/>
      <w:sz w:val="16"/>
      <w:szCs w:val="16"/>
    </w:rPr>
  </w:style>
  <w:style w:type="character" w:customStyle="1" w:styleId="TekstdymkaZnak">
    <w:name w:val="Tekst dymka Znak"/>
    <w:basedOn w:val="Domylnaczcionkaakapitu"/>
    <w:link w:val="Tekstdymka"/>
    <w:uiPriority w:val="99"/>
    <w:semiHidden/>
    <w:rsid w:val="00AD3957"/>
    <w:rPr>
      <w:rFonts w:ascii="Tahoma" w:eastAsia="Times New Roman" w:hAnsi="Tahoma" w:cs="Tahoma"/>
      <w:sz w:val="16"/>
      <w:szCs w:val="16"/>
      <w:lang w:eastAsia="pl-PL"/>
    </w:rPr>
  </w:style>
  <w:style w:type="character" w:styleId="Hipercze">
    <w:name w:val="Hyperlink"/>
    <w:basedOn w:val="Domylnaczcionkaakapitu"/>
    <w:uiPriority w:val="99"/>
    <w:unhideWhenUsed/>
    <w:rsid w:val="00911745"/>
    <w:rPr>
      <w:color w:val="0000FF" w:themeColor="hyperlink"/>
      <w:u w:val="single"/>
    </w:rPr>
  </w:style>
  <w:style w:type="paragraph" w:styleId="Akapitzlist">
    <w:name w:val="List Paragraph"/>
    <w:basedOn w:val="Normalny"/>
    <w:link w:val="AkapitzlistZnak"/>
    <w:uiPriority w:val="34"/>
    <w:qFormat/>
    <w:rsid w:val="00AC0C2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b8d990e2">
    <w:name w:val="sb8d990e2"/>
    <w:basedOn w:val="Domylnaczcionkaakapitu"/>
    <w:rsid w:val="00CC3F4F"/>
  </w:style>
  <w:style w:type="paragraph" w:styleId="Tekstprzypisukocowego">
    <w:name w:val="endnote text"/>
    <w:basedOn w:val="Normalny"/>
    <w:link w:val="TekstprzypisukocowegoZnak"/>
    <w:uiPriority w:val="99"/>
    <w:semiHidden/>
    <w:unhideWhenUsed/>
    <w:rsid w:val="00A45220"/>
  </w:style>
  <w:style w:type="character" w:customStyle="1" w:styleId="TekstprzypisukocowegoZnak">
    <w:name w:val="Tekst przypisu końcowego Znak"/>
    <w:basedOn w:val="Domylnaczcionkaakapitu"/>
    <w:link w:val="Tekstprzypisukocowego"/>
    <w:uiPriority w:val="99"/>
    <w:semiHidden/>
    <w:rsid w:val="00A452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45220"/>
    <w:rPr>
      <w:vertAlign w:val="superscript"/>
    </w:rPr>
  </w:style>
  <w:style w:type="character" w:customStyle="1" w:styleId="column">
    <w:name w:val="column"/>
    <w:basedOn w:val="Domylnaczcionkaakapitu"/>
    <w:rsid w:val="000A475B"/>
  </w:style>
  <w:style w:type="character" w:customStyle="1" w:styleId="textcolumn">
    <w:name w:val="textcolumn"/>
    <w:basedOn w:val="Domylnaczcionkaakapitu"/>
    <w:rsid w:val="000A475B"/>
  </w:style>
  <w:style w:type="character" w:customStyle="1" w:styleId="AkapitzlistZnak">
    <w:name w:val="Akapit z listą Znak"/>
    <w:link w:val="Akapitzlist"/>
    <w:uiPriority w:val="34"/>
    <w:locked/>
    <w:rsid w:val="0015530E"/>
  </w:style>
  <w:style w:type="table" w:styleId="Tabela-Siatka">
    <w:name w:val="Table Grid"/>
    <w:basedOn w:val="Standardowy"/>
    <w:uiPriority w:val="59"/>
    <w:rsid w:val="00DC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76738"/>
    <w:rPr>
      <w:sz w:val="16"/>
      <w:szCs w:val="16"/>
    </w:rPr>
  </w:style>
  <w:style w:type="paragraph" w:styleId="Tekstkomentarza">
    <w:name w:val="annotation text"/>
    <w:basedOn w:val="Normalny"/>
    <w:link w:val="TekstkomentarzaZnak"/>
    <w:uiPriority w:val="99"/>
    <w:semiHidden/>
    <w:unhideWhenUsed/>
    <w:rsid w:val="00D76738"/>
  </w:style>
  <w:style w:type="character" w:customStyle="1" w:styleId="TekstkomentarzaZnak">
    <w:name w:val="Tekst komentarza Znak"/>
    <w:basedOn w:val="Domylnaczcionkaakapitu"/>
    <w:link w:val="Tekstkomentarza"/>
    <w:uiPriority w:val="99"/>
    <w:semiHidden/>
    <w:rsid w:val="00D767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76738"/>
    <w:rPr>
      <w:b/>
      <w:bCs/>
    </w:rPr>
  </w:style>
  <w:style w:type="character" w:customStyle="1" w:styleId="TematkomentarzaZnak">
    <w:name w:val="Temat komentarza Znak"/>
    <w:basedOn w:val="TekstkomentarzaZnak"/>
    <w:link w:val="Tematkomentarza"/>
    <w:uiPriority w:val="99"/>
    <w:semiHidden/>
    <w:rsid w:val="00D76738"/>
    <w:rPr>
      <w:rFonts w:ascii="Times New Roman" w:eastAsia="Times New Roman" w:hAnsi="Times New Roman" w:cs="Times New Roman"/>
      <w:b/>
      <w:bCs/>
      <w:sz w:val="20"/>
      <w:szCs w:val="20"/>
      <w:lang w:eastAsia="pl-PL"/>
    </w:rPr>
  </w:style>
  <w:style w:type="character" w:styleId="Odwoanieprzypisudolnego">
    <w:name w:val="footnote reference"/>
    <w:basedOn w:val="Domylnaczcionkaakapitu"/>
    <w:uiPriority w:val="99"/>
    <w:semiHidden/>
    <w:unhideWhenUsed/>
    <w:rsid w:val="00AD3B2D"/>
    <w:rPr>
      <w:vertAlign w:val="superscript"/>
    </w:rPr>
  </w:style>
  <w:style w:type="character" w:customStyle="1" w:styleId="sfbbfee58">
    <w:name w:val="sfbbfee58"/>
    <w:basedOn w:val="Domylnaczcionkaakapitu"/>
    <w:rsid w:val="0077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3090">
      <w:bodyDiv w:val="1"/>
      <w:marLeft w:val="0"/>
      <w:marRight w:val="0"/>
      <w:marTop w:val="0"/>
      <w:marBottom w:val="0"/>
      <w:divBdr>
        <w:top w:val="none" w:sz="0" w:space="0" w:color="auto"/>
        <w:left w:val="none" w:sz="0" w:space="0" w:color="auto"/>
        <w:bottom w:val="none" w:sz="0" w:space="0" w:color="auto"/>
        <w:right w:val="none" w:sz="0" w:space="0" w:color="auto"/>
      </w:divBdr>
      <w:divsChild>
        <w:div w:id="554394251">
          <w:marLeft w:val="0"/>
          <w:marRight w:val="0"/>
          <w:marTop w:val="0"/>
          <w:marBottom w:val="0"/>
          <w:divBdr>
            <w:top w:val="none" w:sz="0" w:space="0" w:color="auto"/>
            <w:left w:val="none" w:sz="0" w:space="0" w:color="auto"/>
            <w:bottom w:val="none" w:sz="0" w:space="0" w:color="auto"/>
            <w:right w:val="none" w:sz="0" w:space="0" w:color="auto"/>
          </w:divBdr>
        </w:div>
      </w:divsChild>
    </w:div>
    <w:div w:id="220681396">
      <w:bodyDiv w:val="1"/>
      <w:marLeft w:val="0"/>
      <w:marRight w:val="0"/>
      <w:marTop w:val="0"/>
      <w:marBottom w:val="0"/>
      <w:divBdr>
        <w:top w:val="none" w:sz="0" w:space="0" w:color="auto"/>
        <w:left w:val="none" w:sz="0" w:space="0" w:color="auto"/>
        <w:bottom w:val="none" w:sz="0" w:space="0" w:color="auto"/>
        <w:right w:val="none" w:sz="0" w:space="0" w:color="auto"/>
      </w:divBdr>
    </w:div>
    <w:div w:id="4564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DC00-530F-4F62-BCE8-21A7203A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4607</Words>
  <Characters>27644</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2022-01-28T08:25:00Z</dcterms:created>
  <dcterms:modified xsi:type="dcterms:W3CDTF">2022-02-14T14:43:00Z</dcterms:modified>
</cp:coreProperties>
</file>