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46C4" w14:textId="77777777" w:rsidR="00DC51FB" w:rsidRPr="00FC19B1" w:rsidRDefault="00DC51FB" w:rsidP="00FC19B1">
      <w:pPr>
        <w:spacing w:after="472" w:line="360" w:lineRule="auto"/>
        <w:contextualSpacing/>
        <w:jc w:val="center"/>
        <w:rPr>
          <w:rFonts w:ascii="Times New Roman" w:hAnsi="Times New Roman" w:cs="Times New Roman"/>
          <w:b/>
          <w:bCs/>
          <w:lang w:val="es-ES"/>
        </w:rPr>
      </w:pPr>
      <w:bookmarkStart w:id="0" w:name="_Hlk178423185"/>
      <w:r w:rsidRPr="00FC19B1">
        <w:rPr>
          <w:rFonts w:ascii="Times New Roman" w:hAnsi="Times New Roman" w:cs="Times New Roman"/>
          <w:b/>
          <w:bCs/>
          <w:lang w:val="es-ES"/>
        </w:rPr>
        <w:t xml:space="preserve">Advertencia sobre derechos y obligaciones de un imputado </w:t>
      </w:r>
    </w:p>
    <w:p w14:paraId="7715C755" w14:textId="77777777" w:rsidR="00DC51FB" w:rsidRPr="00FC19B1" w:rsidRDefault="00DC51FB" w:rsidP="00FC19B1">
      <w:pPr>
        <w:spacing w:after="472" w:line="360" w:lineRule="auto"/>
        <w:contextualSpacing/>
        <w:jc w:val="center"/>
        <w:rPr>
          <w:rFonts w:ascii="Times New Roman" w:hAnsi="Times New Roman" w:cs="Times New Roman"/>
          <w:b/>
          <w:bCs/>
          <w:lang w:val="es-ES"/>
        </w:rPr>
      </w:pPr>
    </w:p>
    <w:p w14:paraId="198D0AEE"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lang w:val="es-ES"/>
        </w:rPr>
      </w:pPr>
      <w:r w:rsidRPr="00FC19B1">
        <w:rPr>
          <w:rFonts w:ascii="Times New Roman" w:hAnsi="Times New Roman" w:cs="Times New Roman"/>
          <w:lang w:val="es-ES"/>
        </w:rPr>
        <w:t>Recibes esta Advertencia porque estás imputado.</w:t>
      </w:r>
    </w:p>
    <w:p w14:paraId="52E91A76"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lang w:val="es-ES"/>
        </w:rPr>
      </w:pPr>
      <w:r w:rsidRPr="00FC19B1">
        <w:rPr>
          <w:rFonts w:ascii="Times New Roman" w:hAnsi="Times New Roman" w:cs="Times New Roman"/>
          <w:lang w:val="es-ES"/>
        </w:rPr>
        <w:t>Como imputado, tienes derecho a saber cuáles son tus derechos y obligaciones.</w:t>
      </w:r>
    </w:p>
    <w:p w14:paraId="53A8FE14" w14:textId="77777777" w:rsidR="00DC51FB" w:rsidRPr="00FC19B1" w:rsidRDefault="00DC51FB" w:rsidP="00FC19B1">
      <w:pPr>
        <w:spacing w:line="360" w:lineRule="auto"/>
        <w:contextualSpacing/>
        <w:jc w:val="both"/>
        <w:rPr>
          <w:rFonts w:ascii="Times New Roman" w:hAnsi="Times New Roman" w:cs="Times New Roman"/>
          <w:lang w:val="es-ES"/>
        </w:rPr>
      </w:pPr>
      <w:r w:rsidRPr="00FC19B1">
        <w:rPr>
          <w:rFonts w:ascii="Times New Roman" w:hAnsi="Times New Roman" w:cs="Times New Roman"/>
          <w:lang w:val="es-ES"/>
        </w:rPr>
        <w:t>Lee detenidamente esta Advertencia.</w:t>
      </w:r>
    </w:p>
    <w:p w14:paraId="15281D9C" w14:textId="77777777" w:rsidR="00DC51FB" w:rsidRPr="00FC19B1" w:rsidRDefault="00DC51FB" w:rsidP="00FC19B1">
      <w:pPr>
        <w:spacing w:line="360" w:lineRule="auto"/>
        <w:contextualSpacing/>
        <w:jc w:val="both"/>
        <w:rPr>
          <w:rFonts w:ascii="Times New Roman" w:hAnsi="Times New Roman" w:cs="Times New Roman"/>
          <w:lang w:val="es-ES"/>
        </w:rPr>
      </w:pPr>
      <w:r w:rsidRPr="00FC19B1">
        <w:rPr>
          <w:rFonts w:ascii="Times New Roman" w:hAnsi="Times New Roman" w:cs="Times New Roman"/>
          <w:lang w:val="es-ES"/>
        </w:rPr>
        <w:t>Tienes la obligación de firmar una declaración en la que confirmes que has recibido esta Advertencia.</w:t>
      </w:r>
    </w:p>
    <w:p w14:paraId="3F04A311"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lang w:val="es-ES"/>
        </w:rPr>
      </w:pPr>
      <w:r w:rsidRPr="00FC19B1">
        <w:rPr>
          <w:rFonts w:ascii="Times New Roman" w:hAnsi="Times New Roman" w:cs="Times New Roman"/>
          <w:lang w:val="es-ES"/>
        </w:rPr>
        <w:t>Además de la información, en la Advertencia encontrarás las normativas de las cuales derivan. Salvo indicación contraria, estas son las disposiciones de la Ley de Enjuiciamiento Criminal (Ley de 6 de junio de 1997 - Ley de Enjuiciamiento Criminal, Boletín Oficial del Estado de 2024, asientos 37 y 1222).</w:t>
      </w:r>
    </w:p>
    <w:p w14:paraId="2FF0A243" w14:textId="77777777" w:rsidR="00DC51FB" w:rsidRPr="00FC19B1" w:rsidRDefault="00DC51FB" w:rsidP="00FC19B1">
      <w:pPr>
        <w:spacing w:line="360" w:lineRule="auto"/>
        <w:contextualSpacing/>
        <w:jc w:val="both"/>
        <w:rPr>
          <w:rFonts w:ascii="Times New Roman" w:hAnsi="Times New Roman" w:cs="Times New Roman"/>
          <w:lang w:val="es-ES"/>
        </w:rPr>
      </w:pPr>
    </w:p>
    <w:p w14:paraId="3D8DAB13" w14:textId="77777777" w:rsidR="00DC51FB" w:rsidRPr="00FC19B1" w:rsidRDefault="00DC51FB" w:rsidP="00FC19B1">
      <w:pPr>
        <w:keepNext/>
        <w:keepLines/>
        <w:spacing w:line="360" w:lineRule="auto"/>
        <w:contextualSpacing/>
        <w:jc w:val="both"/>
        <w:rPr>
          <w:rFonts w:ascii="Times New Roman" w:hAnsi="Times New Roman" w:cs="Times New Roman"/>
          <w:b/>
          <w:bCs/>
          <w:lang w:val="es-ES"/>
        </w:rPr>
      </w:pPr>
      <w:r w:rsidRPr="00FC19B1">
        <w:rPr>
          <w:rFonts w:ascii="Times New Roman" w:hAnsi="Times New Roman" w:cs="Times New Roman"/>
          <w:b/>
          <w:bCs/>
          <w:lang w:val="es-ES"/>
        </w:rPr>
        <w:t>Tus derechos y obligaciones en el procedimiento penal</w:t>
      </w:r>
    </w:p>
    <w:p w14:paraId="7EE8BD5B" w14:textId="77777777" w:rsidR="00DC51FB" w:rsidRPr="00FC19B1" w:rsidRDefault="00DC51FB" w:rsidP="00FC19B1">
      <w:pPr>
        <w:spacing w:after="0" w:line="360" w:lineRule="auto"/>
        <w:contextualSpacing/>
        <w:jc w:val="both"/>
        <w:rPr>
          <w:rStyle w:val="Bodytext2Bold"/>
          <w:rFonts w:ascii="Times New Roman" w:hAnsi="Times New Roman" w:cs="Times New Roman"/>
          <w:color w:val="auto"/>
          <w:sz w:val="24"/>
          <w:szCs w:val="24"/>
          <w:lang w:val="es-ES"/>
        </w:rPr>
      </w:pPr>
      <w:r w:rsidRPr="00FC19B1">
        <w:rPr>
          <w:rStyle w:val="Bodytext2Bold"/>
          <w:rFonts w:ascii="Times New Roman" w:hAnsi="Times New Roman" w:cs="Times New Roman"/>
          <w:color w:val="auto"/>
          <w:sz w:val="24"/>
          <w:szCs w:val="24"/>
          <w:lang w:val="es-ES"/>
        </w:rPr>
        <w:t xml:space="preserve">Como imputado: </w:t>
      </w:r>
    </w:p>
    <w:p w14:paraId="41B55ADF" w14:textId="77777777" w:rsidR="00DC51FB" w:rsidRPr="00FC19B1" w:rsidRDefault="00DC51FB" w:rsidP="00FC19B1">
      <w:pPr>
        <w:spacing w:after="0" w:line="360" w:lineRule="auto"/>
        <w:contextualSpacing/>
        <w:jc w:val="both"/>
        <w:rPr>
          <w:rFonts w:ascii="Times New Roman" w:eastAsia="Calibri" w:hAnsi="Times New Roman" w:cs="Times New Roman"/>
          <w:b/>
          <w:bCs/>
          <w:lang w:val="es-ES" w:eastAsia="pl-PL" w:bidi="pl-PL"/>
        </w:rPr>
      </w:pPr>
      <w:r w:rsidRPr="00FC19B1">
        <w:rPr>
          <w:rFonts w:ascii="Times New Roman" w:eastAsia="Calibri" w:hAnsi="Times New Roman" w:cs="Times New Roman"/>
          <w:b/>
          <w:bCs/>
          <w:lang w:val="es-ES" w:eastAsia="pl-PL" w:bidi="pl-PL"/>
        </w:rPr>
        <w:t>1. Tienes derecho a decidir si das explicaciones y qué tipo de explicaciones das</w:t>
      </w:r>
    </w:p>
    <w:p w14:paraId="656BFEF1" w14:textId="77777777" w:rsidR="00DC51FB" w:rsidRPr="00FC19B1" w:rsidRDefault="00DC51FB" w:rsidP="00FC19B1">
      <w:pPr>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Puedes dar explicaciones, negarte a darlas o negarte a responder preguntas individuales. No tienes que justificar por qué te niegas a responder preguntas o a dar explicaciones (art. 175 §1).</w:t>
      </w:r>
    </w:p>
    <w:p w14:paraId="7B204CE6" w14:textId="77777777" w:rsidR="00DC51FB" w:rsidRPr="00FC19B1" w:rsidRDefault="00DC51FB" w:rsidP="00FC19B1">
      <w:pPr>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Durante el interrogatorio, puedes solicitar que te permitan presentar explicaciones por escrito. Sin embargo, el interrogador puede negarse si tiene razones importantes para hacerlo (art. 176 § 1 y 2).</w:t>
      </w:r>
    </w:p>
    <w:p w14:paraId="2132FC3B" w14:textId="77777777" w:rsidR="00DC51FB" w:rsidRPr="00FC19B1" w:rsidRDefault="00DC51FB" w:rsidP="00FC19B1">
      <w:pPr>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 xml:space="preserve">Si participas en diligencias, puedes dar explicaciones sobre las pruebas </w:t>
      </w:r>
      <w:r w:rsidRPr="00FC19B1">
        <w:rPr>
          <w:rFonts w:ascii="Times New Roman" w:hAnsi="Times New Roman" w:cs="Times New Roman"/>
          <w:lang w:val="es-ES" w:eastAsia="pl-PL" w:bidi="pl-PL"/>
        </w:rPr>
        <w:t xml:space="preserve">a las que se refieren </w:t>
      </w:r>
      <w:r w:rsidRPr="00FC19B1">
        <w:rPr>
          <w:rFonts w:ascii="Times New Roman" w:eastAsia="Calibri" w:hAnsi="Times New Roman" w:cs="Times New Roman"/>
          <w:lang w:val="es-ES" w:eastAsia="pl-PL" w:bidi="pl-PL"/>
        </w:rPr>
        <w:t>esas diligencias (art. 175 § 2).</w:t>
      </w:r>
    </w:p>
    <w:p w14:paraId="3C0333D5" w14:textId="77777777" w:rsidR="00DC51FB" w:rsidRPr="00FC19B1" w:rsidRDefault="00DC51FB" w:rsidP="00FC19B1">
      <w:pPr>
        <w:spacing w:after="0" w:line="360" w:lineRule="auto"/>
        <w:contextualSpacing/>
        <w:jc w:val="both"/>
        <w:rPr>
          <w:rFonts w:ascii="Times New Roman" w:hAnsi="Times New Roman" w:cs="Times New Roman"/>
          <w:b/>
          <w:bCs/>
          <w:lang w:val="es-ES"/>
        </w:rPr>
      </w:pPr>
    </w:p>
    <w:p w14:paraId="61E84865" w14:textId="77777777" w:rsidR="00DC51FB" w:rsidRPr="00FC19B1" w:rsidRDefault="00DC51FB" w:rsidP="00FC19B1">
      <w:pPr>
        <w:spacing w:after="0" w:line="360" w:lineRule="auto"/>
        <w:contextualSpacing/>
        <w:jc w:val="both"/>
        <w:rPr>
          <w:rStyle w:val="Heading2"/>
          <w:rFonts w:ascii="Times New Roman" w:hAnsi="Times New Roman" w:cs="Times New Roman"/>
          <w:color w:val="auto"/>
          <w:sz w:val="24"/>
          <w:szCs w:val="24"/>
          <w:lang w:val="es-ES"/>
        </w:rPr>
      </w:pPr>
      <w:r w:rsidRPr="00FC19B1">
        <w:rPr>
          <w:rFonts w:ascii="Times New Roman" w:hAnsi="Times New Roman" w:cs="Times New Roman"/>
          <w:b/>
          <w:bCs/>
          <w:lang w:val="es-ES"/>
        </w:rPr>
        <w:t>2.</w:t>
      </w:r>
      <w:r w:rsidRPr="00FC19B1">
        <w:rPr>
          <w:rFonts w:ascii="Times New Roman" w:hAnsi="Times New Roman" w:cs="Times New Roman"/>
          <w:lang w:val="es-ES"/>
        </w:rPr>
        <w:t xml:space="preserve"> </w:t>
      </w:r>
      <w:r w:rsidRPr="00FC19B1">
        <w:rPr>
          <w:rStyle w:val="Heading2"/>
          <w:rFonts w:ascii="Times New Roman" w:hAnsi="Times New Roman" w:cs="Times New Roman"/>
          <w:color w:val="auto"/>
          <w:sz w:val="24"/>
          <w:szCs w:val="24"/>
          <w:lang w:val="es-ES"/>
        </w:rPr>
        <w:t xml:space="preserve">Tienes derecho a la asistencia jurídica </w:t>
      </w:r>
    </w:p>
    <w:p w14:paraId="272E389D" w14:textId="77777777" w:rsidR="00DC51FB" w:rsidRPr="00FC19B1" w:rsidRDefault="00DC51FB" w:rsidP="00FC19B1">
      <w:pPr>
        <w:spacing w:after="60"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 xml:space="preserve">Como imputado, no tienes que pasar por un proceso penal solo. </w:t>
      </w:r>
      <w:r w:rsidRPr="00FC19B1">
        <w:rPr>
          <w:rFonts w:ascii="Times New Roman" w:eastAsia="Calibri" w:hAnsi="Times New Roman" w:cs="Times New Roman"/>
          <w:lang w:val="es-ES" w:eastAsia="pl-PL" w:bidi="pl-PL"/>
        </w:rPr>
        <w:t>Puedes contar con el apoyo de un abogado defensor</w:t>
      </w:r>
      <w:r w:rsidRPr="00FC19B1">
        <w:rPr>
          <w:rFonts w:ascii="Times New Roman" w:hAnsi="Times New Roman" w:cs="Times New Roman"/>
          <w:lang w:val="es-ES" w:eastAsia="pl-PL" w:bidi="pl-PL"/>
        </w:rPr>
        <w:t xml:space="preserve">. Un abogado defensor puede representarte </w:t>
      </w:r>
      <w:r w:rsidRPr="00FC19B1">
        <w:rPr>
          <w:rFonts w:ascii="Times New Roman" w:eastAsia="Calibri" w:hAnsi="Times New Roman" w:cs="Times New Roman"/>
          <w:lang w:val="es-ES" w:eastAsia="pl-PL" w:bidi="pl-PL"/>
        </w:rPr>
        <w:t xml:space="preserve">a lo largo de todo el procedimiento </w:t>
      </w:r>
      <w:r w:rsidRPr="00FC19B1">
        <w:rPr>
          <w:rFonts w:ascii="Times New Roman" w:hAnsi="Times New Roman" w:cs="Times New Roman"/>
          <w:lang w:val="es-ES" w:eastAsia="pl-PL" w:bidi="pl-PL"/>
        </w:rPr>
        <w:t>o en una medida concreta.</w:t>
      </w:r>
    </w:p>
    <w:p w14:paraId="333EA46B" w14:textId="77777777" w:rsidR="00DC51FB" w:rsidRPr="00FC19B1" w:rsidRDefault="00DC51FB" w:rsidP="00FC19B1">
      <w:pPr>
        <w:spacing w:after="0" w:line="360" w:lineRule="auto"/>
        <w:contextualSpacing/>
        <w:jc w:val="both"/>
        <w:rPr>
          <w:rStyle w:val="Heading2"/>
          <w:rFonts w:ascii="Times New Roman" w:hAnsi="Times New Roman" w:cs="Times New Roman"/>
          <w:color w:val="auto"/>
          <w:sz w:val="24"/>
          <w:szCs w:val="24"/>
          <w:lang w:val="es-ES"/>
        </w:rPr>
      </w:pPr>
    </w:p>
    <w:p w14:paraId="05367E5B" w14:textId="77777777" w:rsidR="00DC51FB" w:rsidRPr="00FC19B1" w:rsidRDefault="00DC51FB" w:rsidP="00FC19B1">
      <w:pPr>
        <w:tabs>
          <w:tab w:val="num" w:pos="1440"/>
        </w:tabs>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Si estás en prisión preventiva:</w:t>
      </w:r>
    </w:p>
    <w:p w14:paraId="169A289A" w14:textId="77777777" w:rsidR="00DC51FB" w:rsidRPr="00FC19B1" w:rsidRDefault="00DC51FB" w:rsidP="00FC19B1">
      <w:pPr>
        <w:tabs>
          <w:tab w:val="num" w:pos="1440"/>
        </w:tabs>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1) tu defensor puede hablar contigo en la prisión a solas, sin la presencia de otras personas;</w:t>
      </w:r>
    </w:p>
    <w:p w14:paraId="3314509F" w14:textId="77777777" w:rsidR="00DC51FB" w:rsidRPr="00FC19B1" w:rsidRDefault="00DC51FB" w:rsidP="00FC19B1">
      <w:pPr>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2) puedes comunicarte con tu defensor por correspondencia.</w:t>
      </w:r>
    </w:p>
    <w:p w14:paraId="2D65B1D7"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lastRenderedPageBreak/>
        <w:t xml:space="preserve">El fiscal o una persona designada por él puede participar en tus reuniones con el defensor y controlar tu correspondencia, </w:t>
      </w:r>
      <w:r w:rsidRPr="00FC19B1">
        <w:rPr>
          <w:rFonts w:ascii="Times New Roman" w:hAnsi="Times New Roman" w:cs="Times New Roman"/>
          <w:lang w:val="es-ES" w:eastAsia="pl-PL" w:bidi="pl-PL"/>
        </w:rPr>
        <w:t xml:space="preserve">pero </w:t>
      </w:r>
      <w:r w:rsidRPr="00FC19B1">
        <w:rPr>
          <w:rFonts w:ascii="Times New Roman" w:eastAsia="Calibri" w:hAnsi="Times New Roman" w:cs="Times New Roman"/>
          <w:lang w:val="es-ES" w:eastAsia="pl-PL" w:bidi="pl-PL"/>
        </w:rPr>
        <w:t xml:space="preserve">solo hasta 14 días después de la fecha de tu detención preventiva (art. 73). </w:t>
      </w:r>
    </w:p>
    <w:p w14:paraId="316442EC" w14:textId="77777777" w:rsidR="00DC51FB" w:rsidRPr="00FC19B1" w:rsidRDefault="00DC51FB" w:rsidP="00FC19B1">
      <w:pPr>
        <w:spacing w:after="0"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 xml:space="preserve">Durante la instrucción o la investigación, puedes exigir la presencia de tu defensor en los interrogatorios. Sin embargo, si tu defensor no asiste al interrogatorio, el interrogador </w:t>
      </w:r>
      <w:r w:rsidRPr="00FC19B1">
        <w:rPr>
          <w:rFonts w:ascii="Times New Roman" w:hAnsi="Times New Roman" w:cs="Times New Roman"/>
          <w:lang w:val="es-ES" w:eastAsia="pl-PL" w:bidi="pl-PL"/>
        </w:rPr>
        <w:t xml:space="preserve">aún podrá llevarlo </w:t>
      </w:r>
      <w:r w:rsidRPr="00FC19B1">
        <w:rPr>
          <w:rFonts w:ascii="Times New Roman" w:eastAsia="Calibri" w:hAnsi="Times New Roman" w:cs="Times New Roman"/>
          <w:lang w:val="es-ES" w:eastAsia="pl-PL" w:bidi="pl-PL"/>
        </w:rPr>
        <w:t xml:space="preserve">a cabo (art. 301). </w:t>
      </w:r>
    </w:p>
    <w:p w14:paraId="6E682BF4" w14:textId="77777777" w:rsidR="00DC51FB" w:rsidRPr="00FC19B1" w:rsidRDefault="00DC51FB" w:rsidP="00FC19B1">
      <w:pPr>
        <w:spacing w:after="99" w:line="360" w:lineRule="auto"/>
        <w:contextualSpacing/>
        <w:jc w:val="both"/>
        <w:rPr>
          <w:rStyle w:val="Bodytext2"/>
          <w:rFonts w:ascii="Times New Roman" w:hAnsi="Times New Roman" w:cs="Times New Roman"/>
          <w:color w:val="auto"/>
          <w:sz w:val="24"/>
          <w:szCs w:val="24"/>
          <w:lang w:val="es-ES"/>
        </w:rPr>
      </w:pPr>
    </w:p>
    <w:p w14:paraId="2D6B0FC6" w14:textId="77777777" w:rsidR="00DC51FB" w:rsidRPr="00FC19B1" w:rsidRDefault="00DC51FB" w:rsidP="00FC19B1">
      <w:pPr>
        <w:spacing w:after="99" w:line="360" w:lineRule="auto"/>
        <w:contextualSpacing/>
        <w:jc w:val="both"/>
        <w:rPr>
          <w:rStyle w:val="Bodytext2"/>
          <w:rFonts w:ascii="Times New Roman" w:hAnsi="Times New Roman" w:cs="Times New Roman"/>
          <w:b/>
          <w:bCs/>
          <w:color w:val="auto"/>
          <w:sz w:val="24"/>
          <w:szCs w:val="24"/>
          <w:lang w:val="es-ES"/>
        </w:rPr>
      </w:pPr>
      <w:r w:rsidRPr="00FC19B1">
        <w:rPr>
          <w:rStyle w:val="Bodytext2"/>
          <w:rFonts w:ascii="Times New Roman" w:hAnsi="Times New Roman" w:cs="Times New Roman"/>
          <w:color w:val="auto"/>
          <w:sz w:val="24"/>
          <w:szCs w:val="24"/>
          <w:lang w:val="es-ES"/>
        </w:rPr>
        <w:t>Un defensor de tu elección</w:t>
      </w:r>
    </w:p>
    <w:p w14:paraId="7F48FA90" w14:textId="77777777" w:rsidR="00DC51FB" w:rsidRPr="00FC19B1" w:rsidRDefault="00DC51FB" w:rsidP="00FC19B1">
      <w:pPr>
        <w:spacing w:after="99"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Puedes designar a un defensor por tu cuenta. En este caso, lo pagarás tú mismo(a). Puedes nombrar hasta tres defensores que te representen durante el proceso penal (art. 77).</w:t>
      </w:r>
    </w:p>
    <w:p w14:paraId="2DC16C23" w14:textId="77777777" w:rsidR="00DC51FB" w:rsidRPr="00FC19B1" w:rsidRDefault="00DC51FB" w:rsidP="00FC19B1">
      <w:pPr>
        <w:spacing w:after="99" w:line="360" w:lineRule="auto"/>
        <w:contextualSpacing/>
        <w:jc w:val="both"/>
        <w:rPr>
          <w:rFonts w:ascii="Times New Roman" w:eastAsia="Calibri" w:hAnsi="Times New Roman" w:cs="Times New Roman"/>
          <w:b/>
          <w:bCs/>
          <w:lang w:val="es-ES" w:eastAsia="pl-PL" w:bidi="pl-PL"/>
        </w:rPr>
      </w:pPr>
    </w:p>
    <w:p w14:paraId="705E3E13" w14:textId="77777777" w:rsidR="00DC51FB" w:rsidRPr="00FC19B1" w:rsidRDefault="00DC51FB" w:rsidP="00FC19B1">
      <w:pPr>
        <w:spacing w:after="99" w:line="360" w:lineRule="auto"/>
        <w:contextualSpacing/>
        <w:jc w:val="both"/>
        <w:rPr>
          <w:rFonts w:ascii="Times New Roman" w:eastAsia="Calibri" w:hAnsi="Times New Roman" w:cs="Times New Roman"/>
          <w:b/>
          <w:bCs/>
          <w:lang w:val="es-ES" w:eastAsia="pl-PL" w:bidi="pl-PL"/>
        </w:rPr>
      </w:pPr>
      <w:r w:rsidRPr="00FC19B1">
        <w:rPr>
          <w:rFonts w:ascii="Times New Roman" w:eastAsia="Calibri" w:hAnsi="Times New Roman" w:cs="Times New Roman"/>
          <w:b/>
          <w:bCs/>
          <w:lang w:val="es-ES" w:eastAsia="pl-PL" w:bidi="pl-PL"/>
        </w:rPr>
        <w:t>Defensor asignado por el tribunal - defensor de oficio</w:t>
      </w:r>
    </w:p>
    <w:p w14:paraId="6A80440E" w14:textId="77777777" w:rsidR="00DC51FB" w:rsidRPr="00FC19B1" w:rsidRDefault="00DC51FB" w:rsidP="00FC19B1">
      <w:pPr>
        <w:spacing w:after="99"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 xml:space="preserve">Si demuestras que no puedes costear un defensor (es decir, no puedes afrontar los costos sin perjudicar tu mantenimiento esencial y el de tu familia), </w:t>
      </w:r>
      <w:r w:rsidRPr="00FC19B1">
        <w:rPr>
          <w:rFonts w:ascii="Times New Roman" w:hAnsi="Times New Roman" w:cs="Times New Roman"/>
          <w:lang w:val="es-ES"/>
        </w:rPr>
        <w:t xml:space="preserve">el tribunal puede designarte uno de oficio </w:t>
      </w:r>
      <w:r w:rsidRPr="00FC19B1">
        <w:rPr>
          <w:rFonts w:ascii="Times New Roman" w:eastAsia="Calibri" w:hAnsi="Times New Roman" w:cs="Times New Roman"/>
          <w:lang w:val="es-ES" w:eastAsia="pl-PL" w:bidi="pl-PL"/>
        </w:rPr>
        <w:t xml:space="preserve">para todo el procedimiento o para una </w:t>
      </w:r>
      <w:r w:rsidRPr="00FC19B1">
        <w:rPr>
          <w:rFonts w:ascii="Times New Roman" w:hAnsi="Times New Roman" w:cs="Times New Roman"/>
          <w:lang w:val="es-ES" w:eastAsia="pl-PL" w:bidi="pl-PL"/>
        </w:rPr>
        <w:t>medida procesal concreta</w:t>
      </w:r>
      <w:r w:rsidRPr="00FC19B1">
        <w:rPr>
          <w:rFonts w:ascii="Times New Roman" w:eastAsia="Calibri" w:hAnsi="Times New Roman" w:cs="Times New Roman"/>
          <w:lang w:val="es-ES" w:eastAsia="pl-PL" w:bidi="pl-PL"/>
        </w:rPr>
        <w:t xml:space="preserve"> (art. 78 § 1 y la).</w:t>
      </w:r>
    </w:p>
    <w:p w14:paraId="55BFAF51" w14:textId="77777777" w:rsidR="00DC51FB" w:rsidRPr="00FC19B1" w:rsidRDefault="00DC51FB" w:rsidP="00FC19B1">
      <w:pPr>
        <w:spacing w:after="99" w:line="360" w:lineRule="auto"/>
        <w:contextualSpacing/>
        <w:jc w:val="both"/>
        <w:rPr>
          <w:rFonts w:ascii="Times New Roman" w:eastAsia="Calibri" w:hAnsi="Times New Roman" w:cs="Times New Roman"/>
          <w:lang w:val="es-ES" w:eastAsia="pl-PL" w:bidi="pl-PL"/>
        </w:rPr>
      </w:pPr>
    </w:p>
    <w:p w14:paraId="35B59549"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99"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b/>
          <w:bCs/>
          <w:lang w:val="es-ES" w:eastAsia="pl-PL" w:bidi="pl-PL"/>
        </w:rPr>
        <w:t>Recuerda:</w:t>
      </w:r>
      <w:r w:rsidRPr="00FC19B1">
        <w:rPr>
          <w:rFonts w:ascii="Times New Roman" w:eastAsia="Calibri" w:hAnsi="Times New Roman" w:cs="Times New Roman"/>
          <w:lang w:val="es-ES" w:eastAsia="pl-PL" w:bidi="pl-PL"/>
        </w:rPr>
        <w:t xml:space="preserve"> </w:t>
      </w:r>
      <w:r w:rsidRPr="00FC19B1">
        <w:rPr>
          <w:rFonts w:ascii="Times New Roman" w:hAnsi="Times New Roman" w:cs="Times New Roman"/>
          <w:lang w:val="es-ES" w:eastAsia="pl-PL" w:bidi="pl-PL"/>
        </w:rPr>
        <w:t>cuando solicites un defensor de oficio, siempre</w:t>
      </w:r>
      <w:r w:rsidRPr="00FC19B1">
        <w:rPr>
          <w:rFonts w:ascii="Times New Roman" w:eastAsia="Calibri" w:hAnsi="Times New Roman" w:cs="Times New Roman"/>
          <w:lang w:val="es-ES" w:eastAsia="pl-PL" w:bidi="pl-PL"/>
        </w:rPr>
        <w:t xml:space="preserve"> debes adjuntar pruebas que demuestren que no puedes costear </w:t>
      </w:r>
      <w:r w:rsidRPr="00FC19B1">
        <w:rPr>
          <w:rFonts w:ascii="Times New Roman" w:hAnsi="Times New Roman" w:cs="Times New Roman"/>
          <w:lang w:val="es-ES" w:eastAsia="pl-PL" w:bidi="pl-PL"/>
        </w:rPr>
        <w:t xml:space="preserve">abogado </w:t>
      </w:r>
      <w:r w:rsidRPr="00FC19B1">
        <w:rPr>
          <w:rFonts w:ascii="Times New Roman" w:eastAsia="Calibri" w:hAnsi="Times New Roman" w:cs="Times New Roman"/>
          <w:lang w:val="es-ES" w:eastAsia="pl-PL" w:bidi="pl-PL"/>
        </w:rPr>
        <w:t>por tu cuenta.</w:t>
      </w:r>
    </w:p>
    <w:p w14:paraId="122CE9B7" w14:textId="77777777" w:rsidR="00DC51FB" w:rsidRPr="00FC19B1" w:rsidRDefault="00DC51FB" w:rsidP="00FC19B1">
      <w:pPr>
        <w:spacing w:after="60" w:line="360" w:lineRule="auto"/>
        <w:contextualSpacing/>
        <w:jc w:val="both"/>
        <w:rPr>
          <w:rFonts w:ascii="Times New Roman" w:eastAsia="Calibri" w:hAnsi="Times New Roman" w:cs="Times New Roman"/>
          <w:lang w:val="es-ES" w:eastAsia="pl-PL" w:bidi="pl-PL"/>
        </w:rPr>
      </w:pPr>
      <w:r w:rsidRPr="00FC19B1">
        <w:rPr>
          <w:rStyle w:val="Bodytext2"/>
          <w:rFonts w:ascii="Times New Roman" w:hAnsi="Times New Roman" w:cs="Times New Roman"/>
          <w:color w:val="auto"/>
          <w:sz w:val="24"/>
          <w:szCs w:val="24"/>
          <w:lang w:val="es-ES"/>
        </w:rPr>
        <w:t>Durante las diligencias previas al juicio</w:t>
      </w:r>
      <w:r w:rsidRPr="00FC19B1">
        <w:rPr>
          <w:rFonts w:ascii="Times New Roman" w:hAnsi="Times New Roman" w:cs="Times New Roman"/>
          <w:b/>
          <w:bCs/>
          <w:lang w:val="es-ES" w:eastAsia="pl-PL" w:bidi="pl-PL"/>
        </w:rPr>
        <w:t>,</w:t>
      </w:r>
      <w:r w:rsidRPr="00FC19B1">
        <w:rPr>
          <w:rFonts w:ascii="Times New Roman" w:hAnsi="Times New Roman" w:cs="Times New Roman"/>
          <w:lang w:val="es-ES" w:eastAsia="pl-PL" w:bidi="pl-PL"/>
        </w:rPr>
        <w:t xml:space="preserve"> </w:t>
      </w:r>
      <w:r w:rsidRPr="00FC19B1">
        <w:rPr>
          <w:rFonts w:ascii="Times New Roman" w:eastAsia="Calibri" w:hAnsi="Times New Roman" w:cs="Times New Roman"/>
          <w:lang w:val="es-ES" w:eastAsia="pl-PL" w:bidi="pl-PL"/>
        </w:rPr>
        <w:t xml:space="preserve">puedes presentar dicha solicitud ante la autoridad encargada del procedimiento, que la remitirá al tribunal, o puedes hacerlo directamente al tribunal. Asegúrate de especificar a qué caso se refiere la solicitud. </w:t>
      </w:r>
    </w:p>
    <w:p w14:paraId="600EBCF0" w14:textId="77777777" w:rsidR="00DC51FB" w:rsidRPr="00FC19B1" w:rsidRDefault="00DC51FB" w:rsidP="00FC19B1">
      <w:pPr>
        <w:spacing w:after="60" w:line="360" w:lineRule="auto"/>
        <w:contextualSpacing/>
        <w:jc w:val="both"/>
        <w:rPr>
          <w:rFonts w:ascii="Times New Roman" w:eastAsia="Calibri" w:hAnsi="Times New Roman" w:cs="Times New Roman"/>
          <w:lang w:val="es-ES" w:eastAsia="pl-PL" w:bidi="pl-PL"/>
        </w:rPr>
      </w:pPr>
      <w:r w:rsidRPr="00FC19B1">
        <w:rPr>
          <w:rStyle w:val="Bodytext2"/>
          <w:rFonts w:ascii="Times New Roman" w:hAnsi="Times New Roman" w:cs="Times New Roman"/>
          <w:color w:val="auto"/>
          <w:sz w:val="24"/>
          <w:szCs w:val="24"/>
          <w:lang w:val="es-ES"/>
        </w:rPr>
        <w:t>Durante las diligencias previas al juicio</w:t>
      </w:r>
      <w:r w:rsidRPr="00FC19B1">
        <w:rPr>
          <w:rFonts w:ascii="Times New Roman" w:hAnsi="Times New Roman" w:cs="Times New Roman"/>
          <w:b/>
          <w:bCs/>
          <w:lang w:val="es-ES" w:eastAsia="pl-PL" w:bidi="pl-PL"/>
        </w:rPr>
        <w:t>,</w:t>
      </w:r>
      <w:r w:rsidRPr="00FC19B1">
        <w:rPr>
          <w:rFonts w:ascii="Times New Roman" w:hAnsi="Times New Roman" w:cs="Times New Roman"/>
          <w:lang w:val="es-ES" w:eastAsia="pl-PL" w:bidi="pl-PL"/>
        </w:rPr>
        <w:t xml:space="preserve"> </w:t>
      </w:r>
      <w:r w:rsidRPr="00FC19B1">
        <w:rPr>
          <w:rFonts w:ascii="Times New Roman" w:eastAsia="Calibri" w:hAnsi="Times New Roman" w:cs="Times New Roman"/>
          <w:lang w:val="es-ES" w:eastAsia="pl-PL" w:bidi="pl-PL"/>
        </w:rPr>
        <w:t>puedes presentar dicha solicitud dentro de los 7 días posteriores a la recepción de la copia de acta de acusación.</w:t>
      </w:r>
    </w:p>
    <w:p w14:paraId="30732A84"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 xml:space="preserve">Si no cumples con este plazo o no adjuntas pruebas, tu solicitud solo puede ser considerada después de la fecha de la audiencia o </w:t>
      </w:r>
      <w:r w:rsidRPr="00FC19B1">
        <w:rPr>
          <w:rStyle w:val="Bodytext2"/>
          <w:rFonts w:ascii="Times New Roman" w:hAnsi="Times New Roman" w:cs="Times New Roman"/>
          <w:color w:val="auto"/>
          <w:sz w:val="24"/>
          <w:szCs w:val="24"/>
          <w:lang w:val="es-ES"/>
        </w:rPr>
        <w:t>sesión</w:t>
      </w:r>
      <w:r w:rsidRPr="00FC19B1">
        <w:rPr>
          <w:rFonts w:ascii="Times New Roman" w:hAnsi="Times New Roman" w:cs="Times New Roman"/>
          <w:lang w:val="es-ES" w:eastAsia="pl-PL" w:bidi="pl-PL"/>
        </w:rPr>
        <w:t xml:space="preserve"> (art. 338b § 1 y 2).</w:t>
      </w:r>
    </w:p>
    <w:p w14:paraId="4D32CFF0"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 xml:space="preserve">Si consideras que necesitas un defensor de oficio solo </w:t>
      </w:r>
      <w:r w:rsidRPr="00FC19B1">
        <w:rPr>
          <w:rStyle w:val="Bodytext2"/>
          <w:rFonts w:ascii="Times New Roman" w:hAnsi="Times New Roman" w:cs="Times New Roman"/>
          <w:color w:val="auto"/>
          <w:sz w:val="24"/>
          <w:szCs w:val="24"/>
          <w:lang w:val="es-ES"/>
        </w:rPr>
        <w:t>después de la primera audiencia o sesión</w:t>
      </w:r>
      <w:r w:rsidRPr="00FC19B1">
        <w:rPr>
          <w:rFonts w:ascii="Times New Roman" w:hAnsi="Times New Roman" w:cs="Times New Roman"/>
          <w:lang w:val="es-ES" w:eastAsia="pl-PL" w:bidi="pl-PL"/>
        </w:rPr>
        <w:t xml:space="preserve">, solicítalo </w:t>
      </w:r>
      <w:r w:rsidRPr="00FC19B1">
        <w:rPr>
          <w:rFonts w:ascii="Times New Roman" w:eastAsia="Calibri" w:hAnsi="Times New Roman" w:cs="Times New Roman"/>
          <w:lang w:val="es-ES" w:eastAsia="pl-PL" w:bidi="pl-PL"/>
        </w:rPr>
        <w:t xml:space="preserve">en un plazo que permita al tribunal decidir sobre </w:t>
      </w:r>
      <w:r w:rsidRPr="00FC19B1">
        <w:rPr>
          <w:rFonts w:ascii="Times New Roman" w:hAnsi="Times New Roman" w:cs="Times New Roman"/>
          <w:lang w:val="es-ES" w:eastAsia="pl-PL" w:bidi="pl-PL"/>
        </w:rPr>
        <w:t xml:space="preserve">tu solicitud </w:t>
      </w:r>
      <w:r w:rsidRPr="00FC19B1">
        <w:rPr>
          <w:rFonts w:ascii="Times New Roman" w:eastAsia="Calibri" w:hAnsi="Times New Roman" w:cs="Times New Roman"/>
          <w:lang w:val="es-ES" w:eastAsia="pl-PL" w:bidi="pl-PL"/>
        </w:rPr>
        <w:t xml:space="preserve">antes de la próxima audiencia o sesión </w:t>
      </w:r>
      <w:r w:rsidRPr="00FC19B1">
        <w:rPr>
          <w:rFonts w:ascii="Times New Roman" w:hAnsi="Times New Roman" w:cs="Times New Roman"/>
          <w:lang w:val="es-ES" w:eastAsia="pl-PL" w:bidi="pl-PL"/>
        </w:rPr>
        <w:t>(art. 338b § 3).</w:t>
      </w:r>
    </w:p>
    <w:p w14:paraId="315FF6B1" w14:textId="77777777" w:rsidR="00DC51FB" w:rsidRPr="00FC19B1" w:rsidRDefault="00DC51FB" w:rsidP="00FC19B1">
      <w:pPr>
        <w:spacing w:after="0" w:line="360" w:lineRule="auto"/>
        <w:contextualSpacing/>
        <w:rPr>
          <w:rFonts w:ascii="Times New Roman" w:hAnsi="Times New Roman" w:cs="Times New Roman"/>
          <w:lang w:val="es-ES"/>
        </w:rPr>
      </w:pPr>
      <w:r w:rsidRPr="00FC19B1">
        <w:rPr>
          <w:rFonts w:ascii="Times New Roman" w:hAnsi="Times New Roman" w:cs="Times New Roman"/>
          <w:lang w:val="es-ES" w:eastAsia="pl-PL" w:bidi="pl-PL"/>
        </w:rPr>
        <w:t>En caso de condena o de sobreseimiento condicional del procedimiento, se te podrá condenar al pago de las costas del defensor de oficio (art. 627 y art. 629).</w:t>
      </w:r>
    </w:p>
    <w:p w14:paraId="4987A93C" w14:textId="77777777" w:rsidR="00DC51FB" w:rsidRPr="00FC19B1" w:rsidRDefault="00DC51FB" w:rsidP="00FC19B1">
      <w:pPr>
        <w:keepNext/>
        <w:keepLines/>
        <w:widowControl w:val="0"/>
        <w:tabs>
          <w:tab w:val="left" w:pos="387"/>
        </w:tabs>
        <w:spacing w:after="94" w:line="360" w:lineRule="auto"/>
        <w:contextualSpacing/>
        <w:jc w:val="both"/>
        <w:outlineLvl w:val="1"/>
        <w:rPr>
          <w:rStyle w:val="Heading2"/>
          <w:rFonts w:ascii="Times New Roman" w:hAnsi="Times New Roman" w:cs="Times New Roman"/>
          <w:color w:val="auto"/>
          <w:sz w:val="24"/>
          <w:szCs w:val="24"/>
          <w:lang w:val="es-ES"/>
        </w:rPr>
      </w:pPr>
      <w:bookmarkStart w:id="1" w:name="bookmark4"/>
    </w:p>
    <w:p w14:paraId="747440D4" w14:textId="77777777" w:rsidR="00DC51FB" w:rsidRPr="00FC19B1" w:rsidRDefault="00DC51FB" w:rsidP="00FC19B1">
      <w:pPr>
        <w:keepNext/>
        <w:keepLines/>
        <w:widowControl w:val="0"/>
        <w:tabs>
          <w:tab w:val="left" w:pos="387"/>
        </w:tabs>
        <w:spacing w:after="94" w:line="360" w:lineRule="auto"/>
        <w:contextualSpacing/>
        <w:jc w:val="both"/>
        <w:outlineLvl w:val="1"/>
        <w:rPr>
          <w:rFonts w:ascii="Times New Roman" w:hAnsi="Times New Roman" w:cs="Times New Roman"/>
          <w:lang w:val="es-ES"/>
        </w:rPr>
      </w:pPr>
      <w:r w:rsidRPr="00FC19B1">
        <w:rPr>
          <w:rStyle w:val="Heading2"/>
          <w:rFonts w:ascii="Times New Roman" w:hAnsi="Times New Roman" w:cs="Times New Roman"/>
          <w:color w:val="auto"/>
          <w:sz w:val="24"/>
          <w:szCs w:val="24"/>
          <w:lang w:val="es-ES"/>
        </w:rPr>
        <w:t>3. Tienes derecho a la asistencia de un intérprete</w:t>
      </w:r>
      <w:bookmarkEnd w:id="1"/>
    </w:p>
    <w:p w14:paraId="2AE803A5"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Si no sabes polaco lo suficientemente bien, puedes recurrir a la ayuda de un intérprete.</w:t>
      </w:r>
    </w:p>
    <w:p w14:paraId="21E0A9E2"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lastRenderedPageBreak/>
        <w:t>Tú o tu defensor podéis solicitar asistencia gratuita de un intérprete. Éste te ayudará a comunicarte con tu defensor en todas las etapas del procedimiento en las que participes (art. 72 § 1 y 2).</w:t>
      </w:r>
    </w:p>
    <w:p w14:paraId="42E20DE1"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Durante el procedimiento, recibirás la traducción de documentos y decisiones como:</w:t>
      </w:r>
    </w:p>
    <w:p w14:paraId="753B5537"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1) la resolución sobre la presentación, complementación o modificación de cargos;</w:t>
      </w:r>
    </w:p>
    <w:p w14:paraId="00410F14"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2) el acta de acusación;</w:t>
      </w:r>
    </w:p>
    <w:p w14:paraId="5AEC1B8D"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3) las resoluciones susceptibles de recurso;</w:t>
      </w:r>
    </w:p>
    <w:p w14:paraId="2EE9CD49"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4) las resoluciones que pongan fin al proceso.</w:t>
      </w:r>
    </w:p>
    <w:p w14:paraId="5A75424F"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La autoridad que lleva a cabo el procedimiento puede optar por leerte (anunciarte) la resolución traducida que finaliza el procedimiento, siempre que estés de acuerdo y que ésta no sea apelable (art. 72 § 3).</w:t>
      </w:r>
    </w:p>
    <w:p w14:paraId="5F7DB3E7" w14:textId="77777777" w:rsidR="00DC51FB" w:rsidRPr="00FC19B1" w:rsidRDefault="00DC51FB" w:rsidP="00FC19B1">
      <w:pPr>
        <w:spacing w:after="60" w:line="360" w:lineRule="auto"/>
        <w:contextualSpacing/>
        <w:rPr>
          <w:rFonts w:ascii="Times New Roman" w:hAnsi="Times New Roman" w:cs="Times New Roman"/>
          <w:lang w:val="es-ES" w:eastAsia="pl-PL" w:bidi="pl-PL"/>
        </w:rPr>
      </w:pPr>
    </w:p>
    <w:p w14:paraId="746B91A3" w14:textId="77777777" w:rsidR="00DC51FB" w:rsidRPr="00FC19B1" w:rsidRDefault="00DC51FB" w:rsidP="00FC19B1">
      <w:pPr>
        <w:spacing w:after="60" w:line="360" w:lineRule="auto"/>
        <w:contextualSpacing/>
        <w:jc w:val="both"/>
        <w:rPr>
          <w:rFonts w:ascii="Times New Roman" w:hAnsi="Times New Roman" w:cs="Times New Roman"/>
          <w:b/>
          <w:bCs/>
          <w:lang w:val="es-ES" w:eastAsia="pl-PL" w:bidi="pl-PL"/>
        </w:rPr>
      </w:pPr>
      <w:r w:rsidRPr="00FC19B1">
        <w:rPr>
          <w:rFonts w:ascii="Times New Roman" w:hAnsi="Times New Roman" w:cs="Times New Roman"/>
          <w:b/>
          <w:bCs/>
          <w:lang w:val="es-ES" w:eastAsia="pl-PL" w:bidi="pl-PL"/>
        </w:rPr>
        <w:t>4. Tienes derecho a acceder a la información sobre los cargos</w:t>
      </w:r>
    </w:p>
    <w:p w14:paraId="5DBF098F"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Durante la fase de instrucción, tienes derecho a saber el motivo por el que estás imputado:</w:t>
      </w:r>
    </w:p>
    <w:p w14:paraId="04DE89CC"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1) cuáles son los cargos y si estos se complementan o cambian durante el procedimiento;</w:t>
      </w:r>
    </w:p>
    <w:p w14:paraId="6858F83A"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2) qué pena te puede ser impuesta y en base a qué disposiciones legales (art. 313 § 1, art. 314, art. 325g § 2 y art. 308).</w:t>
      </w:r>
    </w:p>
    <w:p w14:paraId="3837ADDA" w14:textId="77777777" w:rsidR="00DC51FB" w:rsidRPr="00FC19B1" w:rsidRDefault="00DC51FB" w:rsidP="00FC19B1">
      <w:pPr>
        <w:spacing w:after="303"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Hasta que se te notifique la fecha de revisión de los materiales del procedimiento, tienes derecho a solicitar que el instructor te presente verbalmente los motivos de los cargos, así como que te redacte por escrito los fundamentos de derecho de los cargos imputados en un plazo de 14 días (art. 313 § 3).</w:t>
      </w:r>
    </w:p>
    <w:p w14:paraId="4B15436F" w14:textId="77777777" w:rsidR="00DC51FB" w:rsidRPr="00FC19B1" w:rsidRDefault="00DC51FB" w:rsidP="00FC19B1">
      <w:pPr>
        <w:spacing w:after="60" w:line="360" w:lineRule="auto"/>
        <w:contextualSpacing/>
        <w:jc w:val="both"/>
        <w:rPr>
          <w:rFonts w:ascii="Times New Roman" w:hAnsi="Times New Roman" w:cs="Times New Roman"/>
          <w:b/>
          <w:bCs/>
          <w:lang w:val="es-ES" w:eastAsia="pl-PL" w:bidi="pl-PL"/>
        </w:rPr>
      </w:pPr>
    </w:p>
    <w:p w14:paraId="09C8DEDB" w14:textId="77777777" w:rsidR="00DC51FB" w:rsidRPr="00FC19B1" w:rsidRDefault="00DC51FB" w:rsidP="00FC19B1">
      <w:pPr>
        <w:spacing w:after="60" w:line="360" w:lineRule="auto"/>
        <w:contextualSpacing/>
        <w:jc w:val="both"/>
        <w:rPr>
          <w:rFonts w:ascii="Times New Roman" w:hAnsi="Times New Roman" w:cs="Times New Roman"/>
          <w:b/>
          <w:bCs/>
          <w:lang w:val="es-ES" w:eastAsia="pl-PL" w:bidi="pl-PL"/>
        </w:rPr>
      </w:pPr>
      <w:r w:rsidRPr="00FC19B1">
        <w:rPr>
          <w:rFonts w:ascii="Times New Roman" w:hAnsi="Times New Roman" w:cs="Times New Roman"/>
          <w:b/>
          <w:bCs/>
          <w:lang w:val="es-ES" w:eastAsia="pl-PL" w:bidi="pl-PL"/>
        </w:rPr>
        <w:t>5. Tienes derecho a presentar pruebas y participar en las diligencias</w:t>
      </w:r>
    </w:p>
    <w:p w14:paraId="7A1A2FC0"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Puedes solicitar que la autoridad encargada del procedimiento practique una diligencia que genere una prueba en el caso, como interrogar a un testigo, obtener un documento o admitir la opinión de un perito (art. 315 § 1) - esto se conoce como una solicitud de prueba.</w:t>
      </w:r>
    </w:p>
    <w:p w14:paraId="59A6E1CB"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p>
    <w:p w14:paraId="72310B20"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El instructor puede rechazar tu solicitud de prueba si:</w:t>
      </w:r>
    </w:p>
    <w:p w14:paraId="5E84B76B"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1) la prueba es inadmisible;</w:t>
      </w:r>
    </w:p>
    <w:p w14:paraId="247D7A2F"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2) la circunstancia que se pretende probar no es relevante para la resolución del caso o ya ha sido probada de acuerdo con las afirmaciones del solicitante;</w:t>
      </w:r>
    </w:p>
    <w:p w14:paraId="7CC52FA4"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3) la prueba es inútil para determinar la circunstancia en cuestión;</w:t>
      </w:r>
    </w:p>
    <w:p w14:paraId="33C1AD3A"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4) la diligencia de prueba no puede ser practicada;</w:t>
      </w:r>
    </w:p>
    <w:p w14:paraId="281F4D48"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5) la solicitud de prueba tiene claramente como objetivo prolongar el procedimiento;</w:t>
      </w:r>
    </w:p>
    <w:p w14:paraId="53E49A5F"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lastRenderedPageBreak/>
        <w:t>6) la solicitud de prueba fue presentada después de la fecha límite establecida por la autoridad procesal, de la cual la parte solicitante fue debidamente informada (art. 170 §1).</w:t>
      </w:r>
    </w:p>
    <w:p w14:paraId="040318D7" w14:textId="77777777" w:rsidR="00DC51FB" w:rsidRPr="00FC19B1" w:rsidRDefault="00DC51FB" w:rsidP="00FC19B1">
      <w:pPr>
        <w:spacing w:after="60" w:line="360" w:lineRule="auto"/>
        <w:contextualSpacing/>
        <w:rPr>
          <w:rFonts w:ascii="Times New Roman" w:hAnsi="Times New Roman" w:cs="Times New Roman"/>
          <w:lang w:val="es-ES" w:eastAsia="pl-PL" w:bidi="pl-PL"/>
        </w:rPr>
      </w:pPr>
    </w:p>
    <w:p w14:paraId="05DC99EB"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La autoridad encargada del procedimiento no puede negarte a ti ni a tu defensor la participación en una diligencia si has solicitado su práctica (art. 315 § 2).</w:t>
      </w:r>
    </w:p>
    <w:p w14:paraId="7B098D7B"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Si durante la instrucción o la investigación solicitas participar en otras diligencias, el fiscal puede negarte esa participación debido a un interés importante del procedimiento. Si estás privado(a) de libertad, el fiscal puede negarte la participación si tu traslado causaría dificultades significativas (art. 317).</w:t>
      </w:r>
    </w:p>
    <w:p w14:paraId="3885A1F8" w14:textId="77777777" w:rsidR="00DC51FB" w:rsidRPr="00FC19B1" w:rsidRDefault="00DC51FB" w:rsidP="00FC19B1">
      <w:pPr>
        <w:spacing w:after="60" w:line="360" w:lineRule="auto"/>
        <w:contextualSpacing/>
        <w:rPr>
          <w:rFonts w:ascii="Times New Roman" w:hAnsi="Times New Roman" w:cs="Times New Roman"/>
          <w:lang w:val="es-ES" w:eastAsia="pl-PL" w:bidi="pl-PL"/>
        </w:rPr>
      </w:pPr>
      <w:r w:rsidRPr="00FC19B1">
        <w:rPr>
          <w:rFonts w:ascii="Times New Roman" w:hAnsi="Times New Roman" w:cs="Times New Roman"/>
          <w:lang w:val="es-ES" w:eastAsia="pl-PL" w:bidi="pl-PL"/>
        </w:rPr>
        <w:t>Si la práctica de alguna diligencia no puede repetirse durante el juicio, tú y tu defensor podéis participar en ella, a menos que la demora en su realización provoque la pérdida o distorsión de la prueba (art. 316 § 1).</w:t>
      </w:r>
    </w:p>
    <w:p w14:paraId="79A36B5A" w14:textId="77777777" w:rsidR="00DC51FB" w:rsidRPr="00FC19B1" w:rsidRDefault="00DC51FB" w:rsidP="00FC19B1">
      <w:pPr>
        <w:spacing w:after="60" w:line="360" w:lineRule="auto"/>
        <w:contextualSpacing/>
        <w:rPr>
          <w:rFonts w:ascii="Times New Roman" w:hAnsi="Times New Roman" w:cs="Times New Roman"/>
          <w:lang w:val="es-ES" w:eastAsia="pl-PL" w:bidi="pl-PL"/>
        </w:rPr>
      </w:pPr>
    </w:p>
    <w:p w14:paraId="0D5A47BF"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0" w:line="360" w:lineRule="auto"/>
        <w:contextualSpacing/>
        <w:rPr>
          <w:rFonts w:ascii="Times New Roman" w:hAnsi="Times New Roman" w:cs="Times New Roman"/>
          <w:lang w:val="es-ES" w:eastAsia="pl-PL" w:bidi="pl-PL"/>
        </w:rPr>
      </w:pPr>
      <w:r w:rsidRPr="00FC19B1">
        <w:rPr>
          <w:rFonts w:ascii="Times New Roman" w:hAnsi="Times New Roman" w:cs="Times New Roman"/>
          <w:lang w:val="es-ES" w:eastAsia="pl-PL" w:bidi="pl-PL"/>
        </w:rPr>
        <w:t>Si existe la preocupación de que un testigo no pueda ser interrogado durante el juicio, puedes solicitar su interrogatorio por el tribunal o pedirle al fiscal que gestione el interrogatorio del testigo en esta modalidad (art. 316 § 3).</w:t>
      </w:r>
    </w:p>
    <w:p w14:paraId="5B7F1B2A" w14:textId="77777777" w:rsidR="00DC51FB" w:rsidRPr="00FC19B1" w:rsidRDefault="00DC51FB" w:rsidP="00FC19B1">
      <w:pPr>
        <w:spacing w:after="60" w:line="360" w:lineRule="auto"/>
        <w:contextualSpacing/>
        <w:rPr>
          <w:rFonts w:ascii="Times New Roman" w:hAnsi="Times New Roman" w:cs="Times New Roman"/>
          <w:lang w:val="es-ES" w:eastAsia="pl-PL" w:bidi="pl-PL"/>
        </w:rPr>
      </w:pPr>
    </w:p>
    <w:p w14:paraId="3641FD9D" w14:textId="77777777" w:rsidR="00DC51FB" w:rsidRPr="00FC19B1" w:rsidRDefault="00DC51FB" w:rsidP="00FC19B1">
      <w:pPr>
        <w:spacing w:after="6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Si se admite como prueba en el procedimiento un dictamen pericial, tú y tu defensor tenéis derecho a revisar el dictamen pericial escrito y a participar en el interrogatorio del perito (art. 318).</w:t>
      </w:r>
    </w:p>
    <w:p w14:paraId="1CAB4455" w14:textId="77777777" w:rsidR="00DC51FB" w:rsidRPr="00FC19B1" w:rsidRDefault="00DC51FB" w:rsidP="00FC19B1">
      <w:pPr>
        <w:spacing w:after="60" w:line="360" w:lineRule="auto"/>
        <w:contextualSpacing/>
        <w:jc w:val="both"/>
        <w:rPr>
          <w:rFonts w:ascii="Times New Roman" w:hAnsi="Times New Roman" w:cs="Times New Roman"/>
          <w:b/>
          <w:bCs/>
          <w:lang w:val="es-ES" w:eastAsia="pl-PL" w:bidi="pl-PL"/>
        </w:rPr>
      </w:pPr>
    </w:p>
    <w:p w14:paraId="7169319D" w14:textId="77777777" w:rsidR="00DC51FB" w:rsidRPr="00FC19B1" w:rsidRDefault="00DC51FB" w:rsidP="00FC19B1">
      <w:pPr>
        <w:spacing w:after="60" w:line="360" w:lineRule="auto"/>
        <w:contextualSpacing/>
        <w:jc w:val="both"/>
        <w:rPr>
          <w:rStyle w:val="Bodytext3"/>
          <w:rFonts w:ascii="Times New Roman" w:hAnsi="Times New Roman" w:cs="Times New Roman"/>
          <w:color w:val="auto"/>
          <w:sz w:val="24"/>
          <w:szCs w:val="24"/>
          <w:lang w:val="es-ES"/>
        </w:rPr>
      </w:pPr>
      <w:r w:rsidRPr="00FC19B1">
        <w:rPr>
          <w:rFonts w:ascii="Times New Roman" w:hAnsi="Times New Roman" w:cs="Times New Roman"/>
          <w:b/>
          <w:bCs/>
          <w:lang w:val="es-ES" w:eastAsia="pl-PL" w:bidi="pl-PL"/>
        </w:rPr>
        <w:t>6. Tienes</w:t>
      </w:r>
      <w:r w:rsidRPr="00FC19B1">
        <w:rPr>
          <w:rStyle w:val="Bodytext3"/>
          <w:rFonts w:ascii="Times New Roman" w:hAnsi="Times New Roman" w:cs="Times New Roman"/>
          <w:color w:val="auto"/>
          <w:sz w:val="24"/>
          <w:szCs w:val="24"/>
          <w:lang w:val="es-ES"/>
        </w:rPr>
        <w:t xml:space="preserve"> derecho de acceso al expediente del caso</w:t>
      </w:r>
    </w:p>
    <w:p w14:paraId="6BA151D6"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 xml:space="preserve">En cualquier momento de la instrucción o de la investigación, </w:t>
      </w:r>
      <w:r w:rsidRPr="00FC19B1">
        <w:rPr>
          <w:rFonts w:ascii="Times New Roman" w:hAnsi="Times New Roman" w:cs="Times New Roman"/>
          <w:lang w:val="es-ES" w:eastAsia="pl-PL" w:bidi="pl-PL"/>
        </w:rPr>
        <w:t>incluso después de que se haya cerrado</w:t>
      </w:r>
      <w:r w:rsidRPr="00FC19B1">
        <w:rPr>
          <w:rFonts w:ascii="Times New Roman" w:hAnsi="Times New Roman" w:cs="Times New Roman"/>
          <w:lang w:val="es-ES"/>
        </w:rPr>
        <w:t>, puedes solicitar acceso al expediente del caso. También puedes solicitar extractos y copias de los documentos o hacerlos tú mismo(a) (por ejemplo, fotocopias). La autoridad encargada de la instrucción o la investigación puede denegarte el acceso al expediente del caso por razones de interés estatal o para proteger el curso del procedimiento. El expediente también puede estar disponible en formato electrónico.</w:t>
      </w:r>
    </w:p>
    <w:p w14:paraId="26CD7E0C"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Si antes de que el caso sea remitido al tribunal, la autoridad de instrucción presenta una solicitud de detención preventiva o la prórroga de la misma, tú y tu defensor tendréis acceso al expediente en la parte que contiene las pruebas adjuntadas a la solicitud. Si existe un riesgo fundado para la vida, integridad física o libertad de un testigo o de una persona cercana a él, las declaraciones de ese testigo no te serán facilitadas (art. 156 § 5 y § 5a).</w:t>
      </w:r>
    </w:p>
    <w:p w14:paraId="4929CC10"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lastRenderedPageBreak/>
        <w:t xml:space="preserve">Una vez que el caso sea remitido al tribunal, tú y tu defensor tendréis pleno acceso al expediente y podréis obtener copias y extractos de los documentos solicitados, o bien hacerlos por cuenta propia (por ejemplo, fotocopias). Si es técnicamente posible, la información del expediente también puede ser accesible a través de un sistema </w:t>
      </w:r>
      <w:proofErr w:type="spellStart"/>
      <w:r w:rsidRPr="00FC19B1">
        <w:rPr>
          <w:rFonts w:ascii="Times New Roman" w:hAnsi="Times New Roman" w:cs="Times New Roman"/>
          <w:lang w:val="es-ES"/>
        </w:rPr>
        <w:t>teleinformático</w:t>
      </w:r>
      <w:proofErr w:type="spellEnd"/>
      <w:r w:rsidRPr="00FC19B1">
        <w:rPr>
          <w:rFonts w:ascii="Times New Roman" w:hAnsi="Times New Roman" w:cs="Times New Roman"/>
          <w:lang w:val="es-ES"/>
        </w:rPr>
        <w:t xml:space="preserve"> (art. 156 § 1).</w:t>
      </w:r>
      <w:bookmarkStart w:id="2" w:name="bookmark7"/>
    </w:p>
    <w:p w14:paraId="63866DC8" w14:textId="77777777" w:rsidR="00DC51FB" w:rsidRPr="00FC19B1" w:rsidRDefault="00DC51FB" w:rsidP="00FC19B1">
      <w:pPr>
        <w:spacing w:after="64" w:line="360" w:lineRule="auto"/>
        <w:contextualSpacing/>
        <w:jc w:val="both"/>
        <w:rPr>
          <w:rFonts w:ascii="Times New Roman" w:hAnsi="Times New Roman" w:cs="Times New Roman"/>
          <w:lang w:val="es-ES"/>
        </w:rPr>
      </w:pPr>
    </w:p>
    <w:p w14:paraId="372E880B" w14:textId="77777777" w:rsidR="00DC51FB" w:rsidRPr="00FC19B1" w:rsidRDefault="00DC51FB" w:rsidP="00FC19B1">
      <w:pPr>
        <w:spacing w:after="64" w:line="360" w:lineRule="auto"/>
        <w:contextualSpacing/>
        <w:jc w:val="both"/>
        <w:rPr>
          <w:rFonts w:ascii="Times New Roman" w:hAnsi="Times New Roman" w:cs="Times New Roman"/>
          <w:b/>
          <w:bCs/>
          <w:lang w:val="es-ES"/>
        </w:rPr>
      </w:pPr>
      <w:r w:rsidRPr="00FC19B1">
        <w:rPr>
          <w:rFonts w:ascii="Times New Roman" w:hAnsi="Times New Roman" w:cs="Times New Roman"/>
          <w:b/>
          <w:bCs/>
          <w:lang w:val="es-ES"/>
        </w:rPr>
        <w:t>7.</w:t>
      </w:r>
      <w:r w:rsidRPr="00FC19B1">
        <w:rPr>
          <w:rFonts w:ascii="Times New Roman" w:eastAsia="Times New Roman" w:hAnsi="Times New Roman" w:cs="Times New Roman"/>
          <w:b/>
          <w:bCs/>
          <w:kern w:val="0"/>
          <w:lang w:val="es-ES" w:eastAsia="pl-PL"/>
          <w14:ligatures w14:val="none"/>
        </w:rPr>
        <w:t xml:space="preserve"> </w:t>
      </w:r>
      <w:r w:rsidRPr="00FC19B1">
        <w:rPr>
          <w:rFonts w:ascii="Times New Roman" w:hAnsi="Times New Roman" w:cs="Times New Roman"/>
          <w:b/>
          <w:bCs/>
          <w:lang w:val="es-ES"/>
        </w:rPr>
        <w:t>Tienes derecho a solicitar la revisión final de los materiales del procedimiento</w:t>
      </w:r>
    </w:p>
    <w:p w14:paraId="0F25E78A"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Antes del cierre de la fase de instrucción, puedes solicitar una revisión final de los materiales del procedimiento. Tu defensor también puede participar en esta actividad (art. 321 § 1 y 3).</w:t>
      </w:r>
    </w:p>
    <w:p w14:paraId="3C304EEF"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Dentro de los 3 días posteriores a la revisión de los materiales de la fase de instrucción, puedes presentar una solicitud para completar la instrucción (art. 321 § 5).</w:t>
      </w:r>
    </w:p>
    <w:p w14:paraId="2450EA56"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Antes de la revisión final de los materiales del procedimiento, tienes derecho a revisar el expediente, que puede estar disponible también en formato electrónico (art. 321 § 1).</w:t>
      </w:r>
    </w:p>
    <w:p w14:paraId="4F3AB1F8" w14:textId="77777777" w:rsidR="00DC51FB" w:rsidRPr="00FC19B1" w:rsidRDefault="00DC51FB" w:rsidP="00FC19B1">
      <w:pPr>
        <w:spacing w:after="64" w:line="360" w:lineRule="auto"/>
        <w:contextualSpacing/>
        <w:jc w:val="both"/>
        <w:rPr>
          <w:rFonts w:ascii="Times New Roman" w:hAnsi="Times New Roman" w:cs="Times New Roman"/>
          <w:lang w:val="es-ES"/>
        </w:rPr>
      </w:pPr>
    </w:p>
    <w:p w14:paraId="19CA50EF" w14:textId="77777777" w:rsidR="00DC51FB" w:rsidRPr="00FC19B1" w:rsidRDefault="00DC51FB" w:rsidP="00FC19B1">
      <w:pPr>
        <w:spacing w:after="64" w:line="360" w:lineRule="auto"/>
        <w:contextualSpacing/>
        <w:jc w:val="both"/>
        <w:rPr>
          <w:rFonts w:ascii="Times New Roman" w:hAnsi="Times New Roman" w:cs="Times New Roman"/>
          <w:b/>
          <w:bCs/>
          <w:lang w:val="es-ES"/>
        </w:rPr>
      </w:pPr>
      <w:r w:rsidRPr="00FC19B1">
        <w:rPr>
          <w:rFonts w:ascii="Times New Roman" w:hAnsi="Times New Roman" w:cs="Times New Roman"/>
          <w:b/>
          <w:bCs/>
          <w:lang w:val="es-ES"/>
        </w:rPr>
        <w:t>8. Tienes derecho a solicitar mediación</w:t>
      </w:r>
    </w:p>
    <w:p w14:paraId="018FB280"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En cualquier etapa, puedes pedir que el caso se remita a un procedimiento de mediación. El objetivo de éste es intentar acordar, entre el perjudicado y el acusado, la forma de reparación del daño. La participación en la mediación es voluntaria (art. 23a § 1).</w:t>
      </w:r>
    </w:p>
    <w:p w14:paraId="00BF8B88"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El procedimiento de mediación es conducido por un mediador designado, quien debe mantener la confidencialidad sobre el desarrollo del mismo (art. 178a).</w:t>
      </w:r>
    </w:p>
    <w:p w14:paraId="4F588845"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Recuerda que el procedimiento de mediación no pone fin al proceso penal. Sin embargo, si llegas a un acuerdo con la víctima, el tribunal lo tomará en cuenta al determinar la sanción (art. 53 § 3 de la Ley de 6 de junio de 1997 - Código Penal, Boletín Oficial del Estado de 2024, asientos 17 y 1228).</w:t>
      </w:r>
    </w:p>
    <w:p w14:paraId="12709652" w14:textId="77777777" w:rsidR="00DC51FB" w:rsidRPr="00FC19B1" w:rsidRDefault="00DC51FB" w:rsidP="00FC19B1">
      <w:pPr>
        <w:spacing w:after="64" w:line="360" w:lineRule="auto"/>
        <w:contextualSpacing/>
        <w:jc w:val="both"/>
        <w:rPr>
          <w:rFonts w:ascii="Times New Roman" w:hAnsi="Times New Roman" w:cs="Times New Roman"/>
          <w:lang w:val="es-ES"/>
        </w:rPr>
      </w:pPr>
    </w:p>
    <w:p w14:paraId="04438B74" w14:textId="77777777" w:rsidR="00DC51FB" w:rsidRPr="00FC19B1" w:rsidRDefault="00DC51FB" w:rsidP="00FC19B1">
      <w:pPr>
        <w:spacing w:after="64" w:line="360" w:lineRule="auto"/>
        <w:contextualSpacing/>
        <w:jc w:val="both"/>
        <w:rPr>
          <w:rFonts w:ascii="Times New Roman" w:hAnsi="Times New Roman" w:cs="Times New Roman"/>
          <w:b/>
          <w:bCs/>
          <w:lang w:val="es-ES"/>
        </w:rPr>
      </w:pPr>
      <w:r w:rsidRPr="00FC19B1">
        <w:rPr>
          <w:rFonts w:ascii="Times New Roman" w:hAnsi="Times New Roman" w:cs="Times New Roman"/>
          <w:b/>
          <w:bCs/>
          <w:lang w:val="es-ES"/>
        </w:rPr>
        <w:t>3. Tienes derecho a negociar la pena</w:t>
      </w:r>
    </w:p>
    <w:p w14:paraId="2E499571"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b/>
          <w:bCs/>
          <w:lang w:val="es-ES"/>
        </w:rPr>
        <w:t>Durante la fase de instrucción</w:t>
      </w:r>
      <w:r w:rsidRPr="00FC19B1">
        <w:rPr>
          <w:rFonts w:ascii="Times New Roman" w:hAnsi="Times New Roman" w:cs="Times New Roman"/>
          <w:lang w:val="es-ES"/>
        </w:rPr>
        <w:t>, si la pena mínima para el delito que se te imputa es inferior a 3 años de prisión, antes de que se presente el acta de acusación, puedes negociar con el fiscal el quantum de la pena, por ejemplo, la duración de la privación de libertad u otras medidas (como el tiempo de prohibición de conducir). En este caso, tienes derecho a revisar el expediente del caso. No se practicarán más diligencias, y el fiscal presentará una solicitud al tribunal para que dicte una sentencia condenatoria (art. 335 § 1 y 3). El fiscal también puede adjuntar dicha solicitud al acta de acusación (art. 335 § 2). La solicitud puede ser aceptada por el tribunal siempre que la víctima no se oponga a ello (art. 343 § 2).</w:t>
      </w:r>
    </w:p>
    <w:p w14:paraId="57F6E1A6" w14:textId="77777777" w:rsidR="00DC51FB" w:rsidRPr="00FC19B1" w:rsidRDefault="00DC51FB" w:rsidP="00FC19B1">
      <w:pPr>
        <w:spacing w:after="64" w:line="360" w:lineRule="auto"/>
        <w:contextualSpacing/>
        <w:jc w:val="both"/>
        <w:rPr>
          <w:rFonts w:ascii="Times New Roman" w:hAnsi="Times New Roman" w:cs="Times New Roman"/>
          <w:b/>
          <w:bCs/>
          <w:lang w:val="es-ES"/>
        </w:rPr>
      </w:pPr>
    </w:p>
    <w:p w14:paraId="353B6FBA"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b/>
          <w:bCs/>
          <w:lang w:val="es-ES"/>
        </w:rPr>
        <w:lastRenderedPageBreak/>
        <w:t xml:space="preserve">Durante el proceso judicial, antes de recibir la notificación de la fecha del juicio, </w:t>
      </w:r>
      <w:r w:rsidRPr="00FC19B1">
        <w:rPr>
          <w:rFonts w:ascii="Times New Roman" w:hAnsi="Times New Roman" w:cs="Times New Roman"/>
          <w:lang w:val="es-ES"/>
        </w:rPr>
        <w:t>si el delito que se te imputa tiene una pena máxima de hasta 15 años de prisión, puedes presentar una solicitud para que se dicte una sentencia condenatoria sin necesidad de práctica de la prueba (art. 338a). El tribunal solo puede aceptar tu solicitud si el fiscal y la víctima no se oponen a ello (art. 343a § 2).</w:t>
      </w:r>
    </w:p>
    <w:p w14:paraId="443A04EB" w14:textId="77777777" w:rsidR="00DC51FB" w:rsidRPr="00FC19B1" w:rsidRDefault="00DC51FB" w:rsidP="00FC19B1">
      <w:pPr>
        <w:spacing w:after="64" w:line="360" w:lineRule="auto"/>
        <w:contextualSpacing/>
        <w:jc w:val="both"/>
        <w:rPr>
          <w:rFonts w:ascii="Times New Roman" w:hAnsi="Times New Roman" w:cs="Times New Roman"/>
          <w:b/>
          <w:bCs/>
          <w:lang w:val="es-ES"/>
        </w:rPr>
      </w:pPr>
    </w:p>
    <w:p w14:paraId="00DB76C1" w14:textId="77777777" w:rsidR="00DC51FB" w:rsidRPr="00FC19B1" w:rsidRDefault="00DC51FB" w:rsidP="00FC19B1">
      <w:pPr>
        <w:spacing w:after="64" w:line="360" w:lineRule="auto"/>
        <w:contextualSpacing/>
        <w:jc w:val="both"/>
        <w:rPr>
          <w:rFonts w:ascii="Times New Roman" w:hAnsi="Times New Roman" w:cs="Times New Roman"/>
          <w:lang w:val="es-ES"/>
        </w:rPr>
      </w:pPr>
      <w:r w:rsidRPr="00FC19B1">
        <w:rPr>
          <w:rFonts w:ascii="Times New Roman" w:hAnsi="Times New Roman" w:cs="Times New Roman"/>
          <w:b/>
          <w:bCs/>
          <w:lang w:val="es-ES"/>
        </w:rPr>
        <w:t>Durante el proceso judicial</w:t>
      </w:r>
      <w:r w:rsidRPr="00FC19B1">
        <w:rPr>
          <w:rFonts w:ascii="Times New Roman" w:hAnsi="Times New Roman" w:cs="Times New Roman"/>
          <w:lang w:val="es-ES"/>
        </w:rPr>
        <w:t>, si el delito que se te imputa tiene una pena máxima de hasta 15 años de prisión, puedes solicitar una sentencia condenatoria también durante el juicio, pero solo hasta que se haya completado el primer interrogatorio de todos los acusados. El tribunal solo puede aceptarla si el fiscal está de acuerdo y la víctima no se opone. Si necesitas un defensor y no tienes uno designado, el tribunal puede asignarte un defensor de oficio a petición tuya (art. 387).</w:t>
      </w:r>
    </w:p>
    <w:p w14:paraId="7E67733F"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64" w:line="360" w:lineRule="auto"/>
        <w:contextualSpacing/>
        <w:jc w:val="both"/>
        <w:rPr>
          <w:rFonts w:ascii="Times New Roman" w:hAnsi="Times New Roman" w:cs="Times New Roman"/>
          <w:lang w:val="es-ES"/>
        </w:rPr>
      </w:pPr>
      <w:r w:rsidRPr="00FC19B1">
        <w:rPr>
          <w:rFonts w:ascii="Times New Roman" w:hAnsi="Times New Roman" w:cs="Times New Roman"/>
          <w:lang w:val="es-ES"/>
        </w:rPr>
        <w:t>Recuerda que, si has negociado la pena y otras medidas, y el tribunal ha dictado la sentencia que solicitaste, no podrás, en una apelación posterior, acusar al tribunal de apreciación errónea de los hechos, desproporción</w:t>
      </w:r>
      <w:r w:rsidRPr="00FC19B1">
        <w:rPr>
          <w:rFonts w:ascii="Times New Roman" w:hAnsi="Times New Roman" w:cs="Times New Roman"/>
          <w:lang w:val="es-ES" w:eastAsia="pl-PL" w:bidi="pl-PL"/>
        </w:rPr>
        <w:t xml:space="preserve"> grave</w:t>
      </w:r>
      <w:r w:rsidRPr="00FC19B1">
        <w:rPr>
          <w:rFonts w:ascii="Times New Roman" w:hAnsi="Times New Roman" w:cs="Times New Roman"/>
          <w:lang w:val="es-ES"/>
        </w:rPr>
        <w:t xml:space="preserve"> de la pena o medida, compensación inadecuada, ni la aplicación o no aplicación de medidas de seguridad, confiscación u otra medida relacionada con el acuerdo alcanzado (art. 447 § 5).</w:t>
      </w:r>
    </w:p>
    <w:p w14:paraId="61BD2D60" w14:textId="77777777" w:rsidR="00DC51FB" w:rsidRPr="00FC19B1" w:rsidRDefault="00DC51FB" w:rsidP="00FC19B1">
      <w:pPr>
        <w:keepNext/>
        <w:keepLines/>
        <w:widowControl w:val="0"/>
        <w:tabs>
          <w:tab w:val="left" w:pos="457"/>
        </w:tabs>
        <w:spacing w:after="214" w:line="360" w:lineRule="auto"/>
        <w:contextualSpacing/>
        <w:jc w:val="both"/>
        <w:outlineLvl w:val="1"/>
        <w:rPr>
          <w:rFonts w:ascii="Times New Roman" w:hAnsi="Times New Roman" w:cs="Times New Roman"/>
          <w:b/>
          <w:bCs/>
          <w:lang w:val="es-ES"/>
        </w:rPr>
      </w:pPr>
      <w:bookmarkStart w:id="3" w:name="bookmark10"/>
      <w:bookmarkEnd w:id="2"/>
    </w:p>
    <w:p w14:paraId="31829A10" w14:textId="77777777" w:rsidR="00DC51FB" w:rsidRPr="00FC19B1" w:rsidRDefault="00DC51FB" w:rsidP="00FC19B1">
      <w:pPr>
        <w:keepNext/>
        <w:keepLines/>
        <w:widowControl w:val="0"/>
        <w:tabs>
          <w:tab w:val="left" w:pos="457"/>
        </w:tabs>
        <w:spacing w:after="214" w:line="360" w:lineRule="auto"/>
        <w:contextualSpacing/>
        <w:jc w:val="both"/>
        <w:outlineLvl w:val="1"/>
        <w:rPr>
          <w:rStyle w:val="Heading2"/>
          <w:rFonts w:ascii="Times New Roman" w:hAnsi="Times New Roman" w:cs="Times New Roman"/>
          <w:color w:val="auto"/>
          <w:sz w:val="24"/>
          <w:szCs w:val="24"/>
          <w:lang w:val="es-ES"/>
        </w:rPr>
      </w:pPr>
      <w:r w:rsidRPr="00FC19B1">
        <w:rPr>
          <w:rFonts w:ascii="Times New Roman" w:hAnsi="Times New Roman" w:cs="Times New Roman"/>
          <w:b/>
          <w:bCs/>
          <w:lang w:val="es-ES"/>
        </w:rPr>
        <w:t xml:space="preserve">10. </w:t>
      </w:r>
      <w:r w:rsidRPr="00FC19B1">
        <w:rPr>
          <w:rStyle w:val="Heading2"/>
          <w:rFonts w:ascii="Times New Roman" w:hAnsi="Times New Roman" w:cs="Times New Roman"/>
          <w:color w:val="auto"/>
          <w:sz w:val="24"/>
          <w:szCs w:val="24"/>
          <w:lang w:val="es-ES"/>
        </w:rPr>
        <w:t xml:space="preserve">Participación </w:t>
      </w:r>
      <w:r w:rsidRPr="00FC19B1">
        <w:rPr>
          <w:rStyle w:val="Heading2SmallCaps"/>
          <w:rFonts w:ascii="Times New Roman" w:hAnsi="Times New Roman" w:cs="Times New Roman"/>
          <w:color w:val="auto"/>
          <w:sz w:val="24"/>
          <w:szCs w:val="24"/>
          <w:lang w:val="es-ES"/>
        </w:rPr>
        <w:t xml:space="preserve"> en el </w:t>
      </w:r>
      <w:r w:rsidRPr="00FC19B1">
        <w:rPr>
          <w:rStyle w:val="Heading2"/>
          <w:rFonts w:ascii="Times New Roman" w:hAnsi="Times New Roman" w:cs="Times New Roman"/>
          <w:color w:val="auto"/>
          <w:sz w:val="24"/>
          <w:szCs w:val="24"/>
          <w:lang w:val="es-ES"/>
        </w:rPr>
        <w:t>procedimiento acelerado</w:t>
      </w:r>
      <w:bookmarkEnd w:id="3"/>
    </w:p>
    <w:p w14:paraId="7A5D17A6" w14:textId="77777777" w:rsidR="00DC51FB" w:rsidRPr="00FC19B1" w:rsidRDefault="00DC51FB" w:rsidP="00FC19B1">
      <w:pPr>
        <w:keepNext/>
        <w:keepLines/>
        <w:widowControl w:val="0"/>
        <w:tabs>
          <w:tab w:val="left" w:pos="457"/>
        </w:tabs>
        <w:spacing w:after="214" w:line="360" w:lineRule="auto"/>
        <w:contextualSpacing/>
        <w:jc w:val="both"/>
        <w:outlineLvl w:val="1"/>
        <w:rPr>
          <w:rStyle w:val="Heading2"/>
          <w:rFonts w:ascii="Times New Roman" w:hAnsi="Times New Roman" w:cs="Times New Roman"/>
          <w:color w:val="auto"/>
          <w:sz w:val="24"/>
          <w:szCs w:val="24"/>
          <w:lang w:val="es-ES"/>
        </w:rPr>
      </w:pPr>
      <w:r w:rsidRPr="00FC19B1">
        <w:rPr>
          <w:rFonts w:ascii="Times New Roman" w:hAnsi="Times New Roman" w:cs="Times New Roman"/>
          <w:lang w:val="es-ES" w:eastAsia="pl-PL" w:bidi="pl-PL"/>
        </w:rPr>
        <w:t>Los cargos que se te imputan pueden ser juzgados por un tribunal en un procedimiento acelerado. Este es un modo especial previsto por la ley, que permite que en ciertos casos participes en las actuaciones ante el tribunal a través de videoconferencia. En este caso, la policía te entregará una copia de la solicitud de examen del caso y te proporcionará copias de los documentos que forman parte del material probatorio presentado al tribunal (art. 517b § 2a y art. 517e § 1a), y no serás llevado/a físicamente al tribunal.</w:t>
      </w:r>
    </w:p>
    <w:p w14:paraId="60613237" w14:textId="77777777" w:rsidR="00DC51FB" w:rsidRPr="00FC19B1" w:rsidRDefault="00DC51FB" w:rsidP="00FC19B1">
      <w:pPr>
        <w:keepNext/>
        <w:keepLines/>
        <w:widowControl w:val="0"/>
        <w:tabs>
          <w:tab w:val="left" w:pos="457"/>
        </w:tabs>
        <w:spacing w:after="214" w:line="360" w:lineRule="auto"/>
        <w:contextualSpacing/>
        <w:jc w:val="both"/>
        <w:outlineLvl w:val="1"/>
        <w:rPr>
          <w:rFonts w:ascii="Times New Roman" w:hAnsi="Times New Roman" w:cs="Times New Roman"/>
          <w:b/>
          <w:bCs/>
          <w:lang w:val="es-ES"/>
        </w:rPr>
      </w:pPr>
    </w:p>
    <w:p w14:paraId="0BD04C03" w14:textId="77777777" w:rsidR="00DC51FB" w:rsidRPr="00FC19B1" w:rsidRDefault="00DC51FB" w:rsidP="00FC19B1">
      <w:pPr>
        <w:spacing w:after="303" w:line="360" w:lineRule="auto"/>
        <w:contextualSpacing/>
        <w:jc w:val="both"/>
        <w:rPr>
          <w:rFonts w:ascii="Times New Roman" w:hAnsi="Times New Roman" w:cs="Times New Roman"/>
          <w:b/>
          <w:bCs/>
          <w:lang w:val="es-ES" w:eastAsia="pl-PL" w:bidi="pl-PL"/>
        </w:rPr>
      </w:pPr>
      <w:r w:rsidRPr="00FC19B1">
        <w:rPr>
          <w:rFonts w:ascii="Times New Roman" w:hAnsi="Times New Roman" w:cs="Times New Roman"/>
          <w:b/>
          <w:bCs/>
          <w:lang w:val="es-ES" w:eastAsia="pl-PL" w:bidi="pl-PL"/>
        </w:rPr>
        <w:t>Cuando participes en un procedimiento a través de videoconferencia:</w:t>
      </w:r>
    </w:p>
    <w:p w14:paraId="5100D55F" w14:textId="77777777" w:rsidR="00DC51FB" w:rsidRPr="00FC19B1" w:rsidRDefault="00DC51FB" w:rsidP="00FC19B1">
      <w:pPr>
        <w:widowControl w:val="0"/>
        <w:tabs>
          <w:tab w:val="left" w:pos="382"/>
        </w:tabs>
        <w:spacing w:after="124"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1) en el lugar donde te encuentres, participará tu defensor, si se ha designado uno, y también un intérprete. El intérprete estará presente si no hablas polaco, si eres una persona sorda o muda, y la comunicación por escrito no es suficiente, así como cuando necesites traducir al polaco un escrito redactado en una lengua extranjera, o a una lengua extranjera un escrito redactado en polaco, o leer el contenido de las pruebas practicadas (art. 517b § 2c y 2d);</w:t>
      </w:r>
    </w:p>
    <w:p w14:paraId="280685E3"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 xml:space="preserve">2) puedes presentar solicitudes y declaraciones, y realizar acciones procesales solo de manera oral para el acta. El tribunal te informará del contenido de todos los escritos procesales que </w:t>
      </w:r>
      <w:r w:rsidRPr="00FC19B1">
        <w:rPr>
          <w:rFonts w:ascii="Times New Roman" w:hAnsi="Times New Roman" w:cs="Times New Roman"/>
          <w:lang w:val="es-ES" w:eastAsia="pl-PL" w:bidi="pl-PL"/>
        </w:rPr>
        <w:lastRenderedPageBreak/>
        <w:t>hayan llegado al expediente del caso desde que se presentó la solicitud de examen del caso. Si lo solicitas, el tribunal leerá su contenido. Los escritos procesales que no hayan podido ser entregados al tribunal podrán ser leídos durante la audiencia (art. 517ea § 1 y 2).</w:t>
      </w:r>
    </w:p>
    <w:p w14:paraId="1D4B3048"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p>
    <w:p w14:paraId="6887F353"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En el procedimiento acelerado, puedes solicitar por escrito que se redacte y se te entregue una sentencia fundamentada dentro de los 3 días posteriores a la fecha de la publicación de la sentencia o su entrega (si la ley prevé su entrega). También puedes presentar esta solicitud oralmente para el acta de la audiencia o la sesión (art. 517h § 1).</w:t>
      </w:r>
    </w:p>
    <w:p w14:paraId="428EA7B2"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Tienes 7 días desde la entrega de la sentencia fundamentada para presentar una eventual apelación (art. 517h § 3).</w:t>
      </w:r>
    </w:p>
    <w:p w14:paraId="75C42AC2"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p>
    <w:p w14:paraId="01A93F2E"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 xml:space="preserve">Aunque </w:t>
      </w:r>
      <w:r w:rsidRPr="00FC19B1">
        <w:rPr>
          <w:rFonts w:ascii="Times New Roman" w:hAnsi="Times New Roman" w:cs="Times New Roman"/>
          <w:b/>
          <w:bCs/>
          <w:lang w:val="es-ES" w:eastAsia="pl-PL" w:bidi="pl-PL"/>
        </w:rPr>
        <w:t>como imputado</w:t>
      </w:r>
      <w:r w:rsidRPr="00FC19B1">
        <w:rPr>
          <w:rFonts w:ascii="Times New Roman" w:hAnsi="Times New Roman" w:cs="Times New Roman"/>
          <w:lang w:val="es-ES" w:eastAsia="pl-PL" w:bidi="pl-PL"/>
        </w:rPr>
        <w:t xml:space="preserve"> no estás obligado a probar tu inocencia ni a aportar pruebas en tu contra (art. 74 § 1), sin embargo:</w:t>
      </w:r>
    </w:p>
    <w:p w14:paraId="54E96E00"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1. Tienes la obligación de someterte a los siguientes exámenes:</w:t>
      </w:r>
    </w:p>
    <w:p w14:paraId="1A2DC8E0"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1) examen físico y exámenes que no afecten la integridad de tu cuerpo, como la toma de huellas dactilares, fotografías y la presentación a otras personas (art. 74 § 2, numeral 1);</w:t>
      </w:r>
    </w:p>
    <w:p w14:paraId="697FF444"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2) exámenes psicológicos y psiquiátricos, y exámenes que impliquen procedimientos en el cuerpo, con excepción de los quirúrgicos, siempre que no pongan en peligro tu salud y sean necesarios (esto incluye especialmente la toma de muestras de sangre, cabello o secreciones corporales, como saliva. Estos exámenes deben ser realizados por un profesional de la salud autorizado (art. 74 § 2, punto 2).</w:t>
      </w:r>
    </w:p>
    <w:p w14:paraId="6CCACC10"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3) toma de muestras de la mucosa bucal por parte de un policía u otra persona autorizada, si es necesario y no representa un riesgo para tu salud (art. 74 § 2, punto 3).</w:t>
      </w:r>
    </w:p>
    <w:p w14:paraId="3B036937"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Si no cumples con estas obligaciones, puedes ser detenido/a y conducido/a por la fuerza, y también puedes ser sometido a fuerza física o medios técnicos para incapacitarte en la medida necesaria (art. 74 § 3a).</w:t>
      </w:r>
    </w:p>
    <w:p w14:paraId="0CE82FEF" w14:textId="77777777" w:rsidR="00DC51FB" w:rsidRPr="00FC19B1" w:rsidRDefault="00DC51FB" w:rsidP="00FC19B1">
      <w:pPr>
        <w:spacing w:after="303" w:line="360" w:lineRule="auto"/>
        <w:contextualSpacing/>
        <w:jc w:val="both"/>
        <w:rPr>
          <w:rFonts w:ascii="Times New Roman" w:hAnsi="Times New Roman" w:cs="Times New Roman"/>
          <w:b/>
          <w:bCs/>
          <w:lang w:val="es-ES" w:eastAsia="pl-PL" w:bidi="pl-PL"/>
        </w:rPr>
      </w:pPr>
    </w:p>
    <w:p w14:paraId="4283AC35"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2. Tienes la obligación de comparecer, informar sobre el lugar de residencia y proporcionar direcciones para notificaciones</w:t>
      </w:r>
    </w:p>
    <w:p w14:paraId="50723290" w14:textId="77777777" w:rsidR="00DC51FB" w:rsidRPr="00FC19B1" w:rsidRDefault="00DC51FB" w:rsidP="00FC19B1">
      <w:pPr>
        <w:spacing w:after="56"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Tienes la obligación de comparecer a cada citación del órgano encargado del procedimiento y de informar sobre cualquier cambio en tus datos de contacto, como el número de teléfono o la dirección de correo electrónico. Si cambias tu lugar de residencia por más de 7 días, incluso debido a la privación de libertad en otro caso, debes informar a la autoridad que lleva a cabo tu procedimiento. Si no lo haces, puedes ser detenido/a y llevado/a  la fuerza (art. 75 § 1 y 2).</w:t>
      </w:r>
    </w:p>
    <w:p w14:paraId="480A98D3"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lastRenderedPageBreak/>
        <w:t xml:space="preserve">Si no resides en Polonia ni en otro país de la Unión Europea, debes designar a un destinatario (una persona o institución) para recibir notificaciones en Polonia o en otro país de la Unión Europea (art. 138). </w:t>
      </w:r>
    </w:p>
    <w:p w14:paraId="5995C0AD" w14:textId="77777777" w:rsidR="00DC51FB" w:rsidRPr="00FC19B1" w:rsidRDefault="00DC51FB" w:rsidP="00FC19B1">
      <w:pPr>
        <w:spacing w:after="236"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En caso de cambio de lugar de residencia o de estancia, incluso debido a la privación de libertad en otro caso, o la dirección de un apartado de correos, deberás indicar una nueva dirección (art. 139).</w:t>
      </w:r>
    </w:p>
    <w:p w14:paraId="610D8782"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124"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Si no informas al investigador del destinatario a efectos de notificaciones, del cambio de tu residencia, estancia o apartado de correos, los escritos enviados a tu dirección anterior se considerarán notificados.</w:t>
      </w:r>
    </w:p>
    <w:p w14:paraId="5F147E2F"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Si el escrito no se te puede entregar en persona, a un miembro adulto del hogar o a tu buzón, este escrito:</w:t>
      </w:r>
    </w:p>
    <w:p w14:paraId="3039C9DC" w14:textId="77777777" w:rsidR="00DC51FB" w:rsidRPr="00FC19B1" w:rsidRDefault="00DC51FB" w:rsidP="00FC19B1">
      <w:pPr>
        <w:widowControl w:val="0"/>
        <w:tabs>
          <w:tab w:val="left" w:pos="334"/>
        </w:tabs>
        <w:spacing w:after="124"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1) se dejará en la oficina de correos más cercana de un operador determinado - en el caso de cartas enviadas por correo;</w:t>
      </w:r>
    </w:p>
    <w:p w14:paraId="3401CF45"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2) se dejará en la unidad de policía más cercana o en la oficina del municipio correspondiente, si fue entregado de otra manera.</w:t>
      </w:r>
    </w:p>
    <w:p w14:paraId="44795572"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after="240"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 xml:space="preserve">El repartidor colocará la información sobre el escrito dejado en tu buzón de correos, en la puerta o en otro lugar visible. A partir de ese momento, tienes 7 días para recogerlo. Si no lo haces, el repartidor te dejará otro aviso. </w:t>
      </w:r>
      <w:r w:rsidRPr="00FC19B1">
        <w:rPr>
          <w:rStyle w:val="Bodytext2"/>
          <w:rFonts w:ascii="Times New Roman" w:hAnsi="Times New Roman" w:cs="Times New Roman"/>
          <w:color w:val="auto"/>
          <w:sz w:val="24"/>
          <w:szCs w:val="24"/>
          <w:lang w:val="es-ES"/>
        </w:rPr>
        <w:t xml:space="preserve">Si no recoges el </w:t>
      </w:r>
      <w:r w:rsidRPr="00FC19B1">
        <w:rPr>
          <w:rFonts w:ascii="Times New Roman" w:hAnsi="Times New Roman" w:cs="Times New Roman"/>
          <w:lang w:val="es-ES" w:eastAsia="pl-PL" w:bidi="pl-PL"/>
        </w:rPr>
        <w:t>escrito</w:t>
      </w:r>
      <w:r w:rsidRPr="00FC19B1">
        <w:rPr>
          <w:rStyle w:val="Bodytext2"/>
          <w:rFonts w:ascii="Times New Roman" w:hAnsi="Times New Roman" w:cs="Times New Roman"/>
          <w:color w:val="auto"/>
          <w:sz w:val="24"/>
          <w:szCs w:val="24"/>
          <w:lang w:val="es-ES"/>
        </w:rPr>
        <w:t xml:space="preserve">, </w:t>
      </w:r>
      <w:r w:rsidRPr="00FC19B1">
        <w:rPr>
          <w:rFonts w:ascii="Times New Roman" w:hAnsi="Times New Roman" w:cs="Times New Roman"/>
          <w:lang w:val="es-ES" w:eastAsia="pl-PL" w:bidi="pl-PL"/>
        </w:rPr>
        <w:t>se considerará como entregado (art. 133 § 2).</w:t>
      </w:r>
    </w:p>
    <w:p w14:paraId="7DCFC5E9" w14:textId="77777777" w:rsidR="00DC51FB" w:rsidRPr="00FC19B1" w:rsidRDefault="00DC51FB" w:rsidP="00FC19B1">
      <w:pPr>
        <w:spacing w:after="303" w:line="360" w:lineRule="auto"/>
        <w:contextualSpacing/>
        <w:jc w:val="both"/>
        <w:rPr>
          <w:rFonts w:ascii="Times New Roman" w:hAnsi="Times New Roman" w:cs="Times New Roman"/>
          <w:b/>
          <w:bCs/>
          <w:lang w:val="es-ES" w:eastAsia="pl-PL" w:bidi="pl-PL"/>
        </w:rPr>
      </w:pPr>
    </w:p>
    <w:p w14:paraId="26E87122"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3. Tienes la obligación de justificar la ausencia durante un interrogatorio</w:t>
      </w:r>
    </w:p>
    <w:p w14:paraId="3E48F7FF" w14:textId="77777777" w:rsidR="00DC51FB" w:rsidRPr="00FC19B1" w:rsidRDefault="00DC51FB" w:rsidP="00FC19B1">
      <w:pPr>
        <w:spacing w:line="360" w:lineRule="auto"/>
        <w:contextualSpacing/>
        <w:jc w:val="both"/>
        <w:rPr>
          <w:rFonts w:ascii="Times New Roman" w:hAnsi="Times New Roman" w:cs="Times New Roman"/>
          <w:lang w:val="es-ES"/>
        </w:rPr>
      </w:pPr>
      <w:r w:rsidRPr="00FC19B1">
        <w:rPr>
          <w:rFonts w:ascii="Times New Roman" w:hAnsi="Times New Roman" w:cs="Times New Roman"/>
          <w:lang w:val="es-ES"/>
        </w:rPr>
        <w:t xml:space="preserve">Si has sido citado/a </w:t>
      </w:r>
      <w:proofErr w:type="spellStart"/>
      <w:r w:rsidRPr="00FC19B1">
        <w:rPr>
          <w:rFonts w:ascii="Times New Roman" w:hAnsi="Times New Roman" w:cs="Times New Roman"/>
          <w:lang w:val="es-ES"/>
        </w:rPr>
        <w:t>a</w:t>
      </w:r>
      <w:proofErr w:type="spellEnd"/>
      <w:r w:rsidRPr="00FC19B1">
        <w:rPr>
          <w:rFonts w:ascii="Times New Roman" w:hAnsi="Times New Roman" w:cs="Times New Roman"/>
          <w:lang w:val="es-ES"/>
        </w:rPr>
        <w:t xml:space="preserve"> comparecer y no puedes asistir debido a enfermedad, debes justificar tu ausencia. Para ello, debes acudir a un médico forense, ya que solo él puede emitir un certificado que se reconozca como justificación válida. Otro certificado o baja por enfermedad no serán aceptados como justificantes (art. 117 § 2a).</w:t>
      </w:r>
    </w:p>
    <w:p w14:paraId="105ED8E4" w14:textId="77777777" w:rsidR="00DC51FB" w:rsidRPr="00FC19B1" w:rsidRDefault="00DC51FB" w:rsidP="00FC19B1">
      <w:pPr>
        <w:spacing w:after="303"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En otras situaciones, es posible que la diligencia no se practique en tu ausencia si justificas debidamente tu falta de comparecencia y solicitas que la diligencia no se practique sin tu presencia (art. 117 § 2).</w:t>
      </w:r>
    </w:p>
    <w:p w14:paraId="21B361D8" w14:textId="77777777" w:rsidR="00DC51FB" w:rsidRPr="00FC19B1" w:rsidRDefault="00DC51FB" w:rsidP="00FC19B1">
      <w:pPr>
        <w:spacing w:line="360" w:lineRule="auto"/>
        <w:contextualSpacing/>
        <w:jc w:val="both"/>
        <w:rPr>
          <w:rFonts w:ascii="Times New Roman" w:hAnsi="Times New Roman" w:cs="Times New Roman"/>
          <w:lang w:val="es-ES"/>
        </w:rPr>
      </w:pPr>
      <w:r w:rsidRPr="00FC19B1">
        <w:rPr>
          <w:rFonts w:ascii="Times New Roman" w:hAnsi="Times New Roman" w:cs="Times New Roman"/>
          <w:lang w:val="es-ES"/>
        </w:rPr>
        <w:t xml:space="preserve">Si eres ciudadano polaco, te encuentras </w:t>
      </w:r>
      <w:r w:rsidRPr="00FC19B1">
        <w:rPr>
          <w:rStyle w:val="Bodytext2Bold"/>
          <w:rFonts w:ascii="Times New Roman" w:hAnsi="Times New Roman" w:cs="Times New Roman"/>
          <w:color w:val="auto"/>
          <w:sz w:val="24"/>
          <w:szCs w:val="24"/>
          <w:lang w:val="es-ES"/>
        </w:rPr>
        <w:t xml:space="preserve">en el extranjero </w:t>
      </w:r>
      <w:r w:rsidRPr="00FC19B1">
        <w:rPr>
          <w:rStyle w:val="Bodytext2"/>
          <w:rFonts w:ascii="Times New Roman" w:hAnsi="Times New Roman" w:cs="Times New Roman"/>
          <w:color w:val="auto"/>
          <w:sz w:val="24"/>
          <w:szCs w:val="24"/>
          <w:lang w:val="es-ES"/>
        </w:rPr>
        <w:t xml:space="preserve">y, si estás de acuerdo, </w:t>
      </w:r>
      <w:r w:rsidRPr="00FC19B1">
        <w:rPr>
          <w:rFonts w:ascii="Times New Roman" w:hAnsi="Times New Roman" w:cs="Times New Roman"/>
          <w:lang w:val="es-ES"/>
        </w:rPr>
        <w:t xml:space="preserve">puedes ser interrogado/a por </w:t>
      </w:r>
      <w:r w:rsidRPr="00FC19B1">
        <w:rPr>
          <w:rStyle w:val="Bodytext2Bold"/>
          <w:rFonts w:ascii="Times New Roman" w:hAnsi="Times New Roman" w:cs="Times New Roman"/>
          <w:color w:val="auto"/>
          <w:sz w:val="24"/>
          <w:szCs w:val="24"/>
          <w:lang w:val="es-ES"/>
        </w:rPr>
        <w:t xml:space="preserve">un cónsul </w:t>
      </w:r>
      <w:r w:rsidRPr="00FC19B1">
        <w:rPr>
          <w:rFonts w:ascii="Times New Roman" w:hAnsi="Times New Roman" w:cs="Times New Roman"/>
          <w:lang w:val="es-ES"/>
        </w:rPr>
        <w:t xml:space="preserve">(art. 26, apartado 1, numeral 2 y apartado 2 de la Ley de 25 de junio de 2015 - Derecho Consular, Boletín Oficial del Estado de 2023, asiento 1329). </w:t>
      </w:r>
    </w:p>
    <w:p w14:paraId="79BD6C17" w14:textId="77777777" w:rsidR="00DC51FB" w:rsidRPr="00FC19B1" w:rsidRDefault="00DC51FB" w:rsidP="00FC19B1">
      <w:pPr>
        <w:keepNext/>
        <w:keepLines/>
        <w:spacing w:line="360" w:lineRule="auto"/>
        <w:contextualSpacing/>
        <w:rPr>
          <w:rFonts w:ascii="Times New Roman" w:hAnsi="Times New Roman" w:cs="Times New Roman"/>
          <w:b/>
          <w:bCs/>
          <w:lang w:val="es-ES"/>
        </w:rPr>
      </w:pPr>
      <w:bookmarkStart w:id="4" w:name="bookmark14"/>
      <w:r w:rsidRPr="00FC19B1">
        <w:rPr>
          <w:rFonts w:ascii="Times New Roman" w:hAnsi="Times New Roman" w:cs="Times New Roman"/>
          <w:b/>
          <w:bCs/>
          <w:lang w:val="es-ES" w:eastAsia="pl-PL" w:bidi="pl-PL"/>
        </w:rPr>
        <w:lastRenderedPageBreak/>
        <w:t>Debes saber que:</w:t>
      </w:r>
      <w:bookmarkEnd w:id="4"/>
    </w:p>
    <w:p w14:paraId="72E89946" w14:textId="77777777" w:rsidR="00DC51FB" w:rsidRPr="00FC19B1" w:rsidRDefault="00DC51FB" w:rsidP="00FC19B1">
      <w:pPr>
        <w:keepNext/>
        <w:keepLines/>
        <w:spacing w:line="360" w:lineRule="auto"/>
        <w:contextualSpacing/>
        <w:rPr>
          <w:rStyle w:val="Heading2"/>
          <w:rFonts w:ascii="Times New Roman" w:hAnsi="Times New Roman" w:cs="Times New Roman"/>
          <w:color w:val="auto"/>
          <w:sz w:val="24"/>
          <w:szCs w:val="24"/>
          <w:lang w:val="es-ES"/>
        </w:rPr>
      </w:pPr>
      <w:bookmarkStart w:id="5" w:name="bookmark15"/>
      <w:r w:rsidRPr="00FC19B1">
        <w:rPr>
          <w:rStyle w:val="Heading2"/>
          <w:rFonts w:ascii="Times New Roman" w:hAnsi="Times New Roman" w:cs="Times New Roman"/>
          <w:color w:val="auto"/>
          <w:sz w:val="24"/>
          <w:szCs w:val="24"/>
          <w:lang w:val="es-ES"/>
        </w:rPr>
        <w:t>Dictamen psiquiátrico forense</w:t>
      </w:r>
      <w:bookmarkEnd w:id="5"/>
    </w:p>
    <w:p w14:paraId="604D1A6C"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 xml:space="preserve">El fiscal o el tribunal pueden ordenar una evaluación de tu estado mental. El fiscal o el tribunal pueden solicitar a dos médicos psiquiatras que te examinen y proporcionen su opinión sobre tu estado mental. Los médicos designados por el fiscal son peritos. Estos pueden solicitar al fiscal que otros médicos también se pronuncien sobre tu estado mental. El fiscal puede pedir, además de la de los psiquiatras, la opinión de un sexólogo si la evaluación de tu comportamiento está relacionada con problemas </w:t>
      </w:r>
      <w:r w:rsidRPr="00FC19B1">
        <w:rPr>
          <w:rFonts w:ascii="Times New Roman" w:hAnsi="Times New Roman" w:cs="Times New Roman"/>
          <w:lang w:val="es-ES" w:eastAsia="pl-PL" w:bidi="pl-PL"/>
        </w:rPr>
        <w:t xml:space="preserve">en la esfera sexual </w:t>
      </w:r>
      <w:r w:rsidRPr="00FC19B1">
        <w:rPr>
          <w:rFonts w:ascii="Times New Roman" w:eastAsia="Calibri" w:hAnsi="Times New Roman" w:cs="Times New Roman"/>
          <w:lang w:val="es-ES" w:eastAsia="pl-PL" w:bidi="pl-PL"/>
        </w:rPr>
        <w:t xml:space="preserve">(art. 202 </w:t>
      </w:r>
      <w:r w:rsidRPr="00FC19B1">
        <w:rPr>
          <w:rFonts w:ascii="Times New Roman" w:hAnsi="Times New Roman" w:cs="Times New Roman"/>
          <w:lang w:val="es-ES" w:eastAsia="pl-PL" w:bidi="pl-PL"/>
        </w:rPr>
        <w:t xml:space="preserve">§ </w:t>
      </w:r>
      <w:r w:rsidRPr="00FC19B1">
        <w:rPr>
          <w:rFonts w:ascii="Times New Roman" w:eastAsia="Calibri" w:hAnsi="Times New Roman" w:cs="Times New Roman"/>
          <w:lang w:val="es-ES" w:eastAsia="pl-PL" w:bidi="pl-PL"/>
        </w:rPr>
        <w:t>1-3).</w:t>
      </w:r>
    </w:p>
    <w:p w14:paraId="08FB9527"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El fiscal o el tribunal también pueden solicitar que te evalúe un psicólogo. Además, pueden pedir a médicos, como un psiquiatra, que determinen si es necesario evaluar tu estado mental (art. 215).</w:t>
      </w:r>
    </w:p>
    <w:p w14:paraId="3695AC92"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 xml:space="preserve">Los peritos no deben tener relación marital ni ningún otro vínculo que pueda generar dudas razonables sobre su independencia (art. 202 </w:t>
      </w:r>
      <w:r w:rsidRPr="00FC19B1">
        <w:rPr>
          <w:rFonts w:ascii="Times New Roman" w:hAnsi="Times New Roman" w:cs="Times New Roman"/>
          <w:lang w:val="es-ES" w:eastAsia="pl-PL" w:bidi="pl-PL"/>
        </w:rPr>
        <w:t xml:space="preserve">§ </w:t>
      </w:r>
      <w:r w:rsidRPr="00FC19B1">
        <w:rPr>
          <w:rFonts w:ascii="Times New Roman" w:eastAsia="Calibri" w:hAnsi="Times New Roman" w:cs="Times New Roman"/>
          <w:lang w:val="es-ES" w:eastAsia="pl-PL" w:bidi="pl-PL"/>
        </w:rPr>
        <w:t>4).</w:t>
      </w:r>
    </w:p>
    <w:p w14:paraId="270A27BF"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 xml:space="preserve">Un dictamen pericial debe incluir una evaluación de tu capacidad mental en el momento de cometer el acto imputado, así como de tu estado actual de salud mental, en particular si te permite participar en el proceso y ejercer tu defensa de manera autónoma y racional. También, si es necesario, debe incluir consideraciones sobre las circunstancias mencionadas en el art. 93b del Código Penal (art. 202 </w:t>
      </w:r>
      <w:r w:rsidRPr="00FC19B1">
        <w:rPr>
          <w:rFonts w:ascii="Times New Roman" w:hAnsi="Times New Roman" w:cs="Times New Roman"/>
          <w:lang w:val="es-ES" w:eastAsia="pl-PL" w:bidi="pl-PL"/>
        </w:rPr>
        <w:t>§</w:t>
      </w:r>
      <w:r w:rsidRPr="00FC19B1">
        <w:rPr>
          <w:rFonts w:ascii="Times New Roman" w:eastAsia="Calibri" w:hAnsi="Times New Roman" w:cs="Times New Roman"/>
          <w:lang w:val="es-ES" w:eastAsia="pl-PL" w:bidi="pl-PL"/>
        </w:rPr>
        <w:t>5).</w:t>
      </w:r>
    </w:p>
    <w:p w14:paraId="4BA38189" w14:textId="77777777" w:rsidR="00DC51FB" w:rsidRPr="00FC19B1" w:rsidRDefault="00DC51FB" w:rsidP="00FC19B1">
      <w:pPr>
        <w:keepNext/>
        <w:keepLines/>
        <w:spacing w:line="360" w:lineRule="auto"/>
        <w:contextualSpacing/>
        <w:jc w:val="both"/>
        <w:rPr>
          <w:rFonts w:ascii="Times New Roman" w:eastAsia="Calibri" w:hAnsi="Times New Roman" w:cs="Times New Roman"/>
          <w:b/>
          <w:bCs/>
          <w:lang w:val="es-ES" w:eastAsia="pl-PL" w:bidi="pl-PL"/>
        </w:rPr>
      </w:pPr>
    </w:p>
    <w:p w14:paraId="5AAD329E" w14:textId="77777777" w:rsidR="00DC51FB" w:rsidRPr="00FC19B1" w:rsidRDefault="00DC51FB" w:rsidP="00FC19B1">
      <w:pPr>
        <w:keepNext/>
        <w:keepLines/>
        <w:spacing w:line="360" w:lineRule="auto"/>
        <w:contextualSpacing/>
        <w:jc w:val="both"/>
        <w:rPr>
          <w:rFonts w:ascii="Times New Roman" w:eastAsia="Calibri" w:hAnsi="Times New Roman" w:cs="Times New Roman"/>
          <w:b/>
          <w:bCs/>
          <w:lang w:val="es-ES" w:eastAsia="pl-PL" w:bidi="pl-PL"/>
        </w:rPr>
      </w:pPr>
      <w:r w:rsidRPr="00FC19B1">
        <w:rPr>
          <w:rFonts w:ascii="Times New Roman" w:eastAsia="Calibri" w:hAnsi="Times New Roman" w:cs="Times New Roman"/>
          <w:b/>
          <w:bCs/>
          <w:lang w:val="es-ES" w:eastAsia="pl-PL" w:bidi="pl-PL"/>
        </w:rPr>
        <w:t>Informe social</w:t>
      </w:r>
    </w:p>
    <w:p w14:paraId="417BCD09"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Si es necesario, y en particular si se requiere obtener información sobre tus características personales, condiciones de vida y tu modo de vida hasta la fecha, el tribunal o, en la fase de instrucción, el fiscal, pueden solicitar a un oficial de libertad condicional o a otra entidad autorizada con arreglo a la normativa específica aplicable, o en casos especialmente justificados, a la Policía, que realicen un informe social sobre ti.</w:t>
      </w:r>
    </w:p>
    <w:p w14:paraId="4575B2DA"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La realización del informe social es obligatoria:</w:t>
      </w:r>
    </w:p>
    <w:p w14:paraId="4F5B3434"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1) en casos de crímenes graves;</w:t>
      </w:r>
    </w:p>
    <w:p w14:paraId="78EE9504"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2) si al momento de cometer el acto no habías cumplido los 18 años;</w:t>
      </w:r>
    </w:p>
    <w:p w14:paraId="73D7AA65"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3) si al momento de cometer el acto no habías cumplido los 21 años y se te acusa de un delito intencional contra la vida.</w:t>
      </w:r>
    </w:p>
    <w:p w14:paraId="33B0CCEB"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Si no tienes un lugar de residencia permanente en el país, el informe social puede no ser realizado.</w:t>
      </w:r>
    </w:p>
    <w:p w14:paraId="20B22053"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El resultado del informe social debe incluir en particular:</w:t>
      </w:r>
    </w:p>
    <w:p w14:paraId="6C8ED888"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1) datos de la persona que realiza el informe;</w:t>
      </w:r>
    </w:p>
    <w:p w14:paraId="3F15C514"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lastRenderedPageBreak/>
        <w:t>2) tu nombre y apellido;</w:t>
      </w:r>
    </w:p>
    <w:p w14:paraId="41366ADB"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3) una breve descripción de tu vida hasta el momento y detalles precisos sobre tu entorno, incluyendo el familiar, escolar o laboral, así como información sobre tu situación financiera y fuentes de ingresos;</w:t>
      </w:r>
    </w:p>
    <w:p w14:paraId="5FAE1E30"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4) información sobre tu estado de salud, así como sobre el consumo de alcohol, drogas, sustancias sustitutas o sustancias psicotrópicas;</w:t>
      </w:r>
    </w:p>
    <w:p w14:paraId="35C8EDFB"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5) las observaciones y conclusiones de la persona que realiza el informe, especialmente en lo que respecta a tus características personales y condiciones de vida.</w:t>
      </w:r>
    </w:p>
    <w:p w14:paraId="785E8827"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La persona que realiza el informe solo puede revelar información sobre las personas que proporcionaron datos en el informe social a solicitud del tribunal o, en la fase de instrucción, del fiscal.</w:t>
      </w:r>
    </w:p>
    <w:p w14:paraId="5D9A356E"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Las personas que proporcionaron información en el informe social pueden ser interrogadas como testigos si es necesario.</w:t>
      </w:r>
    </w:p>
    <w:p w14:paraId="0000A125"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La Policía está obligada a ayudar a la persona que realiza el informe social en el desempeño de sus funciones, para garantizar su seguridad.</w:t>
      </w:r>
    </w:p>
    <w:p w14:paraId="3332B64C" w14:textId="77777777" w:rsidR="00DC51FB" w:rsidRPr="00FC19B1" w:rsidRDefault="00DC51FB" w:rsidP="00FC19B1">
      <w:pPr>
        <w:keepNext/>
        <w:keepLines/>
        <w:spacing w:line="360" w:lineRule="auto"/>
        <w:contextualSpacing/>
        <w:jc w:val="both"/>
        <w:rPr>
          <w:rFonts w:ascii="Times New Roman" w:eastAsia="Calibri" w:hAnsi="Times New Roman" w:cs="Times New Roman"/>
          <w:lang w:val="es-ES" w:eastAsia="pl-PL" w:bidi="pl-PL"/>
        </w:rPr>
      </w:pPr>
      <w:r w:rsidRPr="00FC19B1">
        <w:rPr>
          <w:rFonts w:ascii="Times New Roman" w:eastAsia="Calibri" w:hAnsi="Times New Roman" w:cs="Times New Roman"/>
          <w:lang w:val="es-ES" w:eastAsia="pl-PL" w:bidi="pl-PL"/>
        </w:rPr>
        <w:t>La persona designada para realizar el informe social puede ser recusada de esta tarea. Esta decisión corresponde al tribunal o, en la fase de instrucción, al fiscal; en este caso las disposiciones sobre la recusación de jueces se aplican mutatis mutandis (art. 214).</w:t>
      </w:r>
    </w:p>
    <w:p w14:paraId="3B8861BF" w14:textId="77777777" w:rsidR="00DC51FB" w:rsidRPr="00FC19B1" w:rsidRDefault="00DC51FB" w:rsidP="00FC19B1">
      <w:pPr>
        <w:keepNext/>
        <w:keepLines/>
        <w:spacing w:after="90" w:line="360" w:lineRule="auto"/>
        <w:contextualSpacing/>
        <w:rPr>
          <w:rStyle w:val="Heading2"/>
          <w:rFonts w:ascii="Times New Roman" w:hAnsi="Times New Roman" w:cs="Times New Roman"/>
          <w:b w:val="0"/>
          <w:bCs w:val="0"/>
          <w:color w:val="auto"/>
          <w:sz w:val="24"/>
          <w:szCs w:val="24"/>
          <w:lang w:val="es-ES"/>
        </w:rPr>
      </w:pPr>
      <w:bookmarkStart w:id="6" w:name="bookmark17"/>
    </w:p>
    <w:p w14:paraId="7A1A9F5F" w14:textId="77777777" w:rsidR="00DC51FB" w:rsidRPr="00FC19B1" w:rsidRDefault="00DC51FB" w:rsidP="00FC19B1">
      <w:pPr>
        <w:keepNext/>
        <w:keepLines/>
        <w:spacing w:after="90" w:line="360" w:lineRule="auto"/>
        <w:contextualSpacing/>
        <w:jc w:val="both"/>
        <w:rPr>
          <w:rFonts w:ascii="Times New Roman" w:hAnsi="Times New Roman" w:cs="Times New Roman"/>
          <w:lang w:val="es-ES"/>
        </w:rPr>
      </w:pPr>
      <w:r w:rsidRPr="00FC19B1">
        <w:rPr>
          <w:rStyle w:val="Heading2"/>
          <w:rFonts w:ascii="Times New Roman" w:hAnsi="Times New Roman" w:cs="Times New Roman"/>
          <w:color w:val="auto"/>
          <w:sz w:val="24"/>
          <w:szCs w:val="24"/>
          <w:lang w:val="es-ES"/>
        </w:rPr>
        <w:t>Medidas cautelares</w:t>
      </w:r>
      <w:bookmarkEnd w:id="6"/>
    </w:p>
    <w:p w14:paraId="6A60E82F" w14:textId="77777777" w:rsidR="00DC51FB" w:rsidRPr="00FC19B1" w:rsidRDefault="00DC51FB" w:rsidP="00FC19B1">
      <w:pPr>
        <w:spacing w:after="60"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En el procedimiento penal polaco se pueden aplicar diversas medidas destinadas a prevenir la obstrucción del proceso penal (medidas cautelares).</w:t>
      </w:r>
    </w:p>
    <w:p w14:paraId="22B849D6" w14:textId="77777777" w:rsidR="00DC51FB" w:rsidRPr="00FC19B1" w:rsidRDefault="00DC51FB" w:rsidP="00FC19B1">
      <w:pPr>
        <w:spacing w:after="60" w:line="360" w:lineRule="auto"/>
        <w:contextualSpacing/>
        <w:jc w:val="both"/>
        <w:rPr>
          <w:rFonts w:ascii="Times New Roman" w:hAnsi="Times New Roman" w:cs="Times New Roman"/>
          <w:lang w:val="es-ES"/>
        </w:rPr>
      </w:pPr>
      <w:r w:rsidRPr="00FC19B1">
        <w:rPr>
          <w:rFonts w:ascii="Times New Roman" w:hAnsi="Times New Roman" w:cs="Times New Roman"/>
          <w:lang w:val="es-ES" w:eastAsia="pl-PL" w:bidi="pl-PL"/>
        </w:rPr>
        <w:t>Tenemos una medida preventiva privativa de libertad: la detención provisional, que siempre es aplicada por el tribunal.</w:t>
      </w:r>
    </w:p>
    <w:p w14:paraId="12F56CC3"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La prisión preventiva no se aplica cuando otras medidas preventivas son suficientes, por ejemplo, la vigilancia policial, que es una medida no privativa de libertad (art. 257 § 1).</w:t>
      </w:r>
    </w:p>
    <w:p w14:paraId="6C5A3C65"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El tribunal puede cambiar la detención provisional por una fianza, siempre que se deposite en el plazo establecido. Se puede solicitar al tribunal una prórroga de este plazo (art. 257 § 2).</w:t>
      </w:r>
    </w:p>
    <w:p w14:paraId="5CCBDA70"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El tribunal puede no aplicar la detención provisional cuando:</w:t>
      </w:r>
    </w:p>
    <w:p w14:paraId="1387DC52"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1) sería peligrosa para tu vida o salud;</w:t>
      </w:r>
    </w:p>
    <w:p w14:paraId="5E1C0343"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2) causaría consecuencias excepcionalmente graves para ti o para tu familia más cercana.</w:t>
      </w:r>
    </w:p>
    <w:p w14:paraId="73B61A7F"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El tribunal no aplica la detención provisional cuando:</w:t>
      </w:r>
    </w:p>
    <w:p w14:paraId="2C236F53"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1) se te impusiera una pena privativa de libertad con suspensión condicional o una pena más leve;</w:t>
      </w:r>
    </w:p>
    <w:p w14:paraId="6672A049"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lastRenderedPageBreak/>
        <w:t>2) el delito del que se te acusa está penado con una pena de privación de libertad que no excede un año.</w:t>
      </w:r>
    </w:p>
    <w:p w14:paraId="567C0841"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En estos casos, el tribunal puede, sin embargo, aplicar la detención provisional si te estás ocultando, no te presentas a las citaciones recurrentemente, o de otro modo obstaculizas el procedimiento de manera ilegal, o si no se puede determinar la identidad del acusado, o existe una alta probabilidad de que se imponga una medida de seguridad que implique el internamiento del autor en un establecimiento cerrado (art. 259).</w:t>
      </w:r>
    </w:p>
    <w:p w14:paraId="6F55897D"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En lugar de la detención provisional, el tribunal o el fiscal pueden aplicar:</w:t>
      </w:r>
    </w:p>
    <w:p w14:paraId="3F88857C"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1) fianza</w:t>
      </w:r>
      <w:r w:rsidRPr="00FC19B1">
        <w:rPr>
          <w:rFonts w:ascii="Times New Roman" w:hAnsi="Times New Roman" w:cs="Times New Roman"/>
          <w:lang w:val="es-ES" w:eastAsia="pl-PL" w:bidi="pl-PL"/>
        </w:rPr>
        <w:t>, lo que significa que tú, como acusado/a, u otra persona debéis depositar dinero en una cuenta específica, entregar bienes como garantía o establecer una hipoteca sobre una propiedad (art. 266);</w:t>
      </w:r>
    </w:p>
    <w:p w14:paraId="7375B04C"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2) garantía de un empleador</w:t>
      </w:r>
      <w:r w:rsidRPr="00FC19B1">
        <w:rPr>
          <w:rFonts w:ascii="Times New Roman" w:hAnsi="Times New Roman" w:cs="Times New Roman"/>
          <w:lang w:val="es-ES" w:eastAsia="pl-PL" w:bidi="pl-PL"/>
        </w:rPr>
        <w:t xml:space="preserve"> o de la dirección de una escuela o universidad u otro gremio, lo que significa que estas personas garantizan que tú, como acusado/a, te presentarás a cada citación y no obstaculizarás el procedimiento (art. 271);</w:t>
      </w:r>
    </w:p>
    <w:p w14:paraId="04F9540A"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3) garantía personal</w:t>
      </w:r>
      <w:r w:rsidRPr="00FC19B1">
        <w:rPr>
          <w:rFonts w:ascii="Times New Roman" w:hAnsi="Times New Roman" w:cs="Times New Roman"/>
          <w:lang w:val="es-ES" w:eastAsia="pl-PL" w:bidi="pl-PL"/>
        </w:rPr>
        <w:t>, lo que significa que una persona importante y respetada, como un diputado, senador, alcalde, o una persona de confianza, promete que tú, como acusado/a, te presentarás a cada citación y no obstaculizarás el procedimiento (art. 272);</w:t>
      </w:r>
    </w:p>
    <w:p w14:paraId="6C19C3FE"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4) vigilancia policial</w:t>
      </w:r>
      <w:r w:rsidRPr="00FC19B1">
        <w:rPr>
          <w:rFonts w:ascii="Times New Roman" w:hAnsi="Times New Roman" w:cs="Times New Roman"/>
          <w:lang w:val="es-ES" w:eastAsia="pl-PL" w:bidi="pl-PL"/>
        </w:rPr>
        <w:t>, lo que significa que tú, como acusado/a, tendrás diversas obligaciones, como presentarte en la comisaría o estación de policía en un plazo determinado. También puedes tener prohibido abandonar un lugar de residencia específico, la obligación de notificar al fiscal o a la policía sobre un viaje planeado y la fecha de regreso, prohibiciones de contactar a la víctima o a otras personas, prohibiciones de acercarte a ciertas personas a una distancia determinada, como p.ej. 100 metros, prohibiciones de permanecer en ciertos lugares, como donde esté la víctima, así como otras restricciones a tu libertad necesarias para llevar a cabo la vigilancia (art. 275);</w:t>
      </w:r>
    </w:p>
    <w:p w14:paraId="3380E89A"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5) orden de abandonar el local</w:t>
      </w:r>
      <w:r w:rsidRPr="00FC19B1">
        <w:rPr>
          <w:rFonts w:ascii="Times New Roman" w:hAnsi="Times New Roman" w:cs="Times New Roman"/>
          <w:lang w:val="es-ES" w:eastAsia="pl-PL" w:bidi="pl-PL"/>
        </w:rPr>
        <w:t xml:space="preserve"> y prohibición de acercarte a la víctima a una distancia determinada, si se te acusa de un delito cometido con violencia en perjuicio de una persona con la que vivías (art. 275a);</w:t>
      </w:r>
    </w:p>
    <w:p w14:paraId="73682333"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6) suspensión de tus funciones</w:t>
      </w:r>
      <w:r w:rsidRPr="00FC19B1">
        <w:rPr>
          <w:rFonts w:ascii="Times New Roman" w:hAnsi="Times New Roman" w:cs="Times New Roman"/>
          <w:lang w:val="es-ES" w:eastAsia="pl-PL" w:bidi="pl-PL"/>
        </w:rPr>
        <w:t xml:space="preserve"> o del ejercicio de tu profesión, o una orden para que te abstengas de cierta actividad. Esto podría referirse, por ejemplo, a la actividad empresarial (como p.ej. la producción de materiales peligrosos) o al ejercicio de la profesión de abogado. A veces, debes abstenerte de conducir ciertos tipos de vehículos o no puedes optar a la adjudicación de contratos públicos (art. 276);</w:t>
      </w:r>
    </w:p>
    <w:p w14:paraId="7D1B51C3"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lastRenderedPageBreak/>
        <w:t>6) prohibición de acercarte a la víctima</w:t>
      </w:r>
      <w:r w:rsidRPr="00FC19B1">
        <w:rPr>
          <w:rFonts w:ascii="Times New Roman" w:hAnsi="Times New Roman" w:cs="Times New Roman"/>
          <w:lang w:val="es-ES" w:eastAsia="pl-PL" w:bidi="pl-PL"/>
        </w:rPr>
        <w:t xml:space="preserve"> a una distancia determinada, prohibición de contactos o prohibición de publicación, incluso a través de sistemas informáticos o redes de telecomunicaciones, de contenidos que afecten los derechos legalmente protegidos de la víctima, cuando se te acusa de un delito cometido en relación con un miembro del personal médico que estaba realizando tareas de atención médica, o de una persona asignada al personal médico para ayudar en la realización de dichas tareas. Esto significa que el tribunal o el fiscal pueden aplicar esta medida si, por ejemplo, golpeaste a un paramédico mientras intentaba ayudarte. La misma medida se puede aplicar si se te ha acusado de acoso persistente, o sea, </w:t>
      </w:r>
      <w:proofErr w:type="spellStart"/>
      <w:r w:rsidRPr="00FC19B1">
        <w:rPr>
          <w:rFonts w:ascii="Times New Roman" w:hAnsi="Times New Roman" w:cs="Times New Roman"/>
          <w:lang w:val="es-ES" w:eastAsia="pl-PL" w:bidi="pl-PL"/>
        </w:rPr>
        <w:t>stalking</w:t>
      </w:r>
      <w:proofErr w:type="spellEnd"/>
      <w:r w:rsidRPr="00FC19B1">
        <w:rPr>
          <w:rFonts w:ascii="Times New Roman" w:hAnsi="Times New Roman" w:cs="Times New Roman"/>
          <w:lang w:val="es-ES" w:eastAsia="pl-PL" w:bidi="pl-PL"/>
        </w:rPr>
        <w:t>, debido a la profesión que ejerce la víctima (art. 276a);</w:t>
      </w:r>
    </w:p>
    <w:p w14:paraId="1C1C97F5"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b/>
          <w:bCs/>
          <w:lang w:val="es-ES" w:eastAsia="pl-PL" w:bidi="pl-PL"/>
        </w:rPr>
        <w:t>8) prohibición de salir de Polonia</w:t>
      </w:r>
      <w:r w:rsidRPr="00FC19B1">
        <w:rPr>
          <w:rFonts w:ascii="Times New Roman" w:hAnsi="Times New Roman" w:cs="Times New Roman"/>
          <w:lang w:val="es-ES" w:eastAsia="pl-PL" w:bidi="pl-PL"/>
        </w:rPr>
        <w:t xml:space="preserve"> combinada con la prohibición de emitir un pasaporte u otro documento que permita cruzar la frontera o con la prohibición de emitir dicho documento (art. 277).</w:t>
      </w:r>
    </w:p>
    <w:p w14:paraId="0FFE5E0F"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p>
    <w:p w14:paraId="2C6B26F0" w14:textId="77777777" w:rsidR="00DC51FB" w:rsidRPr="00FC19B1" w:rsidRDefault="00DC51FB" w:rsidP="00FC19B1">
      <w:pPr>
        <w:keepNext/>
        <w:keepLines/>
        <w:spacing w:after="90" w:line="360" w:lineRule="auto"/>
        <w:contextualSpacing/>
        <w:jc w:val="both"/>
        <w:rPr>
          <w:rFonts w:ascii="Times New Roman" w:hAnsi="Times New Roman" w:cs="Times New Roman"/>
          <w:lang w:val="es-ES"/>
        </w:rPr>
      </w:pPr>
      <w:r w:rsidRPr="00FC19B1">
        <w:rPr>
          <w:rStyle w:val="Heading2"/>
          <w:rFonts w:ascii="Times New Roman" w:hAnsi="Times New Roman" w:cs="Times New Roman"/>
          <w:color w:val="auto"/>
          <w:sz w:val="24"/>
          <w:szCs w:val="24"/>
          <w:lang w:val="es-ES"/>
        </w:rPr>
        <w:t>Audiencia</w:t>
      </w:r>
    </w:p>
    <w:p w14:paraId="25C19596"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r w:rsidRPr="00FC19B1">
        <w:rPr>
          <w:rFonts w:ascii="Times New Roman" w:hAnsi="Times New Roman" w:cs="Times New Roman"/>
          <w:lang w:val="es-ES" w:eastAsia="pl-PL" w:bidi="pl-PL"/>
        </w:rPr>
        <w:t>Las audiencias en las causas penales son públicas, lo que significa que el público (extraños o conocidos que observarán el desarrollo de la audiencia) puede estar presente (art. 355).</w:t>
      </w:r>
    </w:p>
    <w:p w14:paraId="0E947183" w14:textId="77777777" w:rsidR="00DC51FB" w:rsidRPr="00FC19B1" w:rsidRDefault="00DC51FB" w:rsidP="00FC19B1">
      <w:pPr>
        <w:spacing w:after="0" w:line="360" w:lineRule="auto"/>
        <w:contextualSpacing/>
        <w:jc w:val="both"/>
        <w:rPr>
          <w:rFonts w:ascii="Times New Roman" w:hAnsi="Times New Roman" w:cs="Times New Roman"/>
          <w:lang w:val="es-ES" w:eastAsia="pl-PL" w:bidi="pl-PL"/>
        </w:rPr>
      </w:pPr>
    </w:p>
    <w:p w14:paraId="6FD37625"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El tribunal puede excluir la publicidad de la audiencia si la audiencia pública pudiera:</w:t>
      </w:r>
    </w:p>
    <w:p w14:paraId="1E685531"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1) provocar alteraciones del orden público;</w:t>
      </w:r>
    </w:p>
    <w:p w14:paraId="2398F412"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2) ofender las buenas costumbres;</w:t>
      </w:r>
    </w:p>
    <w:p w14:paraId="3DD82404"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3) revelar circunstancias que, debido a un importante interés del Estado, deben mantenerse en secreto;</w:t>
      </w:r>
    </w:p>
    <w:p w14:paraId="27EA8040"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4) perjudicar un interés privado importante.</w:t>
      </w:r>
    </w:p>
    <w:p w14:paraId="6A46E613"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El tribunal también puede excluir la publicidad  si al menos uno de los acusados no ha cumplido 18 años, o durante el interrogatorio de un testigo que no ha cumplido 15 años, y a solicitud de la persona que presentó la solicitud de enjuiciamiento.</w:t>
      </w:r>
    </w:p>
    <w:p w14:paraId="3CF5440A"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Si el fiscal se opone a la exclusión de la publicidad, la audiencia se llevará a cabo de manera pública (art. 360).</w:t>
      </w:r>
    </w:p>
    <w:p w14:paraId="28400502"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El tribunal puede excluir la publicidad de la audiencia total o parcialmente, lo que significa que no habrá público presente, pero puedes indicar a dos personas mayores de edad que observarán la audiencia. También el fiscal y otros participantes en el proceso podrán indicar a dos personas cada uno. Si hay varios acusadores o acusados, cada uno de ellos puede solicitar que se permita que una persona permanezca en la sala de audiencias.</w:t>
      </w:r>
    </w:p>
    <w:p w14:paraId="3B0CDB3E"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lastRenderedPageBreak/>
        <w:t>Durante las diligencias en las que participe la víctima, que se practiquen en una audiencia con exclusión de la publicidad, puede estar presente una persona indicada por ella.</w:t>
      </w:r>
    </w:p>
    <w:p w14:paraId="7743B83B"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En caso de que haya temor de revelar información clasificada con la cláusula "secreto" o "estrictamente secreto", la participación de estas personas no será posible (art. 361 § 2).</w:t>
      </w:r>
    </w:p>
    <w:p w14:paraId="7BFFA00C"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En caso de exclusión de la publicidad, el presidente puede permitir la presencia de ciertas personas en la audiencia (art. 361).</w:t>
      </w:r>
    </w:p>
    <w:p w14:paraId="18ABECDD" w14:textId="77777777" w:rsidR="00DC51FB" w:rsidRPr="00FC19B1" w:rsidRDefault="00DC51FB" w:rsidP="00FC19B1">
      <w:pPr>
        <w:spacing w:after="0" w:line="360" w:lineRule="auto"/>
        <w:contextualSpacing/>
        <w:jc w:val="both"/>
        <w:rPr>
          <w:rFonts w:ascii="Times New Roman" w:hAnsi="Times New Roman" w:cs="Times New Roman"/>
          <w:lang w:val="es-ES"/>
        </w:rPr>
      </w:pPr>
      <w:r w:rsidRPr="00FC19B1">
        <w:rPr>
          <w:rFonts w:ascii="Times New Roman" w:hAnsi="Times New Roman" w:cs="Times New Roman"/>
          <w:lang w:val="es-ES"/>
        </w:rPr>
        <w:t>Como acusado, tienes derecho a participar en la audiencia. El presidente o el tribunal pueden considerar tu presencia como obligatoria (art. 374 § 1).</w:t>
      </w:r>
    </w:p>
    <w:p w14:paraId="16AAA18B" w14:textId="77777777" w:rsidR="00DC51FB" w:rsidRPr="00FC19B1" w:rsidRDefault="00DC51FB" w:rsidP="00FC19B1">
      <w:pPr>
        <w:spacing w:line="360" w:lineRule="auto"/>
        <w:contextualSpacing/>
        <w:jc w:val="both"/>
        <w:rPr>
          <w:rFonts w:ascii="Times New Roman" w:hAnsi="Times New Roman" w:cs="Times New Roman"/>
          <w:lang w:val="es-ES"/>
        </w:rPr>
      </w:pPr>
    </w:p>
    <w:p w14:paraId="5C5D0ED7" w14:textId="77777777" w:rsidR="00DC51FB" w:rsidRPr="00FC19B1" w:rsidRDefault="00DC51FB" w:rsidP="00FC19B1">
      <w:pPr>
        <w:spacing w:line="360" w:lineRule="auto"/>
        <w:contextualSpacing/>
        <w:jc w:val="both"/>
        <w:rPr>
          <w:rFonts w:ascii="Times New Roman" w:hAnsi="Times New Roman" w:cs="Times New Roman"/>
          <w:lang w:val="es-ES"/>
        </w:rPr>
      </w:pPr>
    </w:p>
    <w:p w14:paraId="2B04215F" w14:textId="77777777" w:rsidR="00DC51FB" w:rsidRPr="00FC19B1" w:rsidRDefault="00DC51FB" w:rsidP="00FC19B1">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bCs/>
          <w:lang w:val="es-ES"/>
        </w:rPr>
      </w:pPr>
      <w:r w:rsidRPr="00FC19B1">
        <w:rPr>
          <w:rFonts w:ascii="Times New Roman" w:hAnsi="Times New Roman" w:cs="Times New Roman"/>
          <w:b/>
          <w:bCs/>
          <w:lang w:val="es-ES"/>
        </w:rPr>
        <w:t xml:space="preserve">Si algo no te queda claro o necesitas más detalles, siempre puedes preguntar al encargado de tu caso. El encargado tiene la obligación de explicarte tus derechos y </w:t>
      </w:r>
      <w:r w:rsidRPr="00FC19B1">
        <w:rPr>
          <w:rStyle w:val="Bodytext3Exact"/>
          <w:rFonts w:ascii="Times New Roman" w:hAnsi="Times New Roman" w:cs="Times New Roman"/>
          <w:sz w:val="24"/>
          <w:szCs w:val="24"/>
          <w:lang w:val="es-ES"/>
        </w:rPr>
        <w:t>obligaciones</w:t>
      </w:r>
      <w:r w:rsidRPr="00FC19B1">
        <w:rPr>
          <w:rFonts w:ascii="Times New Roman" w:hAnsi="Times New Roman" w:cs="Times New Roman"/>
          <w:b/>
          <w:bCs/>
          <w:lang w:val="es-ES"/>
        </w:rPr>
        <w:t xml:space="preserve"> de manera completa y comprensible.</w:t>
      </w:r>
    </w:p>
    <w:p w14:paraId="5881051D" w14:textId="77777777" w:rsidR="00DC51FB" w:rsidRPr="00FC19B1" w:rsidRDefault="00DC51FB" w:rsidP="00FC19B1">
      <w:pPr>
        <w:spacing w:line="360" w:lineRule="auto"/>
        <w:contextualSpacing/>
        <w:rPr>
          <w:rFonts w:ascii="Times New Roman" w:hAnsi="Times New Roman" w:cs="Times New Roman"/>
          <w:lang w:val="es-ES"/>
        </w:rPr>
      </w:pPr>
    </w:p>
    <w:bookmarkEnd w:id="0"/>
    <w:p w14:paraId="68AE0DF0" w14:textId="77777777" w:rsidR="00DC51FB" w:rsidRPr="00FC19B1" w:rsidRDefault="00DC51FB" w:rsidP="00FC19B1">
      <w:pPr>
        <w:spacing w:after="0" w:line="360" w:lineRule="auto"/>
        <w:contextualSpacing/>
        <w:jc w:val="both"/>
        <w:rPr>
          <w:rFonts w:ascii="Times New Roman" w:hAnsi="Times New Roman" w:cs="Times New Roman"/>
          <w:lang w:val="es-ES"/>
        </w:rPr>
      </w:pPr>
    </w:p>
    <w:p w14:paraId="361B7252" w14:textId="77777777" w:rsidR="00E30E72" w:rsidRPr="00FC19B1" w:rsidRDefault="00E30E72" w:rsidP="00FC19B1">
      <w:pPr>
        <w:spacing w:line="360" w:lineRule="auto"/>
        <w:contextualSpacing/>
        <w:rPr>
          <w:rFonts w:ascii="Times New Roman" w:hAnsi="Times New Roman" w:cs="Times New Roman"/>
          <w:lang w:val="es-ES"/>
        </w:rPr>
      </w:pPr>
    </w:p>
    <w:sectPr w:rsidR="00E30E72" w:rsidRPr="00FC19B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7326C" w14:textId="77777777" w:rsidR="00D806E7" w:rsidRDefault="00D806E7" w:rsidP="00E30E72">
      <w:pPr>
        <w:spacing w:after="0" w:line="240" w:lineRule="auto"/>
      </w:pPr>
      <w:r>
        <w:separator/>
      </w:r>
    </w:p>
  </w:endnote>
  <w:endnote w:type="continuationSeparator" w:id="0">
    <w:p w14:paraId="4A1DB10E" w14:textId="77777777" w:rsidR="00D806E7" w:rsidRDefault="00D806E7" w:rsidP="00E3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3431237"/>
      <w:docPartObj>
        <w:docPartGallery w:val="Page Numbers (Bottom of Page)"/>
        <w:docPartUnique/>
      </w:docPartObj>
    </w:sdtPr>
    <w:sdtEndPr/>
    <w:sdtContent>
      <w:p w14:paraId="057AF164" w14:textId="6E6C763E" w:rsidR="00E30E72" w:rsidRDefault="00E30E72">
        <w:pPr>
          <w:pStyle w:val="Stopka"/>
          <w:jc w:val="right"/>
        </w:pPr>
        <w:r>
          <w:fldChar w:fldCharType="begin"/>
        </w:r>
        <w:r>
          <w:instrText>PAGE   \* MERGEFORMAT</w:instrText>
        </w:r>
        <w:r>
          <w:fldChar w:fldCharType="separate"/>
        </w:r>
        <w:r>
          <w:t>2</w:t>
        </w:r>
        <w:r>
          <w:fldChar w:fldCharType="end"/>
        </w:r>
      </w:p>
    </w:sdtContent>
  </w:sdt>
  <w:p w14:paraId="175FBD22" w14:textId="77777777" w:rsidR="00E30E72" w:rsidRDefault="00E30E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573A" w14:textId="77777777" w:rsidR="00D806E7" w:rsidRDefault="00D806E7" w:rsidP="00E30E72">
      <w:pPr>
        <w:spacing w:after="0" w:line="240" w:lineRule="auto"/>
      </w:pPr>
      <w:r>
        <w:separator/>
      </w:r>
    </w:p>
  </w:footnote>
  <w:footnote w:type="continuationSeparator" w:id="0">
    <w:p w14:paraId="41C69E25" w14:textId="77777777" w:rsidR="00D806E7" w:rsidRDefault="00D806E7" w:rsidP="00E30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72"/>
    <w:rsid w:val="001F311B"/>
    <w:rsid w:val="008366D5"/>
    <w:rsid w:val="00D806E7"/>
    <w:rsid w:val="00DC51FB"/>
    <w:rsid w:val="00E30E72"/>
    <w:rsid w:val="00FC1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36F6"/>
  <w15:chartTrackingRefBased/>
  <w15:docId w15:val="{FAA2AEC7-483A-4BE4-8177-26FBE7E8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1FB"/>
  </w:style>
  <w:style w:type="paragraph" w:styleId="Nagwek1">
    <w:name w:val="heading 1"/>
    <w:basedOn w:val="Normalny"/>
    <w:next w:val="Normalny"/>
    <w:link w:val="Nagwek1Znak"/>
    <w:uiPriority w:val="9"/>
    <w:qFormat/>
    <w:rsid w:val="00E30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30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30E7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30E7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30E7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30E7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30E7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30E7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30E7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0E7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30E7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30E7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30E7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30E7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30E7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30E7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30E7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30E72"/>
    <w:rPr>
      <w:rFonts w:eastAsiaTheme="majorEastAsia" w:cstheme="majorBidi"/>
      <w:color w:val="272727" w:themeColor="text1" w:themeTint="D8"/>
    </w:rPr>
  </w:style>
  <w:style w:type="paragraph" w:styleId="Tytu">
    <w:name w:val="Title"/>
    <w:basedOn w:val="Normalny"/>
    <w:next w:val="Normalny"/>
    <w:link w:val="TytuZnak"/>
    <w:uiPriority w:val="10"/>
    <w:qFormat/>
    <w:rsid w:val="00E30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30E7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30E7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30E7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30E72"/>
    <w:pPr>
      <w:spacing w:before="160"/>
      <w:jc w:val="center"/>
    </w:pPr>
    <w:rPr>
      <w:i/>
      <w:iCs/>
      <w:color w:val="404040" w:themeColor="text1" w:themeTint="BF"/>
    </w:rPr>
  </w:style>
  <w:style w:type="character" w:customStyle="1" w:styleId="CytatZnak">
    <w:name w:val="Cytat Znak"/>
    <w:basedOn w:val="Domylnaczcionkaakapitu"/>
    <w:link w:val="Cytat"/>
    <w:uiPriority w:val="29"/>
    <w:rsid w:val="00E30E72"/>
    <w:rPr>
      <w:i/>
      <w:iCs/>
      <w:color w:val="404040" w:themeColor="text1" w:themeTint="BF"/>
    </w:rPr>
  </w:style>
  <w:style w:type="paragraph" w:styleId="Akapitzlist">
    <w:name w:val="List Paragraph"/>
    <w:basedOn w:val="Normalny"/>
    <w:uiPriority w:val="34"/>
    <w:qFormat/>
    <w:rsid w:val="00E30E72"/>
    <w:pPr>
      <w:ind w:left="720"/>
      <w:contextualSpacing/>
    </w:pPr>
  </w:style>
  <w:style w:type="character" w:styleId="Wyrnienieintensywne">
    <w:name w:val="Intense Emphasis"/>
    <w:basedOn w:val="Domylnaczcionkaakapitu"/>
    <w:uiPriority w:val="21"/>
    <w:qFormat/>
    <w:rsid w:val="00E30E72"/>
    <w:rPr>
      <w:i/>
      <w:iCs/>
      <w:color w:val="0F4761" w:themeColor="accent1" w:themeShade="BF"/>
    </w:rPr>
  </w:style>
  <w:style w:type="paragraph" w:styleId="Cytatintensywny">
    <w:name w:val="Intense Quote"/>
    <w:basedOn w:val="Normalny"/>
    <w:next w:val="Normalny"/>
    <w:link w:val="CytatintensywnyZnak"/>
    <w:uiPriority w:val="30"/>
    <w:qFormat/>
    <w:rsid w:val="00E30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30E72"/>
    <w:rPr>
      <w:i/>
      <w:iCs/>
      <w:color w:val="0F4761" w:themeColor="accent1" w:themeShade="BF"/>
    </w:rPr>
  </w:style>
  <w:style w:type="character" w:styleId="Odwoanieintensywne">
    <w:name w:val="Intense Reference"/>
    <w:basedOn w:val="Domylnaczcionkaakapitu"/>
    <w:uiPriority w:val="32"/>
    <w:qFormat/>
    <w:rsid w:val="00E30E72"/>
    <w:rPr>
      <w:b/>
      <w:bCs/>
      <w:smallCaps/>
      <w:color w:val="0F4761" w:themeColor="accent1" w:themeShade="BF"/>
      <w:spacing w:val="5"/>
    </w:rPr>
  </w:style>
  <w:style w:type="paragraph" w:styleId="Nagwek">
    <w:name w:val="header"/>
    <w:basedOn w:val="Normalny"/>
    <w:link w:val="NagwekZnak"/>
    <w:uiPriority w:val="99"/>
    <w:unhideWhenUsed/>
    <w:rsid w:val="00E30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E72"/>
  </w:style>
  <w:style w:type="paragraph" w:styleId="Stopka">
    <w:name w:val="footer"/>
    <w:basedOn w:val="Normalny"/>
    <w:link w:val="StopkaZnak"/>
    <w:uiPriority w:val="99"/>
    <w:unhideWhenUsed/>
    <w:rsid w:val="00E30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E72"/>
  </w:style>
  <w:style w:type="character" w:customStyle="1" w:styleId="Bodytext2Bold">
    <w:name w:val="Body text (2) + Bold"/>
    <w:basedOn w:val="Domylnaczcionkaakapitu"/>
    <w:rsid w:val="00DC51FB"/>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Heading2">
    <w:name w:val="Heading #2"/>
    <w:basedOn w:val="Domylnaczcionkaakapitu"/>
    <w:rsid w:val="00DC51FB"/>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Bodytext2">
    <w:name w:val="Body text (2)"/>
    <w:basedOn w:val="Domylnaczcionkaakapitu"/>
    <w:rsid w:val="00DC51FB"/>
    <w:rPr>
      <w:rFonts w:ascii="Calibri" w:eastAsia="Calibri" w:hAnsi="Calibri" w:cs="Calibri"/>
      <w:b w:val="0"/>
      <w:bCs w:val="0"/>
      <w:i w:val="0"/>
      <w:iCs w:val="0"/>
      <w:smallCaps w:val="0"/>
      <w:strike w:val="0"/>
      <w:color w:val="000000"/>
      <w:spacing w:val="0"/>
      <w:w w:val="100"/>
      <w:position w:val="0"/>
      <w:sz w:val="28"/>
      <w:szCs w:val="28"/>
      <w:u w:val="none"/>
      <w:lang w:val="pl-PL" w:eastAsia="pl-PL" w:bidi="pl-PL"/>
    </w:rPr>
  </w:style>
  <w:style w:type="character" w:customStyle="1" w:styleId="Bodytext3">
    <w:name w:val="Body text (3)"/>
    <w:basedOn w:val="Domylnaczcionkaakapitu"/>
    <w:rsid w:val="00DC51FB"/>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Heading2SmallCaps">
    <w:name w:val="Heading #2 + Small Caps"/>
    <w:basedOn w:val="Domylnaczcionkaakapitu"/>
    <w:rsid w:val="00DC51FB"/>
    <w:rPr>
      <w:rFonts w:ascii="Calibri" w:eastAsia="Calibri" w:hAnsi="Calibri" w:cs="Calibri"/>
      <w:b/>
      <w:bCs/>
      <w:i w:val="0"/>
      <w:iCs w:val="0"/>
      <w:smallCaps/>
      <w:strike w:val="0"/>
      <w:color w:val="000000"/>
      <w:spacing w:val="0"/>
      <w:w w:val="100"/>
      <w:position w:val="0"/>
      <w:sz w:val="28"/>
      <w:szCs w:val="28"/>
      <w:u w:val="none"/>
      <w:lang w:val="pl-PL" w:eastAsia="pl-PL" w:bidi="pl-PL"/>
    </w:rPr>
  </w:style>
  <w:style w:type="character" w:customStyle="1" w:styleId="Bodytext3Exact">
    <w:name w:val="Body text (3) Exact"/>
    <w:basedOn w:val="Domylnaczcionkaakapitu"/>
    <w:rsid w:val="00DC51FB"/>
    <w:rPr>
      <w:rFonts w:ascii="Calibri" w:eastAsia="Calibri" w:hAnsi="Calibri" w:cs="Calibri"/>
      <w:b/>
      <w:bCs/>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4705</Words>
  <Characters>23809</Characters>
  <Application>Microsoft Office Word</Application>
  <DocSecurity>0</DocSecurity>
  <Lines>485</Lines>
  <Paragraphs>247</Paragraphs>
  <ScaleCrop>false</ScaleCrop>
  <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Zendel</dc:creator>
  <cp:keywords/>
  <dc:description/>
  <cp:lastModifiedBy>Katarzyna Zendel</cp:lastModifiedBy>
  <cp:revision>4</cp:revision>
  <dcterms:created xsi:type="dcterms:W3CDTF">2024-10-01T06:45:00Z</dcterms:created>
  <dcterms:modified xsi:type="dcterms:W3CDTF">2024-10-01T07:54:00Z</dcterms:modified>
</cp:coreProperties>
</file>