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3080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AF60EA">
        <w:rPr>
          <w:rFonts w:asciiTheme="minorHAnsi" w:hAnsiTheme="minorHAnsi" w:cstheme="minorHAnsi"/>
          <w:bCs/>
          <w:sz w:val="24"/>
          <w:szCs w:val="24"/>
        </w:rPr>
        <w:t>7 kwietnia</w:t>
      </w:r>
      <w:r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F60EA" w:rsidRDefault="00AF60E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AF60EA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DOOŚ-WDŚZOO.420.58.2021.maz.mro.8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F60EA" w:rsidRPr="00AF60EA" w:rsidRDefault="00AF60EA" w:rsidP="00AF60E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F60E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 w związku z art. 74 ust. 3 ustawy z dnia 3 października 2008 r. o udostępnianiu informacji o środowisku i jego ochronie, udziale społeczeństwa w ochronie środowiska oraz o ocenach oddziaływania na środowisko (Dz. U. z 2021 r. poz. 2373, ze zm.), zawiadamiam strony postępowania oraz, na podstawie art. 85 ust. 3 ustawy ooś, zawiadamiam społeczeństwo, że Generalny Dyrektor Ochrony Środowiska decyzją z 6 kwietnia 2022 r., znak: DOOŚ-WDŚZOO.420.58.2021.mro.7, uchylił decyzję Regionalnego Dyrektora Ochrony Środowiska w Katowicach z 21 września 2021 r., znak: WOOŚ-II.420.10.2020.MK2.41, określającą środowiskowe uwarunkowania realizacji przedsięwzięcia pn.: Budowa zbiorników retencyjnych na potoku Ostropka przy ul. J. Słowackiego - II w części i w tym zakresie orzekł co do istoty sprawy lub umorzył postępowanie pierwszej instancji, a w pozostałej części utrzymał decyzję w mocy.</w:t>
      </w:r>
    </w:p>
    <w:p w:rsidR="00AF60EA" w:rsidRPr="00AF60EA" w:rsidRDefault="00AF60EA" w:rsidP="00AF60E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F60EA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Uczonych od następnego dnia po dniu, w którym upubliczniono zawiadomienie.</w:t>
      </w:r>
    </w:p>
    <w:p w:rsidR="00AF60EA" w:rsidRPr="00AF60EA" w:rsidRDefault="00AF60EA" w:rsidP="00AF60E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F60EA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 oraz Regionalnej Dyrekcji Ochrony Środowiska w Katowicach lub w sposób wskazany w art. 49b § 1 Kpa.</w:t>
      </w:r>
    </w:p>
    <w:p w:rsidR="00AF60EA" w:rsidRPr="00AF60EA" w:rsidRDefault="00AF60EA" w:rsidP="00AF60E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F60EA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457259" w:rsidRDefault="00AF60EA" w:rsidP="00AF60E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60EA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(https://www.gov.pl/web/gdos/decyzje-srodowiskowe2).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F60EA" w:rsidRPr="00AF60EA" w:rsidRDefault="00AF60EA" w:rsidP="00AF60E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F60EA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AF60EA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AF60EA" w:rsidRPr="00AF60EA" w:rsidRDefault="00AF60EA" w:rsidP="00AF60E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F60EA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</w:t>
      </w:r>
      <w:r>
        <w:rPr>
          <w:rFonts w:asciiTheme="minorHAnsi" w:hAnsiTheme="minorHAnsi" w:cstheme="minorHAnsi"/>
          <w:bCs/>
        </w:rPr>
        <w:t>ania wniosku, udostępnia stronie</w:t>
      </w:r>
      <w:r w:rsidRPr="00AF60EA">
        <w:rPr>
          <w:rFonts w:asciiTheme="minorHAnsi" w:hAnsiTheme="minorHAnsi" w:cstheme="minorHAnsi"/>
          <w:bCs/>
        </w:rPr>
        <w:t xml:space="preserve"> 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AF60EA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AF60EA" w:rsidRPr="00AF60EA" w:rsidRDefault="00AF60EA" w:rsidP="00AF60E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F60EA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p w:rsidR="00985B8F" w:rsidRPr="00B35A7F" w:rsidRDefault="00AF60EA" w:rsidP="00AF60E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F60EA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</w:t>
      </w:r>
      <w:r>
        <w:rPr>
          <w:rFonts w:asciiTheme="minorHAnsi" w:hAnsiTheme="minorHAnsi" w:cstheme="minorHAnsi"/>
          <w:bCs/>
        </w:rPr>
        <w:t>zwłocznie po jej wydaniu, podaje</w:t>
      </w:r>
      <w:r w:rsidRPr="00AF60EA">
        <w:rPr>
          <w:rFonts w:asciiTheme="minorHAnsi" w:hAnsiTheme="minorHAnsi" w:cstheme="minorHAnsi"/>
          <w:bCs/>
        </w:rPr>
        <w:t xml:space="preserve">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stronic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2B" w:rsidRDefault="0045282B">
      <w:pPr>
        <w:spacing w:after="0" w:line="240" w:lineRule="auto"/>
      </w:pPr>
      <w:r>
        <w:separator/>
      </w:r>
    </w:p>
  </w:endnote>
  <w:endnote w:type="continuationSeparator" w:id="0">
    <w:p w:rsidR="0045282B" w:rsidRDefault="0045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F60E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5282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2B" w:rsidRDefault="0045282B">
      <w:pPr>
        <w:spacing w:after="0" w:line="240" w:lineRule="auto"/>
      </w:pPr>
      <w:r>
        <w:separator/>
      </w:r>
    </w:p>
  </w:footnote>
  <w:footnote w:type="continuationSeparator" w:id="0">
    <w:p w:rsidR="0045282B" w:rsidRDefault="0045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5282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5282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5282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282B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AF60EA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8046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CE55-DF63-4C1E-A744-9453B7B2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2023-07-07T08:27:00Z</dcterms:created>
  <dcterms:modified xsi:type="dcterms:W3CDTF">2023-07-07T08:27:00Z</dcterms:modified>
</cp:coreProperties>
</file>