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073C" w14:textId="77777777" w:rsidR="002A1717" w:rsidRDefault="002A1717" w:rsidP="002A1717">
      <w:pPr>
        <w:pStyle w:val="Nagwek"/>
        <w:jc w:val="right"/>
      </w:pPr>
      <w:bookmarkStart w:id="0" w:name="_GoBack"/>
      <w:bookmarkEnd w:id="0"/>
    </w:p>
    <w:p w14:paraId="1F0A8C22" w14:textId="167B0460" w:rsidR="002A1717" w:rsidRDefault="002A1717" w:rsidP="002A1717">
      <w:pPr>
        <w:pStyle w:val="Nagwek"/>
        <w:jc w:val="right"/>
      </w:pPr>
      <w:r>
        <w:t>Załącznik Nr 1 do ogłoszenia ot</w:t>
      </w:r>
      <w:r w:rsidR="00924915">
        <w:t>wartego konkursu ofert Nr ew. 03</w:t>
      </w:r>
      <w:r>
        <w:t>/2021/WD/DEKiD</w:t>
      </w:r>
    </w:p>
    <w:p w14:paraId="448ECC73" w14:textId="77777777"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B19AD" w14:textId="77777777" w:rsidR="002A1717" w:rsidRDefault="002A1717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462135" w14:textId="2FAA97B7"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14:paraId="5E74C864" w14:textId="77777777"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14:paraId="413891E0" w14:textId="77777777"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410748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14:paraId="03C124E2" w14:textId="0FA12B05" w:rsidR="00B3232C" w:rsidRPr="00054C92" w:rsidRDefault="00B3232C" w:rsidP="00B3232C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="00286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</w:t>
      </w:r>
      <w:r w:rsidR="00FB0E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2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FB0EB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r w:rsidR="00662C8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14:paraId="23B0AFC5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14:paraId="4C53DED9" w14:textId="77777777" w:rsidR="00B3232C" w:rsidRPr="00054C92" w:rsidRDefault="00B3232C" w:rsidP="00B3232C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14:paraId="48991335" w14:textId="77777777"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14:paraId="3382B311" w14:textId="77777777"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związków wyznaniowych oraz 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14:paraId="381C72B6" w14:textId="77777777"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14:paraId="36697A4C" w14:textId="77777777"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14:paraId="078588B5" w14:textId="542176DD" w:rsidR="00B3232C" w:rsidRPr="00054C92" w:rsidRDefault="00B3232C" w:rsidP="00B3232C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</w:t>
      </w:r>
      <w:r w:rsidR="00FB0EBC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FB0EBC">
        <w:rPr>
          <w:rFonts w:ascii="Times New Roman" w:eastAsia="Times New Roman" w:hAnsi="Times New Roman" w:cs="Times New Roman"/>
          <w:sz w:val="24"/>
          <w:szCs w:val="24"/>
          <w:lang w:eastAsia="pl-PL"/>
        </w:rPr>
        <w:t>1133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które nie działają w celu osiągniecia zysku oraz przeznaczają całość dochodu na realizację celów statutowych oraz nie przeznaczają zysku do podziału między swoi</w:t>
      </w:r>
      <w:r w:rsidR="00924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udziałowców, akcjonariuszy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14:paraId="28DA4C17" w14:textId="77777777" w:rsidR="00B3232C" w:rsidRPr="00054C92" w:rsidRDefault="00B3232C" w:rsidP="00B3232C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14:paraId="59A5DB02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14:paraId="021BEAD4" w14:textId="36CCF98A" w:rsidR="006B0342" w:rsidRDefault="006B0342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Biorąc pod uwagę ryzyka i zagrożenia dotyczące sytuacji epidemicznej związanej </w:t>
      </w:r>
      <w:r>
        <w:rPr>
          <w:rFonts w:ascii="Times New Roman" w:hAnsi="Times New Roman"/>
          <w:b/>
          <w:sz w:val="24"/>
          <w:szCs w:val="24"/>
        </w:rPr>
        <w:br/>
        <w:t>z rozprzestrzenianiem się choroby COVID-19 oraz wynikającymi z tego faktu ograniczeniami, realizacja działań opisanych w ramach oferty zgłoszonej do udziału  w </w:t>
      </w:r>
      <w:r w:rsidRPr="00B82BEE">
        <w:rPr>
          <w:rFonts w:ascii="Times New Roman" w:hAnsi="Times New Roman"/>
          <w:b/>
          <w:i/>
          <w:sz w:val="24"/>
          <w:szCs w:val="24"/>
        </w:rPr>
        <w:t>Otwartym Konkursie</w:t>
      </w:r>
      <w:r>
        <w:rPr>
          <w:rFonts w:ascii="Times New Roman" w:hAnsi="Times New Roman"/>
          <w:b/>
          <w:i/>
          <w:sz w:val="24"/>
          <w:szCs w:val="24"/>
        </w:rPr>
        <w:t xml:space="preserve"> Ofert</w:t>
      </w:r>
      <w:r w:rsidRPr="00B82BEE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924915">
        <w:rPr>
          <w:rFonts w:ascii="Times New Roman" w:hAnsi="Times New Roman"/>
          <w:b/>
          <w:i/>
          <w:sz w:val="24"/>
          <w:szCs w:val="24"/>
        </w:rPr>
        <w:t>03</w:t>
      </w:r>
      <w:r w:rsidRPr="00B82BEE">
        <w:rPr>
          <w:rFonts w:ascii="Times New Roman" w:hAnsi="Times New Roman"/>
          <w:b/>
          <w:i/>
          <w:sz w:val="24"/>
          <w:szCs w:val="24"/>
        </w:rPr>
        <w:t>/2021/WD/DEKiD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2BEE">
        <w:rPr>
          <w:rFonts w:ascii="Times New Roman" w:hAnsi="Times New Roman"/>
          <w:b/>
          <w:sz w:val="24"/>
          <w:szCs w:val="24"/>
        </w:rPr>
        <w:t>musi uwzględniać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spełnienie wszelkich aktualnych wymagań związanych z bieżącą sytuacją epidemiczną, zgodnie z obowiązującymi i systematycznie aktualizowanymi przepisami o ograniczeniach, nakazach i zakazach określonych w związku z wystąpieniem stanu epidemii w Polsce.</w:t>
      </w:r>
    </w:p>
    <w:p w14:paraId="4ACFAE99" w14:textId="5B12FA5F"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wypełnić w języku polskim, maszynowo/komputerowo, według wzoru stanowiącego załącznik nr 1 do rozporządzenia </w:t>
      </w:r>
      <w:r w:rsidR="002869CE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054C92"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14:paraId="1C69F961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14:paraId="2890B0E4" w14:textId="11BE349A"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 w:rsidR="00D97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57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</w:t>
      </w:r>
    </w:p>
    <w:p w14:paraId="51DEEC93" w14:textId="77777777" w:rsidR="00B3232C" w:rsidRPr="00054C92" w:rsidRDefault="00B3232C" w:rsidP="00B3232C">
      <w:pPr>
        <w:pStyle w:val="Akapitzlist"/>
        <w:numPr>
          <w:ilvl w:val="0"/>
          <w:numId w:val="11"/>
        </w:numPr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14:paraId="7026A3C2" w14:textId="77777777" w:rsidR="00B3232C" w:rsidRPr="00054C92" w:rsidRDefault="00B3232C" w:rsidP="00B3232C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14:paraId="156539F2" w14:textId="77777777"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14:paraId="676CC51D" w14:textId="77777777"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14:paraId="52D2DF52" w14:textId="77777777"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14:paraId="7ECE3B4E" w14:textId="77777777" w:rsidR="00B3232C" w:rsidRPr="00054C92" w:rsidRDefault="00B3232C" w:rsidP="00B3232C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14:paraId="48C61C77" w14:textId="5D30140E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 planowanej kwoty dotacji</w:t>
      </w:r>
      <w:r w:rsidR="00D97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części VI. 3 (Inne informacje) należy wskazać szacunkową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wkładu niefinansowego</w:t>
      </w:r>
      <w:r w:rsidR="00D97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Jeżeli obejmuje on zarówno wkład osobowy, jak i rzeczowy należy wskazać szacunkowe wartości. </w:t>
      </w:r>
    </w:p>
    <w:p w14:paraId="733EE841" w14:textId="1E22879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go, o którym mowa w części III.5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i wkładu własnego niefinansowego powod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14:paraId="4F60FC73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14:paraId="56C1A4EA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14:paraId="5DE07661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14:paraId="072A4B1F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14:paraId="7C909C9B" w14:textId="749AA446"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przypadku, kiedy oferent planuje zlecić określoną część zadania innemu podmiotowi, zobowiązany jest do wskazania w harmonogramie (część III.4 oferty) zakresu działania realizowanego przez podmiot niebędący stroną umowy. Jeżeli oferent nie planuje powierzyć realizacji </w:t>
      </w:r>
      <w:r w:rsidR="00D975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konkretnego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działania podmiotowi niebędącemu stroną umowy należy wpisać </w:t>
      </w:r>
      <w:r w:rsidRPr="00D97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14:paraId="52D4D6ED" w14:textId="77777777" w:rsidR="00B3232C" w:rsidRPr="001D4E36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14:paraId="4A461C3C" w14:textId="77777777" w:rsidR="001D4E36" w:rsidRPr="007267F5" w:rsidRDefault="001D4E36" w:rsidP="001D4E36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14:paraId="7EB61757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14:paraId="2AAA53E0" w14:textId="77777777"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</w:t>
      </w:r>
      <w:r w:rsidR="005E3435" w:rsidRPr="00054C92">
        <w:rPr>
          <w:rFonts w:ascii="Times New Roman" w:hAnsi="Times New Roman" w:cs="Times New Roman"/>
          <w:b/>
          <w:sz w:val="24"/>
          <w:szCs w:val="24"/>
        </w:rPr>
        <w:t>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należy złożyć w </w:t>
      </w:r>
      <w:r w:rsidRPr="00054C92">
        <w:rPr>
          <w:rFonts w:ascii="Times New Roman" w:hAnsi="Times New Roman" w:cs="Times New Roman"/>
          <w:sz w:val="24"/>
          <w:szCs w:val="24"/>
        </w:rPr>
        <w:t>Biurze Podawczym Ministerstwa Obr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ony Narodowej mieszczącym się w </w:t>
      </w:r>
      <w:r w:rsidR="00BD2A1C"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14:paraId="6360882C" w14:textId="77777777"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14:paraId="0954EAFC" w14:textId="77777777"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14:paraId="19C787B6" w14:textId="77777777"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14:paraId="16AE1382" w14:textId="77777777"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14:paraId="2F2F1328" w14:textId="77777777" w:rsidR="00B749C1" w:rsidRPr="00054C92" w:rsidRDefault="00B749C1" w:rsidP="00B3232C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rozpatrywane są w </w:t>
      </w:r>
      <w:r w:rsidR="00B6634C"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następujących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etapach:</w:t>
      </w:r>
    </w:p>
    <w:p w14:paraId="3BFEB076" w14:textId="77777777" w:rsidR="00B3232C" w:rsidRPr="00054C92" w:rsidRDefault="00B3232C" w:rsidP="00B749C1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Departamencie Edukacji, Kultury i Dziedzictwa MON, po zarejestrowaniu oferty i nadaniu jej numeru identyfikacyjnego. Ocena formalna polega </w:t>
      </w:r>
      <w:r w:rsidR="00B749C1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stwierdzeniu, czy oferta nie zawiera uchybień i błędów formalnych.</w:t>
      </w:r>
    </w:p>
    <w:p w14:paraId="34C46AEC" w14:textId="77777777" w:rsidR="00EF7AB9" w:rsidRPr="00054C92" w:rsidRDefault="00B749C1" w:rsidP="0037069B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14:paraId="6E46A138" w14:textId="77777777" w:rsidR="00B749C1" w:rsidRPr="00054C92" w:rsidRDefault="00B749C1" w:rsidP="0037069B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14:paraId="26A3D81B" w14:textId="77777777" w:rsidR="00B749C1" w:rsidRPr="00054C92" w:rsidRDefault="00B749C1" w:rsidP="0037069B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 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wykazanych w ogłoszeniu otwartego konkursu ofert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załączników,</w:t>
      </w:r>
    </w:p>
    <w:p w14:paraId="76A659E6" w14:textId="77777777" w:rsidR="00B749C1" w:rsidRPr="00054C92" w:rsidRDefault="00B749C1" w:rsidP="0037069B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rak podpisu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/podpisów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ofercie lub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niezgodnie z </w:t>
      </w:r>
      <w:r w:rsidR="004B2E63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reprezentacją wskazaną w 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Rejestrze Sądowym/właściwej ewidencji,</w:t>
      </w:r>
    </w:p>
    <w:p w14:paraId="66D3C171" w14:textId="77777777" w:rsidR="00EF7AB9" w:rsidRPr="00054C92" w:rsidRDefault="00EF7AB9" w:rsidP="0037069B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deklaracji o zamiarze odpłatnego lub nieodpłatnego wykonania zadania publicznego (cz. VI.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64B0F3AD" w14:textId="77777777" w:rsidR="00EF7AB9" w:rsidRPr="00054C92" w:rsidRDefault="00EF7AB9" w:rsidP="0037069B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wyboru stosownej treści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w cz.</w:t>
      </w:r>
      <w:r w:rsidR="0030565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14:paraId="738115B4" w14:textId="5D9BF49F" w:rsidR="00C93776" w:rsidRPr="00662C8D" w:rsidRDefault="00C93776" w:rsidP="0037069B">
      <w:pPr>
        <w:pStyle w:val="Akapitzlist"/>
        <w:numPr>
          <w:ilvl w:val="0"/>
          <w:numId w:val="35"/>
        </w:numPr>
        <w:spacing w:before="60" w:after="60" w:line="276" w:lineRule="auto"/>
        <w:ind w:left="141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C8D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</w:t>
      </w:r>
      <w:r w:rsidR="00633C2D" w:rsidRPr="00662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omyłki </w:t>
      </w:r>
      <w:r w:rsidR="001D4E36" w:rsidRPr="00662C8D"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14:paraId="3A2A7CC6" w14:textId="35C4F8C2" w:rsidR="00B6634C" w:rsidRPr="00054C92" w:rsidRDefault="00B6634C" w:rsidP="00B6634C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oferentów, których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uchybienia formalne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wykazem uchybień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924915" w:rsidRPr="000478F4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924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17E71" w14:textId="75AE802E" w:rsidR="00B6634C" w:rsidRPr="00054C92" w:rsidRDefault="00E232BF" w:rsidP="00AC084C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Oferenci, w terminie 7 dni od dnia opublikowania wykazu na stronie internetowej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30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do usunięcia stwierdzonych uchybień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(decyduje data wpływu usuniętych braków do kancelarii og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ólnej MON, zgodnie z pkt III. 16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stosownych uzupełnień lub wyjaśnień dotyczących uchybień formalnych we wskazanym terminie powodować będzie odrzucenie oferty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przyczyn formalnych i nie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="00633C2D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podlegał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ocenie merytorycznej. </w:t>
      </w:r>
    </w:p>
    <w:p w14:paraId="535C659A" w14:textId="77777777" w:rsidR="0030565E" w:rsidRDefault="0030565E" w:rsidP="0030565E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gdy O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złożył oferty w liczbie przekraczającej dopuszczalny limit, jest zobowiązany wskazać, któr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ofertę/oferty wycofuje z konkursu.</w:t>
      </w:r>
    </w:p>
    <w:p w14:paraId="1AB2B9C3" w14:textId="77777777" w:rsidR="00B75F7D" w:rsidRPr="00054C92" w:rsidRDefault="00B75F7D" w:rsidP="00E348F1">
      <w:pPr>
        <w:pStyle w:val="Akapitzlist"/>
        <w:numPr>
          <w:ilvl w:val="0"/>
          <w:numId w:val="34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14:paraId="558D2822" w14:textId="77777777" w:rsidR="00B75F7D" w:rsidRPr="00054C92" w:rsidRDefault="00B75F7D" w:rsidP="002A1717">
      <w:pPr>
        <w:pStyle w:val="Akapitzlist"/>
        <w:spacing w:beforeLines="40" w:before="96" w:afterLines="40" w:after="96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14:paraId="23498655" w14:textId="77777777" w:rsidR="00B3232C" w:rsidRPr="00054C92" w:rsidRDefault="00E348F1" w:rsidP="002A1717">
      <w:pPr>
        <w:pStyle w:val="Akapitzlist"/>
        <w:numPr>
          <w:ilvl w:val="0"/>
          <w:numId w:val="37"/>
        </w:numPr>
        <w:suppressAutoHyphens/>
        <w:autoSpaceDN w:val="0"/>
        <w:spacing w:beforeLines="40" w:before="96" w:afterLines="40" w:after="96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określonym w ogłoszeniu otwartego konkursu ofert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6B32685" w14:textId="77777777" w:rsidR="00B6634C" w:rsidRPr="00054C92" w:rsidRDefault="00B6634C" w:rsidP="002A1717">
      <w:pPr>
        <w:pStyle w:val="Akapitzlist"/>
        <w:numPr>
          <w:ilvl w:val="0"/>
          <w:numId w:val="37"/>
        </w:numPr>
        <w:suppressAutoHyphens/>
        <w:autoSpaceDN w:val="0"/>
        <w:spacing w:beforeLines="40" w:before="96" w:afterLines="40" w:after="96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druku innym niż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ogłoszeniu otwartego konkursu ofert,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D9ACA3" w14:textId="77777777" w:rsidR="00B3232C" w:rsidRPr="00054C92" w:rsidRDefault="00E348F1" w:rsidP="002A1717">
      <w:pPr>
        <w:pStyle w:val="Akapitzlist"/>
        <w:numPr>
          <w:ilvl w:val="0"/>
          <w:numId w:val="37"/>
        </w:numPr>
        <w:suppressAutoHyphens/>
        <w:autoSpaceDN w:val="0"/>
        <w:spacing w:beforeLines="40" w:before="96" w:afterLines="40" w:after="96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przez podmiot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nieuprawniony,</w:t>
      </w:r>
    </w:p>
    <w:p w14:paraId="06C0A769" w14:textId="77777777" w:rsidR="00B3232C" w:rsidRPr="00054C92" w:rsidRDefault="0088354E" w:rsidP="002A1717">
      <w:pPr>
        <w:pStyle w:val="Akapitzlist"/>
        <w:numPr>
          <w:ilvl w:val="0"/>
          <w:numId w:val="37"/>
        </w:numPr>
        <w:suppressAutoHyphens/>
        <w:autoSpaceDN w:val="0"/>
        <w:spacing w:beforeLines="40" w:before="96" w:afterLines="40" w:after="96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zgodności treści oferty ze 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 w ogłoszeniu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rodzajem 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</w:p>
    <w:p w14:paraId="27E3117B" w14:textId="77777777" w:rsidR="00B3232C" w:rsidRPr="00054C92" w:rsidRDefault="00B3232C" w:rsidP="002A1717">
      <w:pPr>
        <w:numPr>
          <w:ilvl w:val="0"/>
          <w:numId w:val="36"/>
        </w:numPr>
        <w:suppressAutoHyphens/>
        <w:autoSpaceDN w:val="0"/>
        <w:spacing w:beforeLines="40" w:before="96" w:afterLines="40" w:after="96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termin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nie zawiera się w 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przedziale czasowym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podanym w ogło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ofert,</w:t>
      </w:r>
    </w:p>
    <w:p w14:paraId="4D226736" w14:textId="14884978" w:rsidR="00B3232C" w:rsidRPr="00054C92" w:rsidRDefault="0088354E" w:rsidP="002A1717">
      <w:pPr>
        <w:numPr>
          <w:ilvl w:val="0"/>
          <w:numId w:val="36"/>
        </w:numPr>
        <w:spacing w:beforeLines="40" w:before="96" w:afterLines="40" w:after="96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obowiązkow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finansowego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podmiotu, 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 którym mowa w </w:t>
      </w:r>
      <w:r w:rsidR="00FB0EBC">
        <w:rPr>
          <w:rFonts w:ascii="Times New Roman" w:eastAsiaTheme="minorEastAsia" w:hAnsi="Times New Roman" w:cs="Times New Roman"/>
          <w:sz w:val="24"/>
          <w:szCs w:val="24"/>
          <w:lang w:eastAsia="pl-PL"/>
        </w:rPr>
        <w:t>części III.5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14:paraId="3BDE600E" w14:textId="77777777" w:rsidR="00B3232C" w:rsidRPr="00054C92" w:rsidRDefault="0088354E" w:rsidP="002A1717">
      <w:pPr>
        <w:numPr>
          <w:ilvl w:val="0"/>
          <w:numId w:val="36"/>
        </w:numPr>
        <w:spacing w:beforeLines="40" w:before="96" w:afterLines="40" w:after="96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własnego niefinansowego (osobowego i rzeczowego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w wysokości minim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14:paraId="5D17BFF7" w14:textId="77777777" w:rsidR="0030565E" w:rsidRPr="00054C92" w:rsidRDefault="00E348F1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14:paraId="732C607C" w14:textId="77777777" w:rsidR="0088354E" w:rsidRPr="00054C92" w:rsidRDefault="0030565E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1D4E36"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087E7B9F" w14:textId="77777777" w:rsidR="00B3232C" w:rsidRPr="00054C92" w:rsidRDefault="00B3232C" w:rsidP="002A1717">
      <w:pPr>
        <w:numPr>
          <w:ilvl w:val="0"/>
          <w:numId w:val="1"/>
        </w:numPr>
        <w:tabs>
          <w:tab w:val="clear" w:pos="361"/>
        </w:tabs>
        <w:spacing w:beforeLines="40" w:before="96" w:after="4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 w:rsidR="00054C92">
        <w:rPr>
          <w:rFonts w:ascii="Times New Roman" w:hAnsi="Times New Roman" w:cs="Times New Roman"/>
          <w:sz w:val="24"/>
          <w:szCs w:val="24"/>
        </w:rPr>
        <w:t xml:space="preserve">ds. </w:t>
      </w:r>
      <w:r w:rsidRPr="00054C92">
        <w:rPr>
          <w:rFonts w:ascii="Times New Roman" w:hAnsi="Times New Roman" w:cs="Times New Roman"/>
          <w:sz w:val="24"/>
          <w:szCs w:val="24"/>
        </w:rPr>
        <w:t>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14:paraId="77593EED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14:paraId="35D004D5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14:paraId="0856273D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14:paraId="6C2C0A0D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14:paraId="708A8C15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14:paraId="0E2CE91C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14:paraId="6BF784CD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weryfikowalność zakładanych rezultatów (określenie liczbowe, procentowe itp.), wymierność, realność i możliwość do osiągnięcia dzięki realizacji zaplanowanych działań;</w:t>
      </w:r>
    </w:p>
    <w:p w14:paraId="11AE9E11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14:paraId="72F2B3BC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14:paraId="63E63106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14:paraId="10F3AB98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adekwatność proponowanych stawek jednostkowych w odniesieniu do celów, rezultatów i zakresu rzeczowego zadania, które obejmuje oferta;</w:t>
      </w:r>
    </w:p>
    <w:p w14:paraId="6F0A95B9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14:paraId="041EBA32" w14:textId="77777777" w:rsidR="00B3232C" w:rsidRPr="00054C92" w:rsidRDefault="00B3232C" w:rsidP="002A1717">
      <w:pPr>
        <w:numPr>
          <w:ilvl w:val="0"/>
          <w:numId w:val="13"/>
        </w:numPr>
        <w:spacing w:beforeLines="40" w:before="96" w:after="4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14:paraId="29D9B781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Komisji jest wybranie najlepszych ofert. Posiedzenia Komisji odbywają się w siedzibie Ministerstwa Obrony Narodowej. </w:t>
      </w:r>
    </w:p>
    <w:p w14:paraId="20619134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14:paraId="5A0C3A5A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14:paraId="22276CF5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14:paraId="5D8BB9CF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14:paraId="54642CFD" w14:textId="77777777" w:rsidR="00B3232C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14:paraId="221ECA3E" w14:textId="77777777" w:rsidR="000B6D37" w:rsidRPr="00054C92" w:rsidRDefault="00B3232C" w:rsidP="00B3232C">
      <w:pPr>
        <w:pStyle w:val="Akapitzlist"/>
        <w:numPr>
          <w:ilvl w:val="0"/>
          <w:numId w:val="1"/>
        </w:numPr>
        <w:tabs>
          <w:tab w:val="clear" w:pos="361"/>
        </w:tabs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14:paraId="12416852" w14:textId="77777777" w:rsidR="000B6D37" w:rsidRPr="00054C92" w:rsidRDefault="00B3232C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 na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których przyznane zostały środki z dotacji oraz ich wysokość, ogłaszane są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w Biuletynie Informacji Publicznej Ministerstwa Obrony Narodowej, link: </w:t>
      </w:r>
      <w:hyperlink r:id="rId9" w:history="1">
        <w:r w:rsidR="000B6D37" w:rsidRPr="00054C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0B6D37" w:rsidRPr="00054C92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0B6D37" w:rsidRPr="00054C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14:paraId="724BC350" w14:textId="77777777" w:rsidR="000B6D37" w:rsidRPr="00054C92" w:rsidRDefault="000B6D37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Podmioty, które otrzymały dotację zobowiązane są do skontaktowania się z DEKiD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14:paraId="5F90D6BC" w14:textId="77777777"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Zawarcie i zmiana umowy</w:t>
      </w:r>
    </w:p>
    <w:p w14:paraId="528AE21B" w14:textId="77777777" w:rsidR="00B3232C" w:rsidRPr="00054C92" w:rsidRDefault="00B3232C" w:rsidP="00B3232C">
      <w:pPr>
        <w:pStyle w:val="Akapitzlist"/>
        <w:numPr>
          <w:ilvl w:val="3"/>
          <w:numId w:val="5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14:paraId="351110A8" w14:textId="77777777" w:rsidR="00B3232C" w:rsidRPr="00054C92" w:rsidRDefault="00B3232C" w:rsidP="00B3232C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14:paraId="6AB8D79E" w14:textId="77777777"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14:paraId="5034B964" w14:textId="77777777"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14:paraId="11B907E0" w14:textId="77777777"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14:paraId="026FC7FD" w14:textId="77777777"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14:paraId="1557DD73" w14:textId="1EEABE0C" w:rsidR="00B3232C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14:paraId="2E899DD0" w14:textId="1C237485" w:rsidR="006B0342" w:rsidRPr="00662C8D" w:rsidRDefault="006B0342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uzasadnionych przypadkach</w:t>
      </w:r>
      <w:r w:rsidR="00662C8D"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umowa (trzy egzemplarze) może zostać przesłana do zleceniobiorcy za pośrednictwem </w:t>
      </w:r>
      <w:r w:rsidR="00662C8D"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operatora pocztowego</w:t>
      </w:r>
      <w:r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 Zleceniobiorca zobowiązany jest podpisać wszystkie egzemplarze umowy, dołączyć wymagane załączniki i odesłać dwa egz. umowy do Zleceniodawcy; </w:t>
      </w:r>
    </w:p>
    <w:p w14:paraId="0E47B166" w14:textId="2A4BBD52" w:rsidR="006B0342" w:rsidRPr="00662C8D" w:rsidRDefault="006B0342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 ma możliwości przesłania projektu umowy drogą elektroniczną</w:t>
      </w:r>
      <w:r w:rsidR="00662C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;</w:t>
      </w:r>
    </w:p>
    <w:p w14:paraId="6B1FCC91" w14:textId="77777777"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14:paraId="3DF7D83A" w14:textId="77777777"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14:paraId="682F0528" w14:textId="77777777"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14:paraId="6EE5B26F" w14:textId="77777777"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14:paraId="7CFB4388" w14:textId="77777777"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14:paraId="4E5AB84F" w14:textId="77777777"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14:paraId="095D8AF1" w14:textId="7EACE8EE"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2176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z zastrzeżeniem wynikającym z art. 5 ust 2 ww. ustawy.</w:t>
      </w:r>
    </w:p>
    <w:p w14:paraId="64A7E3AA" w14:textId="77777777" w:rsidR="00B3232C" w:rsidRPr="00054C92" w:rsidRDefault="00B3232C" w:rsidP="00B3232C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umowy: </w:t>
      </w:r>
    </w:p>
    <w:p w14:paraId="17D5DFBB" w14:textId="77777777"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14:paraId="02F4BCCA" w14:textId="77777777"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14:paraId="01FB392D" w14:textId="042523A7"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</w:t>
      </w:r>
      <w:r w:rsidR="00305A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zmiany umowy dokonanej w formie pisemnej;</w:t>
      </w:r>
    </w:p>
    <w:p w14:paraId="1DCD11C6" w14:textId="77777777"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III.4.1-3 i w części. III.5 niniejszego Regulaminu, bez konieczności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14:paraId="5F2F99A9" w14:textId="77777777" w:rsidR="00B3232C" w:rsidRPr="00054C92" w:rsidRDefault="00B3232C" w:rsidP="00B3232C">
      <w:pPr>
        <w:pStyle w:val="Akapitzlist"/>
        <w:numPr>
          <w:ilvl w:val="3"/>
          <w:numId w:val="1"/>
        </w:numPr>
        <w:tabs>
          <w:tab w:val="clear" w:pos="36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14:paraId="4026DE8F" w14:textId="77777777" w:rsidR="00B3232C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14:paraId="2E34D896" w14:textId="77777777" w:rsidR="002869CE" w:rsidRDefault="002869CE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</w:t>
      </w:r>
      <w:r w:rsidR="002731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godnie z </w:t>
      </w:r>
      <w:r w:rsidR="00854D41"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14:paraId="3C65B4A8" w14:textId="77777777" w:rsidR="00B3232C" w:rsidRPr="00054C92" w:rsidRDefault="00B3232C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 w:rsidR="0027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14:paraId="24D0536B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14:paraId="671D0729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14:paraId="5FA8A12F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przyznane w ramach dotacji mają "znaczony" charakter i mogą być wykorzystane wyłącznie po otrzymaniu przez zleceniobiorcę dotacji na rachunek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bankowy, tj. dotacja nie może być przeznaczona np. na zwrot wydatków wcześniej poniesionych przez zleceniobiorcę;</w:t>
      </w:r>
    </w:p>
    <w:p w14:paraId="633C7A7D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14:paraId="2233F543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14:paraId="3E54DBBD" w14:textId="77777777"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14:paraId="587EB7AD" w14:textId="77777777" w:rsidR="00B3232C" w:rsidRPr="00054C92" w:rsidRDefault="00B3232C" w:rsidP="00B3232C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14:paraId="105955C5" w14:textId="77777777"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14:paraId="4E3C2BF3" w14:textId="77777777"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strzelnice, na których realizowane są zadania publiczne muszą posiadać wymagane prawem zezwolenia (decyzje) umożliwiające jej funkcjonowanie;</w:t>
      </w:r>
    </w:p>
    <w:p w14:paraId="756EEAC2" w14:textId="77777777" w:rsidR="00B3232C" w:rsidRPr="00054C92" w:rsidRDefault="00B3232C" w:rsidP="00B3232C">
      <w:pPr>
        <w:pStyle w:val="Akapitzlist"/>
        <w:numPr>
          <w:ilvl w:val="4"/>
          <w:numId w:val="1"/>
        </w:numPr>
        <w:tabs>
          <w:tab w:val="clear" w:pos="3600"/>
        </w:tabs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zamieszcza się następujące dane:</w:t>
      </w:r>
    </w:p>
    <w:p w14:paraId="3B30FA61" w14:textId="77777777"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14:paraId="61023646" w14:textId="77777777"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14:paraId="2CE90FDF" w14:textId="77777777"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14:paraId="04129BD5" w14:textId="77777777"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14:paraId="58F0E83C" w14:textId="77777777" w:rsidR="00B3232C" w:rsidRPr="00054C92" w:rsidRDefault="00B3232C" w:rsidP="00B3232C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14:paraId="2D0A25EE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14:paraId="795DF705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14:paraId="24DA79AC" w14:textId="77777777" w:rsidR="00B3232C" w:rsidRPr="00054C92" w:rsidRDefault="00B3232C" w:rsidP="00B3232C">
      <w:pPr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 w:rsidR="00286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C7A82E3" w14:textId="77777777"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14:paraId="32FC42A4" w14:textId="77777777"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14:paraId="129550F1" w14:textId="143265C5"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sięgowych spełniających warunki</w:t>
      </w:r>
      <w:r w:rsidR="002731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 poz. 351)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 w:rsidR="00B04E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</w:t>
      </w:r>
      <w:r w:rsidR="00662C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14:paraId="054EEC58" w14:textId="77777777"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przewidziane w kalkulacji przewidywanych kosztów realizacji zadania (musi zostać zachowana zgodność z kosztorysem zadania),</w:t>
      </w:r>
    </w:p>
    <w:p w14:paraId="3FCDA7B0" w14:textId="77777777"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zgodne ze szczegółowymi wytycznymi określonymi w niniejszym Regulaminie,</w:t>
      </w:r>
    </w:p>
    <w:p w14:paraId="4FA6DBDC" w14:textId="77777777"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14:paraId="4F4D675B" w14:textId="77777777"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14:paraId="6782DF21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14:paraId="22B6E35C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14:paraId="5D3D0940" w14:textId="362836C3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B0E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14:paraId="0998CB5F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14:paraId="45BEBD4C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14:paraId="4170F8E2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14:paraId="2608BBA3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14:paraId="38132545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14:paraId="5189A5BA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14:paraId="28A7AC5C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14:paraId="438C0C74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14:paraId="6EC69F78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14:paraId="54E0BCEC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14:paraId="4CBC8D2A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14:paraId="78805F84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14:paraId="6FDD544B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14:paraId="18F7BF81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14:paraId="737A6DE2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14:paraId="3AD675E2" w14:textId="77777777"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14:paraId="50751F77" w14:textId="77777777"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14:paraId="3844F332" w14:textId="77777777"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z 27 sierpnia 2009 r. o finansach publicznych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869,) w sposób umożliwiający identyfikację poszczególnych operacji księgowych; </w:t>
      </w:r>
    </w:p>
    <w:p w14:paraId="48328C45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14:paraId="563C1B5E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14:paraId="5AF2B8FE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AFCBEE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14:paraId="6F2F3343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14:paraId="00CE8E53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14:paraId="0F36B8BB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 w:rsidR="00BD2A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14:paraId="4159A8B7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14:paraId="27AA3E19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 w:rsid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14:paraId="491D1D7F" w14:textId="77777777"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pieczęć organizacji oraz sporządzony w sposób trwały opis:</w:t>
      </w:r>
    </w:p>
    <w:p w14:paraId="7D0177DC" w14:textId="77777777"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14:paraId="3C603440" w14:textId="77777777"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14:paraId="51C14282" w14:textId="77777777"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14:paraId="7E214519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14:paraId="5D64C20C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14:paraId="7D752AD6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14:paraId="12F943D7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14:paraId="7FAC3863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14:paraId="0CFC3164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14:paraId="41FF93E2" w14:textId="77777777"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14:paraId="04D914AE" w14:textId="77777777" w:rsidR="00B3232C" w:rsidRPr="00054C92" w:rsidRDefault="00B3232C" w:rsidP="00B3232C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14:paraId="16FB06F1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wkładu osobowego (praca wolontariuszy, praca społeczna członków zleceniobiorcy) winno być udokumentowane w następujący sposób:</w:t>
      </w:r>
    </w:p>
    <w:p w14:paraId="37461A14" w14:textId="77777777"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14:paraId="17633288" w14:textId="77777777"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14:paraId="539646E6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14:paraId="472AC7EF" w14:textId="77777777"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14:paraId="4F45089F" w14:textId="77777777"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14:paraId="26688BB6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14:paraId="13C497B1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rzeczowy może zostać wniesiony w postaci:</w:t>
      </w:r>
    </w:p>
    <w:p w14:paraId="77FC1B38" w14:textId="77777777"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14:paraId="1DAD1CD8" w14:textId="77777777"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14:paraId="15385AB8" w14:textId="77777777"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nieodpłatnie udostępnionych zleceniobiorcy pomieszczeń i obiektów - wyliczonych na podstawie czynszów, opłat, itp.;</w:t>
      </w:r>
    </w:p>
    <w:p w14:paraId="2DFD0CED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14:paraId="5FE5AFE5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14:paraId="0999CF31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późn. zm.), tj.:</w:t>
      </w:r>
    </w:p>
    <w:p w14:paraId="6CAE4CF6" w14:textId="77777777"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14:paraId="75CB621D" w14:textId="77777777"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14:paraId="167FF058" w14:textId="77777777"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14:paraId="4534128C" w14:textId="77777777" w:rsidR="00B3232C" w:rsidRPr="00054C92" w:rsidRDefault="00B3232C" w:rsidP="00B3232C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14:paraId="79B84FA2" w14:textId="77777777"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14:paraId="2ED404B2" w14:textId="77777777"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14:paraId="16C4EA79" w14:textId="77777777"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14:paraId="1B63D437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14:paraId="5FD0F48E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 imię osoby używającej pojazd,</w:t>
      </w:r>
    </w:p>
    <w:p w14:paraId="6E42DCBA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14:paraId="161AB00D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14:paraId="18E0AC88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14:paraId="7E478DA8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14:paraId="1A126556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kwotę wynikającą z przemnożenia liczby faktycznie przejechanych kilometrów i stawki za jeden kilometr przebiegu,</w:t>
      </w:r>
    </w:p>
    <w:p w14:paraId="4EC65F18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14:paraId="2B3B072B" w14:textId="77777777" w:rsidR="00B3232C" w:rsidRPr="00054C92" w:rsidRDefault="00B3232C" w:rsidP="00B3232C">
      <w:pPr>
        <w:pStyle w:val="Akapitzlist"/>
        <w:numPr>
          <w:ilvl w:val="1"/>
          <w:numId w:val="30"/>
        </w:numPr>
        <w:suppressAutoHyphens/>
        <w:autoSpaceDN w:val="0"/>
        <w:spacing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14:paraId="128EC23C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14:paraId="09BE2176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14:paraId="5E165F0B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14:paraId="1B490529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14:paraId="5B57B967" w14:textId="77777777"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14:paraId="4F709782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14:paraId="2D713011" w14:textId="77777777"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 ofercie rezultatów, działań oraz prawidłowości poniesionych kosztów.</w:t>
      </w:r>
    </w:p>
    <w:p w14:paraId="6A4DCDD8" w14:textId="77777777"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14:paraId="45DED739" w14:textId="77777777"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 treści sprawozdania.</w:t>
      </w:r>
    </w:p>
    <w:p w14:paraId="10F373EF" w14:textId="77777777"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14:paraId="66B36393" w14:textId="77777777"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jest z winy zleceniobiorcy czy z przyczyn obiektywnych; jeżeli miały miejsce przyczyny obiektywne – uzasadnione w sprawozdaniu lub wystąp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14:paraId="0AFFF0BF" w14:textId="77777777"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14:paraId="17C389E9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Sprawozdanie z wykonania zadania publicznego zleceniobiorca zobowiązany jest złożyć w terminie 30 dni od daty zakończenia jego realizacji.</w:t>
      </w:r>
    </w:p>
    <w:p w14:paraId="438E5DCD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14:paraId="47B1571E" w14:textId="77777777"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14:paraId="7967E4F9" w14:textId="77777777"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14:paraId="21C824D0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14:paraId="1638F8E3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14:paraId="22B0CE38" w14:textId="77777777"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14:paraId="73E40532" w14:textId="77777777"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14:paraId="0DA83A9D" w14:textId="77777777"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14:paraId="09DD5ECC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14:paraId="0C8A6FB6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organizacyjnej MON właściwej do prowadzenia monitoringu i ewaluacji efektywności działalności proobronnej. </w:t>
      </w:r>
    </w:p>
    <w:p w14:paraId="35EC440D" w14:textId="77777777"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14:paraId="43FB83A2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14:paraId="22F5C0AF" w14:textId="77777777" w:rsidR="00B3232C" w:rsidRPr="00054C92" w:rsidRDefault="00B3232C" w:rsidP="00B3232C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14:paraId="48EDC374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14:paraId="647016B9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zostało w prawem przewidzianym terminie; </w:t>
      </w:r>
    </w:p>
    <w:p w14:paraId="3B24B264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14:paraId="09DC717C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14:paraId="68FA5CA3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zawiera błędów rachunkowych;</w:t>
      </w:r>
    </w:p>
    <w:p w14:paraId="67C0DB10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14:paraId="6CA0ECB2" w14:textId="77777777"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14:paraId="74A55A7A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68CF73B" w14:textId="77777777"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14:paraId="68F53E1D" w14:textId="77777777"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14:paraId="235CDAC5" w14:textId="77777777"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14:paraId="3C417130" w14:textId="77777777"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14:paraId="35A00C10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14:paraId="57FBA28B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14:paraId="6B979B71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14:paraId="32331BF0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14:paraId="6DC39097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14:paraId="028ED8DC" w14:textId="77777777"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14:paraId="3D2227E5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14:paraId="626149F8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14:paraId="495F8E67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przeprowadzenia kontroli przysługuje upoważnionym przedstawicielom Ministra Obrony Narodowej w siedzibie zleceniobiorcy, jak również w miejscu realizacji zadania publicznego. </w:t>
      </w:r>
    </w:p>
    <w:p w14:paraId="71E6E10D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14:paraId="4154B58B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wezwanie zleceniodawcy, zleceniobiorca zobowiązany jest w wyznaczonym terminie i miejscu do przedłożenia do wglądu oryginałów faktur i innych dowodów księgowych dotyczących wydatków poniesionych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potwierdzenie podjętych działań w trakcie realizacji zadania. </w:t>
      </w:r>
    </w:p>
    <w:p w14:paraId="69C57F38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14:paraId="58AE6C7F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="00BD2A1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14:paraId="36852638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14:paraId="2D180345" w14:textId="77777777"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14:paraId="0D422824" w14:textId="77777777"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14:paraId="3E0A97CA" w14:textId="77777777"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14:paraId="376DE864" w14:textId="74A42762"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t>W zakresie związanym z realizacją zadania publicznego, w tym z pr</w:t>
      </w:r>
      <w:r w:rsidR="002869CE"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 w:rsidR="00BD2A1C"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(ogólnego rozporządzenia o ochronie danych (Dz. Urz. UE L 119 </w:t>
      </w:r>
      <w:r w:rsidR="00DD2C7D">
        <w:rPr>
          <w:rFonts w:ascii="Times New Roman" w:eastAsia="Calibri" w:hAnsi="Times New Roman" w:cs="Times New Roman"/>
          <w:sz w:val="24"/>
          <w:szCs w:val="24"/>
        </w:rPr>
        <w:br/>
      </w:r>
      <w:r w:rsidRPr="00054C92">
        <w:rPr>
          <w:rFonts w:ascii="Times New Roman" w:eastAsia="Calibri" w:hAnsi="Times New Roman" w:cs="Times New Roman"/>
          <w:sz w:val="24"/>
          <w:szCs w:val="24"/>
        </w:rPr>
        <w:t>z 04.05.2016 r., str. 1), zwanym dalej RODO.</w:t>
      </w:r>
    </w:p>
    <w:p w14:paraId="0E790D29" w14:textId="77777777" w:rsidR="00B3232C" w:rsidRPr="00054C92" w:rsidRDefault="00B3232C" w:rsidP="00B3232C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lastRenderedPageBreak/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 w:rsidR="00BD2A1C"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sectPr w:rsidR="00B3232C" w:rsidRPr="00054C92" w:rsidSect="002A1717">
      <w:footerReference w:type="even" r:id="rId11"/>
      <w:footerReference w:type="default" r:id="rId12"/>
      <w:pgSz w:w="11906" w:h="16838"/>
      <w:pgMar w:top="851" w:right="851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C494" w14:textId="77777777" w:rsidR="00AB6E52" w:rsidRDefault="00AB6E52">
      <w:pPr>
        <w:spacing w:after="0" w:line="240" w:lineRule="auto"/>
      </w:pPr>
      <w:r>
        <w:separator/>
      </w:r>
    </w:p>
  </w:endnote>
  <w:endnote w:type="continuationSeparator" w:id="0">
    <w:p w14:paraId="22B522D1" w14:textId="77777777" w:rsidR="00AB6E52" w:rsidRDefault="00AB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8448" w14:textId="77777777"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0DAF00" w14:textId="77777777" w:rsidR="004E4BC1" w:rsidRDefault="00370E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A2386" w14:textId="7FC682C0"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0E4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E199D4" w14:textId="77777777" w:rsidR="004E4BC1" w:rsidRDefault="00370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7511" w14:textId="77777777" w:rsidR="00AB6E52" w:rsidRDefault="00AB6E52">
      <w:pPr>
        <w:spacing w:after="0" w:line="240" w:lineRule="auto"/>
      </w:pPr>
      <w:r>
        <w:separator/>
      </w:r>
    </w:p>
  </w:footnote>
  <w:footnote w:type="continuationSeparator" w:id="0">
    <w:p w14:paraId="34EDB86A" w14:textId="77777777" w:rsidR="00AB6E52" w:rsidRDefault="00AB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95C2632"/>
    <w:multiLevelType w:val="hybridMultilevel"/>
    <w:tmpl w:val="F8E4E59E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9D7"/>
    <w:multiLevelType w:val="hybridMultilevel"/>
    <w:tmpl w:val="0024A480"/>
    <w:lvl w:ilvl="0" w:tplc="6AF4A31C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823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4683E"/>
    <w:multiLevelType w:val="multilevel"/>
    <w:tmpl w:val="337C7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AD78E5"/>
    <w:multiLevelType w:val="hybridMultilevel"/>
    <w:tmpl w:val="427E70A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29" w15:restartNumberingAfterBreak="0">
    <w:nsid w:val="5686234A"/>
    <w:multiLevelType w:val="multilevel"/>
    <w:tmpl w:val="13446A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7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36"/>
  </w:num>
  <w:num w:numId="7">
    <w:abstractNumId w:val="19"/>
  </w:num>
  <w:num w:numId="8">
    <w:abstractNumId w:val="33"/>
  </w:num>
  <w:num w:numId="9">
    <w:abstractNumId w:val="28"/>
  </w:num>
  <w:num w:numId="10">
    <w:abstractNumId w:val="24"/>
  </w:num>
  <w:num w:numId="11">
    <w:abstractNumId w:val="18"/>
  </w:num>
  <w:num w:numId="12">
    <w:abstractNumId w:val="15"/>
  </w:num>
  <w:num w:numId="13">
    <w:abstractNumId w:val="37"/>
  </w:num>
  <w:num w:numId="14">
    <w:abstractNumId w:val="14"/>
  </w:num>
  <w:num w:numId="15">
    <w:abstractNumId w:val="7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30"/>
  </w:num>
  <w:num w:numId="21">
    <w:abstractNumId w:val="9"/>
  </w:num>
  <w:num w:numId="22">
    <w:abstractNumId w:val="34"/>
  </w:num>
  <w:num w:numId="23">
    <w:abstractNumId w:val="35"/>
  </w:num>
  <w:num w:numId="24">
    <w:abstractNumId w:val="12"/>
  </w:num>
  <w:num w:numId="25">
    <w:abstractNumId w:val="8"/>
  </w:num>
  <w:num w:numId="26">
    <w:abstractNumId w:val="31"/>
  </w:num>
  <w:num w:numId="27">
    <w:abstractNumId w:val="2"/>
  </w:num>
  <w:num w:numId="28">
    <w:abstractNumId w:val="27"/>
  </w:num>
  <w:num w:numId="29">
    <w:abstractNumId w:val="1"/>
  </w:num>
  <w:num w:numId="30">
    <w:abstractNumId w:val="29"/>
  </w:num>
  <w:num w:numId="31">
    <w:abstractNumId w:val="25"/>
  </w:num>
  <w:num w:numId="32">
    <w:abstractNumId w:val="16"/>
  </w:num>
  <w:num w:numId="33">
    <w:abstractNumId w:val="32"/>
  </w:num>
  <w:num w:numId="34">
    <w:abstractNumId w:val="23"/>
  </w:num>
  <w:num w:numId="35">
    <w:abstractNumId w:val="20"/>
  </w:num>
  <w:num w:numId="36">
    <w:abstractNumId w:val="21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C"/>
    <w:rsid w:val="00026035"/>
    <w:rsid w:val="0003187F"/>
    <w:rsid w:val="00054C92"/>
    <w:rsid w:val="00063F9B"/>
    <w:rsid w:val="000B6D37"/>
    <w:rsid w:val="000F7F94"/>
    <w:rsid w:val="00155C7F"/>
    <w:rsid w:val="001D4E36"/>
    <w:rsid w:val="00273190"/>
    <w:rsid w:val="002869CE"/>
    <w:rsid w:val="002A1717"/>
    <w:rsid w:val="0030565E"/>
    <w:rsid w:val="00305AB1"/>
    <w:rsid w:val="0037069B"/>
    <w:rsid w:val="00370E4E"/>
    <w:rsid w:val="004B2E63"/>
    <w:rsid w:val="00555F04"/>
    <w:rsid w:val="00575F5E"/>
    <w:rsid w:val="005A6852"/>
    <w:rsid w:val="005E3435"/>
    <w:rsid w:val="00633C2D"/>
    <w:rsid w:val="00662C8D"/>
    <w:rsid w:val="006B0342"/>
    <w:rsid w:val="007D3030"/>
    <w:rsid w:val="00854D41"/>
    <w:rsid w:val="0088354E"/>
    <w:rsid w:val="008E10E7"/>
    <w:rsid w:val="00924915"/>
    <w:rsid w:val="009777B9"/>
    <w:rsid w:val="00995AB8"/>
    <w:rsid w:val="00A73053"/>
    <w:rsid w:val="00AB6E52"/>
    <w:rsid w:val="00AC084C"/>
    <w:rsid w:val="00AD6ACA"/>
    <w:rsid w:val="00B04E24"/>
    <w:rsid w:val="00B3232C"/>
    <w:rsid w:val="00B6634C"/>
    <w:rsid w:val="00B749C1"/>
    <w:rsid w:val="00B75F7D"/>
    <w:rsid w:val="00BD2A1C"/>
    <w:rsid w:val="00C8764B"/>
    <w:rsid w:val="00C9342E"/>
    <w:rsid w:val="00C93776"/>
    <w:rsid w:val="00CA41FA"/>
    <w:rsid w:val="00D65BED"/>
    <w:rsid w:val="00D97571"/>
    <w:rsid w:val="00DD2C7D"/>
    <w:rsid w:val="00DD38C1"/>
    <w:rsid w:val="00DF1565"/>
    <w:rsid w:val="00E14C70"/>
    <w:rsid w:val="00E232BF"/>
    <w:rsid w:val="00E27770"/>
    <w:rsid w:val="00E348F1"/>
    <w:rsid w:val="00EF7AB9"/>
    <w:rsid w:val="00F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449596"/>
  <w15:chartTrackingRefBased/>
  <w15:docId w15:val="{B99B17E5-E230-47C1-9665-FE15B28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32C"/>
  </w:style>
  <w:style w:type="character" w:styleId="Numerstrony">
    <w:name w:val="page number"/>
    <w:basedOn w:val="Domylnaczcionkaakapitu"/>
    <w:semiHidden/>
    <w:rsid w:val="00B3232C"/>
  </w:style>
  <w:style w:type="paragraph" w:styleId="Akapitzlist">
    <w:name w:val="List Paragraph"/>
    <w:basedOn w:val="Normalny"/>
    <w:uiPriority w:val="34"/>
    <w:qFormat/>
    <w:rsid w:val="00B323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3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32C"/>
  </w:style>
  <w:style w:type="paragraph" w:styleId="Tekstdymka">
    <w:name w:val="Balloon Text"/>
    <w:basedOn w:val="Normalny"/>
    <w:link w:val="TekstdymkaZnak"/>
    <w:uiPriority w:val="99"/>
    <w:semiHidden/>
    <w:unhideWhenUsed/>
    <w:rsid w:val="00AC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6344</Words>
  <Characters>38070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2021-02-22T09:38:00Z</cp:lastPrinted>
  <dcterms:created xsi:type="dcterms:W3CDTF">2021-02-23T14:14:00Z</dcterms:created>
  <dcterms:modified xsi:type="dcterms:W3CDTF">2021-02-23T14:14:00Z</dcterms:modified>
</cp:coreProperties>
</file>