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5B" w:rsidRPr="00C62BA7" w:rsidRDefault="00D524D7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713262959" r:id="rId9"/>
        </w:obje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C55B5B" w:rsidRPr="00D07E03" w:rsidRDefault="00D524D7" w:rsidP="00C55B5B">
      <w:pPr>
        <w:spacing w:before="480" w:after="0" w:line="360" w:lineRule="auto"/>
        <w:ind w:left="5103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1" w:name="ezdDataPodpisu"/>
      <w:r w:rsidRPr="00D07E03">
        <w:rPr>
          <w:rFonts w:ascii="Arial" w:hAnsi="Arial" w:cs="Arial"/>
        </w:rPr>
        <w:t>20 kwietnia 2022</w:t>
      </w:r>
      <w:bookmarkEnd w:id="1"/>
      <w:r w:rsidRPr="00D07E03">
        <w:rPr>
          <w:rFonts w:ascii="Arial" w:hAnsi="Arial" w:cs="Arial"/>
        </w:rPr>
        <w:t>r.</w:t>
      </w:r>
    </w:p>
    <w:p w:rsidR="00C55B5B" w:rsidRPr="005E4DEB" w:rsidRDefault="00D524D7" w:rsidP="00C55B5B">
      <w:pPr>
        <w:spacing w:after="0" w:line="36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5E4DEB">
        <w:rPr>
          <w:rFonts w:ascii="Arial" w:eastAsia="Times New Roman" w:hAnsi="Arial" w:cs="Arial"/>
          <w:sz w:val="24"/>
          <w:szCs w:val="24"/>
        </w:rPr>
        <w:t>PN.I.431.</w:t>
      </w:r>
      <w:r>
        <w:rPr>
          <w:rFonts w:ascii="Arial" w:eastAsia="Times New Roman" w:hAnsi="Arial" w:cs="Arial"/>
          <w:sz w:val="24"/>
          <w:szCs w:val="24"/>
        </w:rPr>
        <w:t>2</w:t>
      </w:r>
      <w:r w:rsidRPr="005E4DEB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10</w:t>
      </w:r>
      <w:r w:rsidRPr="005E4DEB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5E4DEB">
        <w:rPr>
          <w:rFonts w:ascii="Arial" w:eastAsia="Times New Roman" w:hAnsi="Arial" w:cs="Arial"/>
          <w:sz w:val="24"/>
          <w:szCs w:val="24"/>
        </w:rPr>
        <w:t>.EK</w:t>
      </w:r>
    </w:p>
    <w:p w:rsidR="005E4DEB" w:rsidRPr="00F9166A" w:rsidRDefault="00D524D7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5E4DEB" w:rsidRPr="00F9166A" w:rsidRDefault="00D524D7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Andrzej Bugajak</w:t>
      </w:r>
    </w:p>
    <w:p w:rsidR="005E4DEB" w:rsidRPr="00F9166A" w:rsidRDefault="00D524D7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>
        <w:rPr>
          <w:rFonts w:ascii="Arial" w:eastAsia="Calibri" w:hAnsi="Arial" w:cs="Arial"/>
          <w:b/>
          <w:bCs/>
          <w:sz w:val="24"/>
          <w:szCs w:val="24"/>
        </w:rPr>
        <w:t>angielskie</w:t>
      </w:r>
      <w:r>
        <w:rPr>
          <w:rFonts w:ascii="Arial" w:eastAsia="Calibri" w:hAnsi="Arial" w:cs="Arial"/>
          <w:b/>
          <w:bCs/>
          <w:sz w:val="24"/>
          <w:szCs w:val="24"/>
        </w:rPr>
        <w:t>go</w:t>
      </w:r>
    </w:p>
    <w:p w:rsidR="005E4DEB" w:rsidRPr="00F9166A" w:rsidRDefault="00D524D7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>
        <w:rPr>
          <w:rFonts w:ascii="Arial" w:eastAsia="Calibri" w:hAnsi="Arial" w:cs="Arial"/>
          <w:b/>
          <w:bCs/>
          <w:sz w:val="24"/>
          <w:szCs w:val="24"/>
        </w:rPr>
        <w:t>Gałczyńskiego 15/3</w:t>
      </w:r>
      <w:r w:rsidRPr="00F9166A">
        <w:rPr>
          <w:rFonts w:ascii="Arial" w:eastAsia="Calibri" w:hAnsi="Arial" w:cs="Arial"/>
          <w:b/>
          <w:bCs/>
          <w:sz w:val="24"/>
          <w:szCs w:val="24"/>
        </w:rPr>
        <w:tab/>
      </w:r>
    </w:p>
    <w:p w:rsidR="005E4DEB" w:rsidRDefault="00D524D7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46-203 Kluczbork</w:t>
      </w:r>
    </w:p>
    <w:p w:rsidR="005E4DEB" w:rsidRPr="00F9166A" w:rsidRDefault="00D524D7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 KONTROLI</w:t>
      </w:r>
    </w:p>
    <w:p w:rsidR="005E4DEB" w:rsidRPr="00F9166A" w:rsidRDefault="00D524D7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I. Dane </w:t>
      </w:r>
      <w:r w:rsidRPr="00F9166A">
        <w:rPr>
          <w:rFonts w:ascii="Arial" w:hAnsi="Arial" w:cs="Arial"/>
          <w:b/>
          <w:sz w:val="24"/>
          <w:szCs w:val="24"/>
        </w:rPr>
        <w:t>identyfikacyjne kontroli</w:t>
      </w:r>
    </w:p>
    <w:p w:rsidR="005E4DEB" w:rsidRPr="00F9166A" w:rsidRDefault="00D524D7" w:rsidP="001A033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Andrzej Bugajak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>
        <w:rPr>
          <w:rFonts w:ascii="Arial" w:eastAsia="Times New Roman" w:hAnsi="Arial" w:cs="Arial"/>
          <w:sz w:val="24"/>
          <w:szCs w:val="24"/>
        </w:rPr>
        <w:t>angielskie</w:t>
      </w:r>
      <w:r>
        <w:rPr>
          <w:rFonts w:ascii="Arial" w:eastAsia="Times New Roman" w:hAnsi="Arial" w:cs="Arial"/>
          <w:sz w:val="24"/>
          <w:szCs w:val="24"/>
        </w:rPr>
        <w:t>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ul. </w:t>
      </w:r>
      <w:r>
        <w:rPr>
          <w:rFonts w:ascii="Arial" w:eastAsia="Times New Roman" w:hAnsi="Arial" w:cs="Arial"/>
          <w:sz w:val="24"/>
          <w:szCs w:val="24"/>
        </w:rPr>
        <w:t>Gałczyńskiego 15/3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46-203 Kluczbork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F9166A" w:rsidRDefault="00D524D7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 xml:space="preserve">o </w:t>
      </w:r>
      <w:r w:rsidRPr="00F9166A">
        <w:rPr>
          <w:rFonts w:ascii="Arial" w:hAnsi="Arial" w:cs="Arial"/>
          <w:sz w:val="24"/>
        </w:rPr>
        <w:t>zawodzie tłumacza przysięgłego (tj. Dz.U. z 2019 r., poz. 1326)</w:t>
      </w:r>
      <w:r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</w:p>
    <w:p w:rsidR="005E4DEB" w:rsidRPr="00F9166A" w:rsidRDefault="00D524D7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RDefault="00D524D7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</w:t>
      </w:r>
      <w:r w:rsidRPr="00F9166A">
        <w:rPr>
          <w:rFonts w:ascii="Arial" w:hAnsi="Arial" w:cs="Arial"/>
          <w:sz w:val="24"/>
        </w:rPr>
        <w:t>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RDefault="00D524D7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1 stycznia 2021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>
        <w:rPr>
          <w:rFonts w:ascii="Arial" w:eastAsia="Times New Roman" w:hAnsi="Arial" w:cs="Arial"/>
          <w:bCs/>
          <w:sz w:val="24"/>
          <w:szCs w:val="24"/>
        </w:rPr>
        <w:t>– 31 grudnia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9166A">
        <w:rPr>
          <w:rFonts w:ascii="Arial" w:eastAsia="Times New Roman" w:hAnsi="Arial" w:cs="Arial"/>
          <w:bCs/>
          <w:sz w:val="24"/>
          <w:szCs w:val="24"/>
        </w:rPr>
        <w:t>2021 r.</w:t>
      </w:r>
    </w:p>
    <w:p w:rsidR="005E4DEB" w:rsidRPr="00F9166A" w:rsidRDefault="00D524D7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RDefault="00D524D7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uproszczony</w:t>
      </w:r>
    </w:p>
    <w:p w:rsidR="005E4DEB" w:rsidRPr="00346771" w:rsidRDefault="00D524D7" w:rsidP="00346771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lastRenderedPageBreak/>
        <w:t xml:space="preserve">Termin </w:t>
      </w:r>
      <w:r w:rsidRPr="00F9166A">
        <w:rPr>
          <w:rFonts w:ascii="Arial" w:hAnsi="Arial" w:cs="Arial"/>
          <w:b/>
          <w:sz w:val="24"/>
          <w:szCs w:val="24"/>
        </w:rPr>
        <w:t>kontroli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7-21</w:t>
      </w:r>
      <w:r w:rsidRPr="00346771">
        <w:rPr>
          <w:rFonts w:ascii="Arial" w:hAnsi="Arial" w:cs="Arial"/>
          <w:sz w:val="24"/>
          <w:szCs w:val="24"/>
        </w:rPr>
        <w:t xml:space="preserve"> kwietnia</w:t>
      </w:r>
      <w:r w:rsidRPr="00346771">
        <w:rPr>
          <w:rFonts w:ascii="Arial" w:eastAsia="Times New Roman" w:hAnsi="Arial" w:cs="Arial"/>
          <w:sz w:val="24"/>
          <w:szCs w:val="24"/>
        </w:rPr>
        <w:t xml:space="preserve"> 202</w:t>
      </w:r>
      <w:r w:rsidRPr="00346771">
        <w:rPr>
          <w:rFonts w:ascii="Arial" w:eastAsia="Times New Roman" w:hAnsi="Arial" w:cs="Arial"/>
          <w:sz w:val="24"/>
          <w:szCs w:val="24"/>
        </w:rPr>
        <w:t>2</w:t>
      </w:r>
      <w:r w:rsidRPr="00346771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5E4DEB" w:rsidRPr="00F9166A" w:rsidRDefault="00D524D7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9166A" w:rsidRDefault="00D524D7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F9166A">
        <w:rPr>
          <w:rFonts w:ascii="Arial" w:hAnsi="Arial" w:cs="Arial"/>
          <w:bCs/>
          <w:sz w:val="24"/>
          <w:szCs w:val="24"/>
        </w:rPr>
        <w:br/>
        <w:t xml:space="preserve">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</w:t>
      </w:r>
      <w:r>
        <w:rPr>
          <w:rFonts w:ascii="Arial" w:hAnsi="Arial" w:cs="Arial"/>
          <w:sz w:val="24"/>
          <w:szCs w:val="24"/>
        </w:rPr>
        <w:t>;</w:t>
      </w:r>
    </w:p>
    <w:p w:rsidR="005E4DEB" w:rsidRPr="00F9166A" w:rsidRDefault="00D524D7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Katarzyna Piasecka</w:t>
      </w:r>
      <w:r w:rsidRPr="00F9166A">
        <w:rPr>
          <w:rFonts w:ascii="Arial" w:hAnsi="Arial" w:cs="Arial"/>
          <w:bCs/>
          <w:i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</w:rPr>
        <w:t>Kierownik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</w:t>
      </w:r>
      <w:r>
        <w:rPr>
          <w:rFonts w:ascii="Arial" w:hAnsi="Arial" w:cs="Arial"/>
          <w:bCs/>
          <w:sz w:val="24"/>
          <w:szCs w:val="24"/>
        </w:rPr>
        <w:t xml:space="preserve">łu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</w:t>
      </w:r>
      <w:r w:rsidRPr="00F9166A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0014DB" w:rsidRDefault="00D524D7" w:rsidP="000014D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0014DB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0014DB">
        <w:rPr>
          <w:rFonts w:ascii="Arial" w:hAnsi="Arial" w:cs="Arial"/>
          <w:b/>
          <w:sz w:val="24"/>
          <w:szCs w:val="24"/>
        </w:rPr>
        <w:t>podmiotu kontrolowanego:</w:t>
      </w:r>
      <w:r w:rsidRPr="000014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Andrzej Bugajak</w:t>
      </w:r>
      <w:r w:rsidRPr="000014DB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0014DB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>
        <w:rPr>
          <w:rFonts w:ascii="Arial" w:eastAsia="Times New Roman" w:hAnsi="Arial" w:cs="Arial"/>
          <w:sz w:val="24"/>
          <w:szCs w:val="24"/>
        </w:rPr>
        <w:t>angielskie</w:t>
      </w:r>
      <w:r w:rsidRPr="000014DB">
        <w:rPr>
          <w:rFonts w:ascii="Arial" w:eastAsia="Times New Roman" w:hAnsi="Arial" w:cs="Arial"/>
          <w:sz w:val="24"/>
          <w:szCs w:val="24"/>
        </w:rPr>
        <w:t>go</w:t>
      </w:r>
      <w:r w:rsidRPr="000014DB">
        <w:rPr>
          <w:rFonts w:ascii="Arial" w:eastAsia="Times New Roman" w:hAnsi="Arial" w:cs="Arial"/>
          <w:sz w:val="24"/>
          <w:szCs w:val="24"/>
        </w:rPr>
        <w:t>.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 xml:space="preserve">Uprawnienia do wykonywania czynności tłumacza przysięgłego języka </w:t>
      </w:r>
      <w:r>
        <w:rPr>
          <w:rFonts w:ascii="Arial" w:eastAsia="Times New Roman" w:hAnsi="Arial" w:cs="Arial"/>
          <w:sz w:val="24"/>
          <w:szCs w:val="24"/>
        </w:rPr>
        <w:t>angielski</w:t>
      </w:r>
      <w:r w:rsidRPr="000014DB">
        <w:rPr>
          <w:rFonts w:ascii="Arial" w:eastAsia="Times New Roman" w:hAnsi="Arial" w:cs="Arial"/>
          <w:sz w:val="24"/>
          <w:szCs w:val="24"/>
        </w:rPr>
        <w:t>e</w:t>
      </w:r>
      <w:r w:rsidRPr="000014DB">
        <w:rPr>
          <w:rFonts w:ascii="Arial" w:eastAsia="Times New Roman" w:hAnsi="Arial" w:cs="Arial"/>
          <w:sz w:val="24"/>
          <w:szCs w:val="24"/>
        </w:rPr>
        <w:t xml:space="preserve">go nabył </w:t>
      </w:r>
      <w:r w:rsidRPr="000014DB">
        <w:rPr>
          <w:rFonts w:ascii="Arial" w:eastAsia="Times New Roman" w:hAnsi="Arial" w:cs="Arial"/>
          <w:sz w:val="24"/>
          <w:szCs w:val="24"/>
        </w:rPr>
        <w:t>z dniem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3 grudnia 1998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>r.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>Na listę tłumaczy przysięgłych, prowadzoną przez Ministra Sprawiedliwości</w:t>
      </w:r>
      <w:r w:rsidRPr="000014DB">
        <w:rPr>
          <w:rFonts w:ascii="Arial" w:eastAsia="Times New Roman" w:hAnsi="Arial" w:cs="Arial"/>
          <w:sz w:val="24"/>
          <w:szCs w:val="24"/>
        </w:rPr>
        <w:t>, został wpisan</w:t>
      </w:r>
      <w:r>
        <w:rPr>
          <w:rFonts w:ascii="Arial" w:eastAsia="Times New Roman" w:hAnsi="Arial" w:cs="Arial"/>
          <w:sz w:val="24"/>
          <w:szCs w:val="24"/>
        </w:rPr>
        <w:t>y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 xml:space="preserve">pod </w:t>
      </w:r>
      <w:r w:rsidRPr="000014DB">
        <w:rPr>
          <w:rFonts w:ascii="Arial" w:eastAsia="Times New Roman" w:hAnsi="Arial" w:cs="Arial"/>
          <w:sz w:val="24"/>
          <w:szCs w:val="24"/>
        </w:rPr>
        <w:t>N</w:t>
      </w:r>
      <w:r w:rsidRPr="000014DB">
        <w:rPr>
          <w:rFonts w:ascii="Arial" w:eastAsia="Times New Roman" w:hAnsi="Arial" w:cs="Arial"/>
          <w:sz w:val="24"/>
          <w:szCs w:val="24"/>
        </w:rPr>
        <w:t xml:space="preserve">r </w:t>
      </w:r>
      <w:r w:rsidRPr="000014DB">
        <w:rPr>
          <w:rFonts w:ascii="Arial" w:eastAsia="Times New Roman" w:hAnsi="Arial" w:cs="Arial"/>
          <w:sz w:val="24"/>
          <w:szCs w:val="24"/>
        </w:rPr>
        <w:t>TP/</w:t>
      </w: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132</w:t>
      </w:r>
      <w:r w:rsidRPr="000014DB">
        <w:rPr>
          <w:rFonts w:ascii="Arial" w:eastAsia="Times New Roman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5</w:t>
      </w:r>
      <w:r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Pr="000014DB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RDefault="00D524D7" w:rsidP="000014D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z uwagi na </w:t>
      </w:r>
      <w:r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>
        <w:rPr>
          <w:rFonts w:ascii="Arial" w:eastAsia="Calibri" w:hAnsi="Arial" w:cs="Arial"/>
          <w:bCs/>
          <w:sz w:val="24"/>
          <w:szCs w:val="24"/>
        </w:rPr>
        <w:t>brak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RDefault="00D524D7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FF6D90" w:rsidRPr="0097442C" w:rsidRDefault="00D524D7" w:rsidP="0097442C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</w:t>
      </w:r>
      <w:r w:rsidRPr="00544F0D">
        <w:rPr>
          <w:rFonts w:ascii="Arial" w:hAnsi="Arial" w:cs="Arial"/>
          <w:sz w:val="24"/>
        </w:rPr>
        <w:t>rawidłowoś</w:t>
      </w:r>
      <w:r>
        <w:rPr>
          <w:rFonts w:ascii="Arial" w:hAnsi="Arial" w:cs="Arial"/>
          <w:sz w:val="24"/>
        </w:rPr>
        <w:t>ć i</w:t>
      </w:r>
      <w:r w:rsidRPr="00544F0D">
        <w:rPr>
          <w:rFonts w:ascii="Arial" w:hAnsi="Arial" w:cs="Arial"/>
          <w:sz w:val="24"/>
        </w:rPr>
        <w:t xml:space="preserve"> rzetelnoś</w:t>
      </w:r>
      <w:r>
        <w:rPr>
          <w:rFonts w:ascii="Arial" w:hAnsi="Arial" w:cs="Arial"/>
          <w:sz w:val="24"/>
        </w:rPr>
        <w:t>ć</w:t>
      </w:r>
      <w:r w:rsidRPr="00544F0D">
        <w:rPr>
          <w:rFonts w:ascii="Arial" w:hAnsi="Arial" w:cs="Arial"/>
          <w:sz w:val="24"/>
        </w:rPr>
        <w:t xml:space="preserve"> prowadzenia 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 w:rsidRPr="00F9166A"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 xml:space="preserve">oraz pobierania wynagrodzenia za czynności tłumacza przysięgłego, wykonane na rzecz podmiotów, o których mowa w art. 15 ustawy o zawodzie </w:t>
      </w:r>
      <w:r w:rsidRPr="00F9166A">
        <w:rPr>
          <w:rFonts w:ascii="Arial" w:hAnsi="Arial" w:cs="Arial"/>
          <w:sz w:val="24"/>
        </w:rPr>
        <w:t>tłumacza przysięgłego, tj. sądu, prokuratora, Policji oraz organów administracji publicznej</w:t>
      </w:r>
      <w:r>
        <w:rPr>
          <w:rFonts w:ascii="Arial" w:hAnsi="Arial" w:cs="Arial"/>
          <w:sz w:val="24"/>
        </w:rPr>
        <w:t xml:space="preserve">, </w:t>
      </w:r>
      <w:r w:rsidRPr="00F9166A">
        <w:rPr>
          <w:rFonts w:ascii="Arial" w:hAnsi="Arial" w:cs="Arial"/>
          <w:sz w:val="24"/>
          <w:szCs w:val="24"/>
        </w:rPr>
        <w:t xml:space="preserve">oceniono </w:t>
      </w:r>
      <w:r w:rsidRPr="00F9166A">
        <w:rPr>
          <w:rFonts w:ascii="Arial" w:hAnsi="Arial" w:cs="Arial"/>
          <w:b/>
          <w:sz w:val="24"/>
          <w:szCs w:val="24"/>
        </w:rPr>
        <w:t>pozytywnie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z </w:t>
      </w:r>
      <w:r>
        <w:rPr>
          <w:rFonts w:ascii="Arial" w:hAnsi="Arial" w:cs="Arial"/>
          <w:b/>
          <w:sz w:val="24"/>
          <w:szCs w:val="24"/>
        </w:rPr>
        <w:t>uchybienia</w:t>
      </w:r>
      <w:r>
        <w:rPr>
          <w:rFonts w:ascii="Arial" w:hAnsi="Arial" w:cs="Arial"/>
          <w:b/>
          <w:sz w:val="24"/>
          <w:szCs w:val="24"/>
        </w:rPr>
        <w:t>mi</w:t>
      </w:r>
      <w:r>
        <w:rPr>
          <w:rFonts w:ascii="Arial" w:hAnsi="Arial" w:cs="Arial"/>
          <w:b/>
          <w:sz w:val="24"/>
          <w:szCs w:val="24"/>
        </w:rPr>
        <w:t>.</w:t>
      </w:r>
      <w:r w:rsidRPr="00F9166A">
        <w:rPr>
          <w:rFonts w:ascii="Arial" w:hAnsi="Arial" w:cs="Arial"/>
          <w:sz w:val="24"/>
        </w:rPr>
        <w:t xml:space="preserve"> </w:t>
      </w:r>
    </w:p>
    <w:p w:rsidR="00D24973" w:rsidRPr="00D24973" w:rsidRDefault="00D524D7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B32F07" w:rsidRDefault="00D524D7" w:rsidP="00B32F07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  <w:szCs w:val="24"/>
        </w:rPr>
        <w:t>W okresie objętym kontrolą repe</w:t>
      </w:r>
      <w:r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 w:rsidRPr="00F9166A">
        <w:rPr>
          <w:rFonts w:ascii="Arial" w:hAnsi="Arial" w:cs="Arial"/>
          <w:sz w:val="24"/>
          <w:szCs w:val="24"/>
        </w:rPr>
        <w:t>papierowej</w:t>
      </w:r>
      <w:r w:rsidRPr="00F9166A">
        <w:rPr>
          <w:rFonts w:ascii="Arial" w:hAnsi="Arial" w:cs="Arial"/>
          <w:sz w:val="24"/>
          <w:szCs w:val="24"/>
        </w:rPr>
        <w:t xml:space="preserve"> i obejmowało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 xml:space="preserve"> wpisy</w:t>
      </w:r>
      <w:r w:rsidRPr="00F9166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 czego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wpis</w:t>
      </w:r>
      <w:r>
        <w:rPr>
          <w:rFonts w:ascii="Arial" w:hAnsi="Arial" w:cs="Arial"/>
          <w:sz w:val="24"/>
          <w:szCs w:val="24"/>
        </w:rPr>
        <w:t>ów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stanowił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tłumaczenia </w:t>
      </w:r>
      <w:r w:rsidRPr="00F9166A">
        <w:rPr>
          <w:rFonts w:ascii="Arial" w:hAnsi="Arial" w:cs="Arial"/>
          <w:sz w:val="24"/>
          <w:szCs w:val="24"/>
        </w:rPr>
        <w:t>na rzecz</w:t>
      </w:r>
      <w:r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 xml:space="preserve">podmiotów, o </w:t>
      </w:r>
      <w:r w:rsidRPr="00F9166A">
        <w:rPr>
          <w:rFonts w:ascii="Arial" w:hAnsi="Arial" w:cs="Arial"/>
          <w:sz w:val="24"/>
        </w:rPr>
        <w:t>których mowa w art. 15 ustawy o zawodzie tłumacza przysięgłego.</w:t>
      </w:r>
    </w:p>
    <w:p w:rsidR="00B32F07" w:rsidRDefault="00D524D7" w:rsidP="007750AB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Kontroli </w:t>
      </w:r>
      <w:r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w zakresie prawidłowości i rzetelności prowadzenia repertorium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– poddano, zgodnie z założeniami do kontroli z dnia 11 stycznia 2022 r. – </w:t>
      </w:r>
      <w:r>
        <w:rPr>
          <w:rFonts w:ascii="Arial" w:hAnsi="Arial" w:cs="Arial"/>
          <w:sz w:val="24"/>
        </w:rPr>
        <w:t>ostatnie 50 wpisów (</w:t>
      </w:r>
      <w:r>
        <w:rPr>
          <w:rFonts w:ascii="Arial" w:hAnsi="Arial" w:cs="Arial"/>
          <w:sz w:val="24"/>
        </w:rPr>
        <w:t>lp.: 23-72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, natomiast w zakresie wysokości pobieranych wynagrodzeń na rzecz ww. podmiotów określonych </w:t>
      </w:r>
      <w:r w:rsidRPr="00F9166A">
        <w:rPr>
          <w:rFonts w:ascii="Arial" w:hAnsi="Arial" w:cs="Arial"/>
          <w:sz w:val="24"/>
        </w:rPr>
        <w:t>w art. 15 ustawy o zawodzie tłumacza przysięgłego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wpis</w:t>
      </w:r>
      <w:r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 xml:space="preserve">lp.: </w:t>
      </w:r>
      <w:r>
        <w:rPr>
          <w:rFonts w:ascii="Arial" w:hAnsi="Arial" w:cs="Arial"/>
          <w:sz w:val="24"/>
        </w:rPr>
        <w:t>63 i 67</w:t>
      </w:r>
      <w:r>
        <w:rPr>
          <w:rFonts w:ascii="Arial" w:hAnsi="Arial" w:cs="Arial"/>
          <w:sz w:val="24"/>
        </w:rPr>
        <w:t>)</w:t>
      </w:r>
      <w:r w:rsidRPr="00F9166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B41111" w:rsidRDefault="00D524D7" w:rsidP="00B32F07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5-13</w:t>
      </w:r>
      <w:r>
        <w:rPr>
          <w:rFonts w:ascii="Arial" w:hAnsi="Arial" w:cs="Arial"/>
          <w:sz w:val="24"/>
        </w:rPr>
        <w:t>]</w:t>
      </w:r>
    </w:p>
    <w:p w:rsidR="00D15423" w:rsidRPr="000E5079" w:rsidRDefault="00D524D7" w:rsidP="00D15423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lastRenderedPageBreak/>
        <w:t xml:space="preserve">Zgodnie z </w:t>
      </w:r>
      <w:r w:rsidRPr="000E5079">
        <w:rPr>
          <w:rFonts w:ascii="Arial" w:hAnsi="Arial" w:cs="Arial"/>
          <w:sz w:val="24"/>
        </w:rPr>
        <w:t xml:space="preserve">treścią </w:t>
      </w:r>
      <w:r>
        <w:rPr>
          <w:rFonts w:ascii="Arial" w:hAnsi="Arial" w:cs="Arial"/>
          <w:sz w:val="24"/>
        </w:rPr>
        <w:t xml:space="preserve">przedłożonego </w:t>
      </w:r>
      <w:r>
        <w:rPr>
          <w:rFonts w:ascii="Arial" w:hAnsi="Arial" w:cs="Arial"/>
          <w:sz w:val="24"/>
        </w:rPr>
        <w:t>oświadczenia</w:t>
      </w:r>
      <w:r w:rsidRPr="000E5079">
        <w:rPr>
          <w:rFonts w:ascii="Arial" w:hAnsi="Arial" w:cs="Arial"/>
          <w:sz w:val="24"/>
        </w:rPr>
        <w:t xml:space="preserve">, </w:t>
      </w:r>
      <w:bookmarkStart w:id="2" w:name="_Hlk101258707"/>
      <w:r w:rsidRPr="000E5079">
        <w:rPr>
          <w:rFonts w:ascii="Arial" w:hAnsi="Arial" w:cs="Arial"/>
          <w:sz w:val="24"/>
        </w:rPr>
        <w:t xml:space="preserve">w okresie objętym kontrolą </w:t>
      </w:r>
      <w:r>
        <w:rPr>
          <w:rFonts w:ascii="Arial" w:hAnsi="Arial" w:cs="Arial"/>
          <w:sz w:val="24"/>
        </w:rPr>
        <w:br/>
      </w:r>
      <w:r w:rsidRPr="000E5079">
        <w:rPr>
          <w:rFonts w:ascii="Arial" w:hAnsi="Arial" w:cs="Arial"/>
          <w:sz w:val="24"/>
        </w:rPr>
        <w:t xml:space="preserve">nie miały miejsca przypadki </w:t>
      </w:r>
      <w:r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 xml:space="preserve">dmowy wykonania tłumaczenia na żądanie sądu, prokuratora, Policji oraz organów administracji publicznej. </w:t>
      </w:r>
    </w:p>
    <w:bookmarkEnd w:id="2"/>
    <w:p w:rsidR="00D15423" w:rsidRPr="000E5079" w:rsidRDefault="00D524D7" w:rsidP="00D15423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>[Dowód: akta kontroli, str.</w:t>
      </w:r>
      <w:r>
        <w:rPr>
          <w:rFonts w:ascii="Arial" w:hAnsi="Arial" w:cs="Arial"/>
          <w:sz w:val="24"/>
        </w:rPr>
        <w:t xml:space="preserve"> 2</w:t>
      </w:r>
      <w:r w:rsidRPr="000E5079">
        <w:rPr>
          <w:rFonts w:ascii="Arial" w:hAnsi="Arial" w:cs="Arial"/>
          <w:sz w:val="24"/>
        </w:rPr>
        <w:t>]</w:t>
      </w:r>
    </w:p>
    <w:p w:rsidR="00E87BC6" w:rsidRDefault="00D524D7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6B0F6E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3"/>
      </w:r>
      <w:r w:rsidRPr="006B0F6E">
        <w:rPr>
          <w:rFonts w:ascii="Arial" w:hAnsi="Arial" w:cs="Arial"/>
          <w:sz w:val="24"/>
        </w:rPr>
        <w:t>.</w:t>
      </w:r>
    </w:p>
    <w:p w:rsidR="00F62331" w:rsidRDefault="00D524D7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Tłumacz p</w:t>
      </w:r>
      <w:r>
        <w:rPr>
          <w:rFonts w:ascii="Arial" w:hAnsi="Arial" w:cs="Arial"/>
          <w:sz w:val="24"/>
        </w:rPr>
        <w:t xml:space="preserve">rzysięgły </w:t>
      </w:r>
      <w:r w:rsidRPr="00F9166A">
        <w:rPr>
          <w:rFonts w:ascii="Arial" w:hAnsi="Arial" w:cs="Arial"/>
          <w:sz w:val="24"/>
        </w:rPr>
        <w:t>spełnił ustawow</w:t>
      </w:r>
      <w:r>
        <w:rPr>
          <w:rFonts w:ascii="Arial" w:hAnsi="Arial" w:cs="Arial"/>
          <w:sz w:val="24"/>
        </w:rPr>
        <w:t>y</w:t>
      </w:r>
      <w:r w:rsidRPr="00F9166A">
        <w:rPr>
          <w:rFonts w:ascii="Arial" w:hAnsi="Arial" w:cs="Arial"/>
          <w:sz w:val="24"/>
        </w:rPr>
        <w:t xml:space="preserve"> obowiąz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k</w:t>
      </w:r>
      <w:r w:rsidRPr="00F9166A">
        <w:rPr>
          <w:rFonts w:ascii="Arial" w:hAnsi="Arial" w:cs="Arial"/>
          <w:sz w:val="24"/>
        </w:rPr>
        <w:t xml:space="preserve"> złożenia Wojewodzie Opolskiemu wzoru podpisu i odcisk</w:t>
      </w:r>
      <w:r>
        <w:rPr>
          <w:rFonts w:ascii="Arial" w:hAnsi="Arial" w:cs="Arial"/>
          <w:sz w:val="24"/>
        </w:rPr>
        <w:t>u</w:t>
      </w:r>
      <w:r w:rsidRPr="00F9166A">
        <w:rPr>
          <w:rFonts w:ascii="Arial" w:hAnsi="Arial" w:cs="Arial"/>
          <w:sz w:val="24"/>
        </w:rPr>
        <w:t xml:space="preserve"> pieczęci, o którym mowa w art. 19 ustawy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 zawodzie tłumacza przysięgłego.</w:t>
      </w:r>
    </w:p>
    <w:p w:rsidR="00F62331" w:rsidRDefault="00D524D7" w:rsidP="00F6233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</w:t>
      </w:r>
      <w:r>
        <w:rPr>
          <w:rFonts w:ascii="Arial" w:hAnsi="Arial" w:cs="Arial"/>
          <w:sz w:val="24"/>
        </w:rPr>
        <w:t xml:space="preserve"> 3</w:t>
      </w:r>
      <w:r>
        <w:rPr>
          <w:rFonts w:ascii="Arial" w:hAnsi="Arial" w:cs="Arial"/>
          <w:sz w:val="24"/>
        </w:rPr>
        <w:t>]</w:t>
      </w:r>
    </w:p>
    <w:p w:rsidR="009E7E40" w:rsidRDefault="00D524D7" w:rsidP="00B41111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zakresie </w:t>
      </w:r>
      <w:r>
        <w:rPr>
          <w:rFonts w:ascii="Arial" w:hAnsi="Arial" w:cs="Arial"/>
          <w:sz w:val="24"/>
          <w:szCs w:val="24"/>
        </w:rPr>
        <w:t xml:space="preserve">prawidłowości pobierania </w:t>
      </w:r>
      <w:r>
        <w:rPr>
          <w:rFonts w:ascii="Arial" w:hAnsi="Arial" w:cs="Arial"/>
          <w:sz w:val="24"/>
          <w:szCs w:val="24"/>
        </w:rPr>
        <w:t>wynagrodzeń</w:t>
      </w:r>
      <w:r>
        <w:rPr>
          <w:rFonts w:ascii="Arial" w:hAnsi="Arial" w:cs="Arial"/>
          <w:sz w:val="24"/>
          <w:szCs w:val="24"/>
        </w:rPr>
        <w:t xml:space="preserve"> za czynności tłumacza przysięgłego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rzecz </w:t>
      </w:r>
      <w:r>
        <w:rPr>
          <w:rFonts w:ascii="Arial" w:hAnsi="Arial" w:cs="Arial"/>
          <w:sz w:val="24"/>
          <w:szCs w:val="24"/>
        </w:rPr>
        <w:t>podmiotów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określon</w:t>
      </w:r>
      <w:r>
        <w:rPr>
          <w:rFonts w:ascii="Arial" w:hAnsi="Arial" w:cs="Arial"/>
          <w:sz w:val="24"/>
        </w:rPr>
        <w:t>ych</w:t>
      </w:r>
      <w:r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w art. 15 ustawy o zawodzie tłumacza przysięgłego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skontrolowan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jak wyżej wskazano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 wpisy </w:t>
      </w:r>
      <w:r>
        <w:rPr>
          <w:rFonts w:ascii="Arial" w:hAnsi="Arial" w:cs="Arial"/>
          <w:sz w:val="24"/>
          <w:szCs w:val="24"/>
        </w:rPr>
        <w:t xml:space="preserve">(lp. </w:t>
      </w:r>
      <w:r>
        <w:rPr>
          <w:rFonts w:ascii="Arial" w:hAnsi="Arial" w:cs="Arial"/>
          <w:sz w:val="24"/>
        </w:rPr>
        <w:t>63 i 67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Oba </w:t>
      </w:r>
      <w:r>
        <w:rPr>
          <w:rFonts w:ascii="Arial" w:hAnsi="Arial" w:cs="Arial"/>
          <w:sz w:val="24"/>
          <w:szCs w:val="24"/>
        </w:rPr>
        <w:t xml:space="preserve">tłumaczenia stanowiły </w:t>
      </w:r>
      <w:r>
        <w:rPr>
          <w:rFonts w:ascii="Arial" w:hAnsi="Arial" w:cs="Arial"/>
          <w:sz w:val="24"/>
          <w:szCs w:val="24"/>
        </w:rPr>
        <w:t>tłumaczeni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pisemne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Nie stwierdzono nieprawidłowości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zakresie stosowania </w:t>
      </w:r>
      <w:r w:rsidRPr="007A65DF">
        <w:rPr>
          <w:rFonts w:ascii="Arial" w:hAnsi="Arial" w:cs="Arial"/>
          <w:sz w:val="24"/>
        </w:rPr>
        <w:t>Rozporządzenia Ministra Sprawiedliwości w sprawie wynagrodzenia za czynności tłumacza przysięgłego</w:t>
      </w:r>
      <w:r>
        <w:rPr>
          <w:rStyle w:val="Odwoanieprzypisudolnego"/>
          <w:rFonts w:ascii="Arial" w:hAnsi="Arial" w:cs="Arial"/>
          <w:sz w:val="24"/>
        </w:rPr>
        <w:footnoteReference w:id="4"/>
      </w:r>
      <w:r>
        <w:rPr>
          <w:rFonts w:ascii="Arial" w:hAnsi="Arial" w:cs="Arial"/>
          <w:sz w:val="24"/>
          <w:szCs w:val="24"/>
        </w:rPr>
        <w:t>.</w:t>
      </w:r>
    </w:p>
    <w:p w:rsidR="005A682C" w:rsidRDefault="00D524D7" w:rsidP="005A682C">
      <w:pPr>
        <w:tabs>
          <w:tab w:val="left" w:pos="6690"/>
        </w:tabs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Jednakże, we </w:t>
      </w:r>
      <w:r w:rsidRPr="00507399">
        <w:rPr>
          <w:rFonts w:ascii="Arial" w:hAnsi="Arial" w:cs="Arial"/>
          <w:sz w:val="24"/>
          <w:szCs w:val="24"/>
        </w:rPr>
        <w:t>wpisie o lp. 67 będącym tłumaczeniem pisemnym z języka polskiego na język angielski, o</w:t>
      </w:r>
      <w:r w:rsidRPr="00507399">
        <w:rPr>
          <w:rFonts w:ascii="Arial" w:hAnsi="Arial" w:cs="Arial"/>
          <w:sz w:val="24"/>
          <w:szCs w:val="24"/>
        </w:rPr>
        <w:t xml:space="preserve">dnotowano wysokość wyliczonego wynagrodzenia – za jedną stronę tłumaczenia – w </w:t>
      </w:r>
      <w:r>
        <w:rPr>
          <w:rFonts w:ascii="Arial" w:hAnsi="Arial" w:cs="Arial"/>
          <w:sz w:val="24"/>
          <w:szCs w:val="24"/>
        </w:rPr>
        <w:t xml:space="preserve">kwocie </w:t>
      </w:r>
      <w:r w:rsidRPr="00507399">
        <w:rPr>
          <w:rFonts w:ascii="Arial" w:hAnsi="Arial" w:cs="Arial"/>
          <w:sz w:val="24"/>
          <w:szCs w:val="24"/>
        </w:rPr>
        <w:t>56,3</w:t>
      </w:r>
      <w:r>
        <w:rPr>
          <w:rFonts w:ascii="Arial" w:hAnsi="Arial" w:cs="Arial"/>
          <w:sz w:val="24"/>
          <w:szCs w:val="24"/>
        </w:rPr>
        <w:t>9</w:t>
      </w:r>
      <w:r w:rsidRPr="00507399">
        <w:rPr>
          <w:rFonts w:ascii="Arial" w:hAnsi="Arial" w:cs="Arial"/>
          <w:sz w:val="24"/>
          <w:szCs w:val="24"/>
        </w:rPr>
        <w:t xml:space="preserve"> zł, jak za tłumaczenie specjalistyczne. Z wyjaśnień tłumacza przysięgłego wynika: </w:t>
      </w:r>
      <w:r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 xml:space="preserve">wpisana jest </w:t>
      </w:r>
      <w:r w:rsidRPr="00507399">
        <w:rPr>
          <w:rFonts w:ascii="Arial" w:hAnsi="Arial" w:cs="Arial"/>
          <w:sz w:val="24"/>
          <w:szCs w:val="24"/>
        </w:rPr>
        <w:t>wysokość pobranego wynagrodzenia zgodnie z tabelą, jeśli jest ono po</w:t>
      </w:r>
      <w:r w:rsidRPr="00507399">
        <w:rPr>
          <w:rFonts w:ascii="Arial" w:hAnsi="Arial" w:cs="Arial"/>
          <w:sz w:val="24"/>
          <w:szCs w:val="24"/>
        </w:rPr>
        <w:t>większone o 25% znaczy dokument zawierał słownictwo specjalistyczne. Nie sądz</w:t>
      </w:r>
      <w:r>
        <w:rPr>
          <w:rFonts w:ascii="Arial" w:hAnsi="Arial" w:cs="Arial"/>
          <w:sz w:val="24"/>
          <w:szCs w:val="24"/>
        </w:rPr>
        <w:t>ę</w:t>
      </w:r>
      <w:r w:rsidRPr="00507399">
        <w:rPr>
          <w:rFonts w:ascii="Arial" w:hAnsi="Arial" w:cs="Arial"/>
          <w:sz w:val="24"/>
          <w:szCs w:val="24"/>
        </w:rPr>
        <w:t xml:space="preserve">, żeby było potrzebne dopisywanie, </w:t>
      </w:r>
      <w:r>
        <w:rPr>
          <w:rFonts w:ascii="Arial" w:hAnsi="Arial" w:cs="Arial"/>
          <w:sz w:val="24"/>
          <w:szCs w:val="24"/>
        </w:rPr>
        <w:br/>
      </w:r>
      <w:r w:rsidRPr="00507399">
        <w:rPr>
          <w:rFonts w:ascii="Arial" w:hAnsi="Arial" w:cs="Arial"/>
          <w:sz w:val="24"/>
          <w:szCs w:val="24"/>
        </w:rPr>
        <w:t>że specjalist</w:t>
      </w:r>
      <w:r>
        <w:rPr>
          <w:rFonts w:ascii="Arial" w:hAnsi="Arial" w:cs="Arial"/>
          <w:sz w:val="24"/>
          <w:szCs w:val="24"/>
        </w:rPr>
        <w:t>y</w:t>
      </w:r>
      <w:r w:rsidRPr="00507399">
        <w:rPr>
          <w:rFonts w:ascii="Arial" w:hAnsi="Arial" w:cs="Arial"/>
          <w:sz w:val="24"/>
          <w:szCs w:val="24"/>
        </w:rPr>
        <w:t xml:space="preserve">czne, bo ta informacja już wynika z pobranej stawki. </w:t>
      </w:r>
      <w:r w:rsidRPr="00507399">
        <w:rPr>
          <w:rFonts w:ascii="Arial" w:hAnsi="Arial" w:cs="Arial"/>
          <w:sz w:val="24"/>
          <w:szCs w:val="24"/>
        </w:rPr>
        <w:t>Ponadto w opisie dokumentu jeśli to pismo sądowe, wezwanie, postanowienie t</w:t>
      </w:r>
      <w:r w:rsidRPr="00507399">
        <w:rPr>
          <w:rFonts w:ascii="Arial" w:hAnsi="Arial" w:cs="Arial"/>
          <w:sz w:val="24"/>
          <w:szCs w:val="24"/>
        </w:rPr>
        <w:t xml:space="preserve">o musi zawierać słownictwo specjalistyczne. W rachunku dla sądu, wpisuję nazwę usługi, natomiast </w:t>
      </w:r>
      <w:r>
        <w:rPr>
          <w:rFonts w:ascii="Arial" w:hAnsi="Arial" w:cs="Arial"/>
          <w:sz w:val="24"/>
          <w:szCs w:val="24"/>
        </w:rPr>
        <w:br/>
      </w:r>
      <w:r w:rsidRPr="00507399">
        <w:rPr>
          <w:rFonts w:ascii="Arial" w:hAnsi="Arial" w:cs="Arial"/>
          <w:sz w:val="24"/>
          <w:szCs w:val="24"/>
        </w:rPr>
        <w:t>w repertorium moim zdaniem nie ma takiego wymogu</w:t>
      </w:r>
      <w:r>
        <w:rPr>
          <w:rFonts w:ascii="Arial" w:hAnsi="Arial" w:cs="Arial"/>
          <w:sz w:val="24"/>
          <w:szCs w:val="24"/>
        </w:rPr>
        <w:t>”.</w:t>
      </w:r>
    </w:p>
    <w:p w:rsidR="006D49B7" w:rsidRPr="006D49B7" w:rsidRDefault="00D524D7" w:rsidP="006D49B7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 4]</w:t>
      </w:r>
    </w:p>
    <w:p w:rsidR="00507399" w:rsidRPr="005A682C" w:rsidRDefault="00D524D7" w:rsidP="005A682C">
      <w:pPr>
        <w:spacing w:after="160" w:line="360" w:lineRule="auto"/>
        <w:ind w:firstLine="708"/>
        <w:rPr>
          <w:rFonts w:ascii="Arial" w:hAnsi="Arial" w:cs="Arial"/>
          <w:sz w:val="24"/>
        </w:rPr>
      </w:pPr>
      <w:r w:rsidRPr="0053247C">
        <w:rPr>
          <w:rFonts w:ascii="Arial" w:hAnsi="Arial" w:cs="Arial"/>
          <w:sz w:val="24"/>
        </w:rPr>
        <w:lastRenderedPageBreak/>
        <w:t xml:space="preserve">Tłumaczenie to zostało przyjęte, jednakże ze względu na przejrzystość prowadzonego repertorium, </w:t>
      </w:r>
      <w:r>
        <w:rPr>
          <w:rFonts w:ascii="Arial" w:hAnsi="Arial" w:cs="Arial"/>
          <w:sz w:val="24"/>
        </w:rPr>
        <w:t xml:space="preserve">stwierdzono, że należałoby </w:t>
      </w:r>
      <w:r w:rsidRPr="0053247C">
        <w:rPr>
          <w:rFonts w:ascii="Arial" w:hAnsi="Arial" w:cs="Arial"/>
          <w:sz w:val="24"/>
        </w:rPr>
        <w:t>odnotowywa</w:t>
      </w:r>
      <w:r>
        <w:rPr>
          <w:rFonts w:ascii="Arial" w:hAnsi="Arial" w:cs="Arial"/>
          <w:sz w:val="24"/>
        </w:rPr>
        <w:t>ć</w:t>
      </w:r>
      <w:r w:rsidRPr="0053247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 repertorium </w:t>
      </w:r>
      <w:r w:rsidRPr="0053247C">
        <w:rPr>
          <w:rFonts w:ascii="Arial" w:hAnsi="Arial" w:cs="Arial"/>
          <w:sz w:val="24"/>
        </w:rPr>
        <w:t xml:space="preserve">fakt podwyższania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– stosownie do treści § 3 ww. Rozporządzenia – </w:t>
      </w:r>
      <w:r w:rsidRPr="0053247C">
        <w:rPr>
          <w:rFonts w:ascii="Arial" w:hAnsi="Arial" w:cs="Arial"/>
          <w:sz w:val="24"/>
        </w:rPr>
        <w:t xml:space="preserve">wynagrodzenia </w:t>
      </w:r>
      <w:r>
        <w:rPr>
          <w:rFonts w:ascii="Arial" w:hAnsi="Arial" w:cs="Arial"/>
          <w:sz w:val="24"/>
        </w:rPr>
        <w:t>za tłumaczenia specjalistycz</w:t>
      </w:r>
      <w:r>
        <w:rPr>
          <w:rFonts w:ascii="Arial" w:hAnsi="Arial" w:cs="Arial"/>
          <w:sz w:val="24"/>
        </w:rPr>
        <w:t>ne</w:t>
      </w:r>
      <w:r w:rsidRPr="0053247C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np. w </w:t>
      </w:r>
      <w:r w:rsidRPr="0053247C">
        <w:rPr>
          <w:rFonts w:ascii="Arial" w:hAnsi="Arial" w:cs="Arial"/>
          <w:sz w:val="24"/>
        </w:rPr>
        <w:t>rubryce „</w:t>
      </w:r>
      <w:r>
        <w:rPr>
          <w:rFonts w:ascii="Arial" w:hAnsi="Arial" w:cs="Arial"/>
          <w:sz w:val="24"/>
        </w:rPr>
        <w:t>uwagi o rodzaju, formie i stanie”</w:t>
      </w:r>
      <w:r w:rsidRPr="0053247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 w:rsidRPr="0053247C">
        <w:rPr>
          <w:rFonts w:ascii="Arial" w:hAnsi="Arial" w:cs="Arial"/>
          <w:sz w:val="24"/>
        </w:rPr>
        <w:t>lub w rubryce „uwagi”.</w:t>
      </w:r>
    </w:p>
    <w:p w:rsidR="00DD047A" w:rsidRDefault="00D524D7" w:rsidP="003C3F9A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>zakresie</w:t>
      </w:r>
      <w:r>
        <w:rPr>
          <w:rFonts w:ascii="Arial" w:hAnsi="Arial" w:cs="Arial"/>
          <w:sz w:val="24"/>
        </w:rPr>
        <w:t xml:space="preserve"> poprawności</w:t>
      </w:r>
      <w:r>
        <w:rPr>
          <w:rFonts w:ascii="Arial" w:hAnsi="Arial" w:cs="Arial"/>
          <w:sz w:val="24"/>
        </w:rPr>
        <w:t xml:space="preserve"> prowadzenia </w:t>
      </w:r>
      <w:bookmarkStart w:id="3" w:name="_Hlk86065289"/>
      <w:r>
        <w:rPr>
          <w:rFonts w:ascii="Arial" w:hAnsi="Arial" w:cs="Arial"/>
          <w:sz w:val="24"/>
        </w:rPr>
        <w:t>repe</w:t>
      </w:r>
      <w:r>
        <w:rPr>
          <w:rFonts w:ascii="Arial" w:hAnsi="Arial" w:cs="Arial"/>
          <w:sz w:val="24"/>
        </w:rPr>
        <w:t>rtor</w:t>
      </w:r>
      <w:r>
        <w:rPr>
          <w:rFonts w:ascii="Arial" w:hAnsi="Arial" w:cs="Arial"/>
          <w:sz w:val="24"/>
        </w:rPr>
        <w:t xml:space="preserve">ium </w:t>
      </w:r>
      <w:bookmarkEnd w:id="3"/>
      <w:r>
        <w:rPr>
          <w:rFonts w:ascii="Arial" w:hAnsi="Arial" w:cs="Arial"/>
          <w:sz w:val="24"/>
        </w:rPr>
        <w:t xml:space="preserve">stwierdzono następujące </w:t>
      </w:r>
      <w:r>
        <w:rPr>
          <w:rFonts w:ascii="Arial" w:hAnsi="Arial" w:cs="Arial"/>
          <w:sz w:val="24"/>
        </w:rPr>
        <w:t>uchybienia</w:t>
      </w:r>
      <w:r>
        <w:rPr>
          <w:rFonts w:ascii="Arial" w:hAnsi="Arial" w:cs="Arial"/>
          <w:sz w:val="24"/>
        </w:rPr>
        <w:t>:</w:t>
      </w:r>
    </w:p>
    <w:p w:rsidR="008C0A38" w:rsidRPr="00E2294A" w:rsidRDefault="00D524D7" w:rsidP="00E2294A">
      <w:pPr>
        <w:pStyle w:val="Akapitzlist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Pr="00DD047A">
        <w:rPr>
          <w:rFonts w:ascii="Arial" w:hAnsi="Arial" w:cs="Arial"/>
          <w:sz w:val="24"/>
        </w:rPr>
        <w:t xml:space="preserve">rak odnotowania w </w:t>
      </w:r>
      <w:r>
        <w:rPr>
          <w:rFonts w:ascii="Arial" w:hAnsi="Arial" w:cs="Arial"/>
          <w:sz w:val="24"/>
        </w:rPr>
        <w:t>repertorium</w:t>
      </w:r>
      <w:r w:rsidRPr="00DD047A">
        <w:rPr>
          <w:rFonts w:ascii="Arial" w:hAnsi="Arial" w:cs="Arial"/>
          <w:sz w:val="24"/>
        </w:rPr>
        <w:t xml:space="preserve"> niektórych ustawowo wymaganych danych, tj.</w:t>
      </w:r>
      <w:r>
        <w:rPr>
          <w:rFonts w:ascii="Arial" w:hAnsi="Arial" w:cs="Arial"/>
          <w:sz w:val="24"/>
        </w:rPr>
        <w:t>:</w:t>
      </w:r>
    </w:p>
    <w:p w:rsidR="007C3326" w:rsidRDefault="00D524D7" w:rsidP="00FE129F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daty zwrotu dokumentu</w:t>
      </w:r>
      <w:r>
        <w:rPr>
          <w:rFonts w:ascii="Arial" w:hAnsi="Arial" w:cs="Arial"/>
          <w:sz w:val="24"/>
        </w:rPr>
        <w:t xml:space="preserve"> wraz z tłumaczeniem – w 4</w:t>
      </w:r>
      <w:r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wpisach poddanych kontroli (lp. 23-62, 64-66, 68-72);</w:t>
      </w:r>
    </w:p>
    <w:p w:rsidR="007C3326" w:rsidRPr="00CC0FEE" w:rsidRDefault="00D524D7" w:rsidP="00CC0FEE">
      <w:pPr>
        <w:pStyle w:val="Akapitzlist"/>
        <w:spacing w:before="120" w:after="120" w:line="360" w:lineRule="auto"/>
        <w:ind w:firstLine="27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Zgodnie ze stanowiskiem </w:t>
      </w:r>
      <w:r w:rsidRPr="000F08A9">
        <w:rPr>
          <w:rFonts w:ascii="Arial" w:hAnsi="Arial" w:cs="Arial"/>
          <w:sz w:val="24"/>
        </w:rPr>
        <w:t>Komisji Odpowiedzialności Zawodowej Tłumaczy Przysięgłych przy Ministrze Sprawiedliwości z dnia 21 listopada 2019 r.</w:t>
      </w:r>
      <w:r>
        <w:rPr>
          <w:rStyle w:val="Odwoanieprzypisudolnego"/>
          <w:rFonts w:ascii="Arial" w:hAnsi="Arial" w:cs="Arial"/>
          <w:sz w:val="24"/>
        </w:rPr>
        <w:footnoteReference w:id="5"/>
      </w:r>
      <w:r>
        <w:rPr>
          <w:rFonts w:ascii="Arial" w:hAnsi="Arial" w:cs="Arial"/>
          <w:sz w:val="24"/>
        </w:rPr>
        <w:t>: „Zarówno data zlecenia, jak i d</w:t>
      </w:r>
      <w:r>
        <w:rPr>
          <w:rFonts w:ascii="Arial" w:hAnsi="Arial" w:cs="Arial"/>
          <w:sz w:val="24"/>
        </w:rPr>
        <w:t>ata zwrotu dokumentu wraz z tłumaczeniem, powinny być pełne i podane zgodnie ze zwyczajem zapisu dat w Polsce, przy czym data zwrotu nie musi być, zgodnie z ustawą, poświadczona podpisem zleceniodawcy</w:t>
      </w:r>
      <w:r>
        <w:rPr>
          <w:rFonts w:ascii="Arial" w:hAnsi="Arial" w:cs="Arial"/>
          <w:sz w:val="24"/>
        </w:rPr>
        <w:t xml:space="preserve"> (…)</w:t>
      </w:r>
      <w:r>
        <w:rPr>
          <w:rFonts w:ascii="Arial" w:hAnsi="Arial" w:cs="Arial"/>
          <w:sz w:val="24"/>
        </w:rPr>
        <w:t xml:space="preserve"> brak podpisu zleceniodawcy nie stanowi naruszenia z</w:t>
      </w:r>
      <w:r>
        <w:rPr>
          <w:rFonts w:ascii="Arial" w:hAnsi="Arial" w:cs="Arial"/>
          <w:sz w:val="24"/>
        </w:rPr>
        <w:t xml:space="preserve">asad poprawności prowadzenia repertorium”. </w:t>
      </w:r>
    </w:p>
    <w:p w:rsidR="00CC0FEE" w:rsidRDefault="00D524D7" w:rsidP="00FE129F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oznaczenia zleceniodawcy lub zamawiającego – w 1</w:t>
      </w:r>
      <w:r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wpisach (lp. </w:t>
      </w:r>
      <w:r>
        <w:rPr>
          <w:rFonts w:ascii="Arial" w:hAnsi="Arial" w:cs="Arial"/>
          <w:sz w:val="24"/>
        </w:rPr>
        <w:t xml:space="preserve">23, </w:t>
      </w:r>
      <w:r>
        <w:rPr>
          <w:rFonts w:ascii="Arial" w:hAnsi="Arial" w:cs="Arial"/>
          <w:sz w:val="24"/>
        </w:rPr>
        <w:t xml:space="preserve">26, 29, </w:t>
      </w:r>
      <w:r>
        <w:rPr>
          <w:rFonts w:ascii="Arial" w:hAnsi="Arial" w:cs="Arial"/>
          <w:sz w:val="24"/>
        </w:rPr>
        <w:t xml:space="preserve">32, </w:t>
      </w:r>
      <w:r>
        <w:rPr>
          <w:rFonts w:ascii="Arial" w:hAnsi="Arial" w:cs="Arial"/>
          <w:sz w:val="24"/>
        </w:rPr>
        <w:t>34, 39, 40, 44, 46, 52, 70</w:t>
      </w: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72);</w:t>
      </w:r>
    </w:p>
    <w:p w:rsidR="00095064" w:rsidRDefault="00D524D7" w:rsidP="00095064">
      <w:pPr>
        <w:pStyle w:val="Akapitzlist"/>
        <w:spacing w:before="120" w:after="120" w:line="360" w:lineRule="auto"/>
        <w:ind w:firstLine="27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Wedle stanowiska KOZTP</w:t>
      </w:r>
      <w:r w:rsidRPr="00E80040">
        <w:rPr>
          <w:rFonts w:ascii="Arial" w:hAnsi="Arial" w:cs="Arial"/>
          <w:sz w:val="24"/>
        </w:rPr>
        <w:t xml:space="preserve">„(…) termin ‘oznaczenie’ należy rozumieć wyłącznie jako imię i nazwisko osoby </w:t>
      </w:r>
      <w:r w:rsidRPr="00E80040">
        <w:rPr>
          <w:rFonts w:ascii="Arial" w:hAnsi="Arial" w:cs="Arial"/>
          <w:sz w:val="24"/>
        </w:rPr>
        <w:t>fizycznej lub nazwę osoby prawnej lub podmiotu nieposiadającego osobowości prawnej”.</w:t>
      </w:r>
    </w:p>
    <w:p w:rsidR="00E80040" w:rsidRPr="00095064" w:rsidRDefault="00D524D7" w:rsidP="00095064">
      <w:pPr>
        <w:pStyle w:val="Akapitzlist"/>
        <w:spacing w:before="120" w:after="120" w:line="360" w:lineRule="auto"/>
        <w:ind w:firstLine="273"/>
        <w:rPr>
          <w:rFonts w:ascii="Arial" w:hAnsi="Arial" w:cs="Arial"/>
          <w:sz w:val="24"/>
        </w:rPr>
      </w:pPr>
      <w:r w:rsidRPr="00095064">
        <w:rPr>
          <w:rFonts w:ascii="Arial" w:hAnsi="Arial" w:cs="Arial"/>
          <w:sz w:val="24"/>
        </w:rPr>
        <w:t xml:space="preserve">W ww. rubrykach </w:t>
      </w:r>
      <w:r>
        <w:rPr>
          <w:rFonts w:ascii="Arial" w:hAnsi="Arial" w:cs="Arial"/>
          <w:sz w:val="24"/>
        </w:rPr>
        <w:t xml:space="preserve">– w większości – </w:t>
      </w:r>
      <w:r w:rsidRPr="00095064">
        <w:rPr>
          <w:rFonts w:ascii="Arial" w:hAnsi="Arial" w:cs="Arial"/>
          <w:sz w:val="24"/>
        </w:rPr>
        <w:t xml:space="preserve">wpisane </w:t>
      </w:r>
      <w:r w:rsidRPr="00095064">
        <w:rPr>
          <w:rFonts w:ascii="Arial" w:hAnsi="Arial" w:cs="Arial"/>
          <w:sz w:val="24"/>
        </w:rPr>
        <w:t xml:space="preserve">są </w:t>
      </w:r>
      <w:r w:rsidRPr="00095064">
        <w:rPr>
          <w:rFonts w:ascii="Arial" w:hAnsi="Arial" w:cs="Arial"/>
          <w:sz w:val="24"/>
        </w:rPr>
        <w:t>nazwy miejscowości</w:t>
      </w:r>
      <w:r w:rsidRPr="00095064">
        <w:rPr>
          <w:rFonts w:ascii="Arial" w:hAnsi="Arial" w:cs="Arial"/>
          <w:sz w:val="24"/>
        </w:rPr>
        <w:t xml:space="preserve"> wraz </w:t>
      </w:r>
      <w:r>
        <w:rPr>
          <w:rFonts w:ascii="Arial" w:hAnsi="Arial" w:cs="Arial"/>
          <w:sz w:val="24"/>
        </w:rPr>
        <w:br/>
      </w:r>
      <w:r w:rsidRPr="00095064">
        <w:rPr>
          <w:rFonts w:ascii="Arial" w:hAnsi="Arial" w:cs="Arial"/>
          <w:sz w:val="24"/>
        </w:rPr>
        <w:t>ze znakiem powtórzenia</w:t>
      </w:r>
      <w:r w:rsidRPr="00095064">
        <w:rPr>
          <w:rFonts w:ascii="Arial" w:hAnsi="Arial" w:cs="Arial"/>
          <w:sz w:val="24"/>
        </w:rPr>
        <w:t xml:space="preserve"> </w:t>
      </w:r>
    </w:p>
    <w:p w:rsidR="00FE129F" w:rsidRPr="00DD047A" w:rsidRDefault="00D524D7" w:rsidP="00FE129F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daty </w:t>
      </w:r>
      <w:r w:rsidRPr="00DD047A">
        <w:rPr>
          <w:rFonts w:ascii="Arial" w:hAnsi="Arial" w:cs="Arial"/>
          <w:sz w:val="24"/>
        </w:rPr>
        <w:t xml:space="preserve">dokumentu albo adnotacji o jej braku na tłumaczonym dokumencie – </w:t>
      </w:r>
      <w:r w:rsidRPr="00DD047A">
        <w:rPr>
          <w:rFonts w:ascii="Arial" w:hAnsi="Arial" w:cs="Arial"/>
          <w:sz w:val="24"/>
        </w:rPr>
        <w:br/>
        <w:t xml:space="preserve">w </w:t>
      </w:r>
      <w:r>
        <w:rPr>
          <w:rFonts w:ascii="Arial" w:hAnsi="Arial" w:cs="Arial"/>
          <w:sz w:val="24"/>
        </w:rPr>
        <w:t>29</w:t>
      </w:r>
      <w:r w:rsidRPr="00DD047A">
        <w:rPr>
          <w:rFonts w:ascii="Arial" w:hAnsi="Arial" w:cs="Arial"/>
          <w:sz w:val="24"/>
        </w:rPr>
        <w:t xml:space="preserve"> wpisach (lp.:</w:t>
      </w:r>
      <w:r>
        <w:rPr>
          <w:rFonts w:ascii="Arial" w:hAnsi="Arial" w:cs="Arial"/>
          <w:sz w:val="24"/>
        </w:rPr>
        <w:t xml:space="preserve"> 23</w:t>
      </w: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33, 35, 38-40, 42, 44, 47, 4</w:t>
      </w:r>
      <w:r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, 54, 57-60, 62, 64, 66, 69, 72</w:t>
      </w:r>
      <w:r w:rsidRPr="00DD047A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</w:p>
    <w:p w:rsidR="00FE129F" w:rsidRPr="00DD047A" w:rsidRDefault="00D524D7" w:rsidP="007C25D7">
      <w:pPr>
        <w:pStyle w:val="Akapitzlist"/>
        <w:spacing w:before="120" w:after="120" w:line="360" w:lineRule="auto"/>
        <w:ind w:firstLine="273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>Zgodnie z ww. stanowiskiem</w:t>
      </w:r>
      <w:r>
        <w:rPr>
          <w:rFonts w:ascii="Arial" w:hAnsi="Arial" w:cs="Arial"/>
          <w:sz w:val="24"/>
        </w:rPr>
        <w:t>:</w:t>
      </w:r>
      <w:r w:rsidRPr="00DD047A">
        <w:rPr>
          <w:rFonts w:ascii="Arial" w:hAnsi="Arial" w:cs="Arial"/>
          <w:sz w:val="24"/>
        </w:rPr>
        <w:t xml:space="preserve"> „data dokumentu podobnie jak w innych rubrykach, powinna być pełna i podana zgodnie ze zwyczajem zapisu dat </w:t>
      </w:r>
      <w:r w:rsidRPr="00DD047A">
        <w:rPr>
          <w:rFonts w:ascii="Arial" w:hAnsi="Arial" w:cs="Arial"/>
          <w:sz w:val="24"/>
        </w:rPr>
        <w:br/>
        <w:t>w Polsce (…). W razie braku daty lub o</w:t>
      </w:r>
      <w:r w:rsidRPr="00DD047A">
        <w:rPr>
          <w:rFonts w:ascii="Arial" w:hAnsi="Arial" w:cs="Arial"/>
          <w:sz w:val="24"/>
        </w:rPr>
        <w:t xml:space="preserve">znaczenia dokumentu, należy ten fakt odnotować zwrotem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bez oznaczenia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lub skrótami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b.d.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lub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b.o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.</w:t>
      </w:r>
    </w:p>
    <w:p w:rsidR="003C3F9A" w:rsidRPr="00DD047A" w:rsidRDefault="00D524D7" w:rsidP="003C3F9A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lastRenderedPageBreak/>
        <w:t xml:space="preserve">oznaczenia dokumentu albo adnotacji o jego braku na tłumaczonym dokumencie – w </w:t>
      </w:r>
      <w:r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</w:t>
      </w:r>
      <w:r w:rsidRPr="00DD047A">
        <w:rPr>
          <w:rFonts w:ascii="Arial" w:hAnsi="Arial" w:cs="Arial"/>
          <w:sz w:val="24"/>
        </w:rPr>
        <w:t>wpis</w:t>
      </w:r>
      <w:r>
        <w:rPr>
          <w:rFonts w:ascii="Arial" w:hAnsi="Arial" w:cs="Arial"/>
          <w:sz w:val="24"/>
        </w:rPr>
        <w:t>ach (</w:t>
      </w:r>
      <w:r w:rsidRPr="00DD047A">
        <w:rPr>
          <w:rFonts w:ascii="Arial" w:hAnsi="Arial" w:cs="Arial"/>
          <w:sz w:val="24"/>
        </w:rPr>
        <w:t>lp.: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34, 43, 45</w:t>
      </w: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48, 50</w:t>
      </w: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53, 61, 63, 65, 68, 70</w:t>
      </w: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71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</w:p>
    <w:p w:rsidR="00953F75" w:rsidRPr="00FE129F" w:rsidRDefault="00D524D7" w:rsidP="007C25D7">
      <w:pPr>
        <w:spacing w:before="120" w:after="120" w:line="360" w:lineRule="auto"/>
        <w:ind w:left="708" w:firstLine="285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W myśl </w:t>
      </w:r>
      <w:r>
        <w:rPr>
          <w:rFonts w:ascii="Arial" w:hAnsi="Arial" w:cs="Arial"/>
          <w:sz w:val="24"/>
        </w:rPr>
        <w:t xml:space="preserve">ww. </w:t>
      </w:r>
      <w:r w:rsidRPr="00DD047A">
        <w:rPr>
          <w:rFonts w:ascii="Arial" w:hAnsi="Arial" w:cs="Arial"/>
          <w:sz w:val="24"/>
        </w:rPr>
        <w:t xml:space="preserve">stanowiska </w:t>
      </w:r>
      <w:r>
        <w:rPr>
          <w:rFonts w:ascii="Arial" w:hAnsi="Arial" w:cs="Arial"/>
          <w:sz w:val="24"/>
        </w:rPr>
        <w:t xml:space="preserve">KOZTP: </w:t>
      </w:r>
      <w:r w:rsidRPr="00DD047A">
        <w:rPr>
          <w:rFonts w:ascii="Arial" w:hAnsi="Arial" w:cs="Arial"/>
          <w:sz w:val="24"/>
        </w:rPr>
        <w:t xml:space="preserve">„(…) </w:t>
      </w:r>
      <w:r w:rsidRPr="005C5F79">
        <w:rPr>
          <w:rFonts w:ascii="Arial" w:hAnsi="Arial" w:cs="Arial"/>
          <w:sz w:val="24"/>
        </w:rPr>
        <w:t>Numer dokumentu</w:t>
      </w:r>
      <w:r w:rsidRPr="00DD047A">
        <w:rPr>
          <w:rFonts w:ascii="Arial" w:hAnsi="Arial" w:cs="Arial"/>
          <w:sz w:val="24"/>
        </w:rPr>
        <w:t xml:space="preserve"> może być w tej rubryce wpisany jako oznaczenie dokumentu, jeśli dokument jest opatrzony numerem (…). W razie braku daty lub oznaczenia dokumentu, należy ten fakt odnotować zwrotem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bez oznaczenia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lub skrótami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</w:t>
      </w:r>
      <w:r w:rsidRPr="00DD047A">
        <w:rPr>
          <w:rFonts w:ascii="Arial" w:hAnsi="Arial" w:cs="Arial"/>
          <w:sz w:val="24"/>
        </w:rPr>
        <w:t>d.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albo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b.o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>”</w:t>
      </w:r>
    </w:p>
    <w:p w:rsidR="0055549C" w:rsidRPr="00DD047A" w:rsidRDefault="00D524D7" w:rsidP="0055549C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bookmarkStart w:id="4" w:name="_Hlk85189018"/>
      <w:r w:rsidRPr="00DD047A">
        <w:rPr>
          <w:rFonts w:ascii="Arial" w:hAnsi="Arial" w:cs="Arial"/>
          <w:sz w:val="24"/>
        </w:rPr>
        <w:t xml:space="preserve">rodzaju wykonanej czynności </w:t>
      </w:r>
      <w:bookmarkEnd w:id="4"/>
      <w:r w:rsidRPr="00DD047A">
        <w:rPr>
          <w:rFonts w:ascii="Arial" w:hAnsi="Arial" w:cs="Arial"/>
          <w:sz w:val="24"/>
        </w:rPr>
        <w:t xml:space="preserve">– we wszystkich 50 wpisach (lp.: </w:t>
      </w:r>
      <w:r>
        <w:rPr>
          <w:rFonts w:ascii="Arial" w:hAnsi="Arial" w:cs="Arial"/>
          <w:sz w:val="24"/>
        </w:rPr>
        <w:t>23-72</w:t>
      </w:r>
      <w:r w:rsidRPr="00DD047A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  <w:r w:rsidRPr="00DD047A">
        <w:rPr>
          <w:rFonts w:ascii="Arial" w:hAnsi="Arial" w:cs="Arial"/>
          <w:sz w:val="24"/>
        </w:rPr>
        <w:t xml:space="preserve"> </w:t>
      </w:r>
    </w:p>
    <w:p w:rsidR="00701CD5" w:rsidRDefault="00D524D7" w:rsidP="00701CD5">
      <w:pPr>
        <w:spacing w:before="120" w:after="120" w:line="360" w:lineRule="auto"/>
        <w:ind w:left="708" w:firstLine="285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>W myśl ww. stanowiska</w:t>
      </w:r>
      <w:r>
        <w:rPr>
          <w:rFonts w:ascii="Arial" w:hAnsi="Arial" w:cs="Arial"/>
          <w:sz w:val="24"/>
        </w:rPr>
        <w:t xml:space="preserve"> KOZTP</w:t>
      </w:r>
      <w:r>
        <w:rPr>
          <w:rFonts w:ascii="Arial" w:hAnsi="Arial" w:cs="Arial"/>
          <w:sz w:val="24"/>
        </w:rPr>
        <w:t>:</w:t>
      </w:r>
      <w:r w:rsidRPr="00DD047A">
        <w:rPr>
          <w:rFonts w:ascii="Arial" w:hAnsi="Arial" w:cs="Arial"/>
          <w:sz w:val="24"/>
        </w:rPr>
        <w:t xml:space="preserve"> „wpis do tej rubryki ma określić czynność wykonaną przez tłumacza przysięgłego, do wykonania której pozostaje uprawniony mocą art. 13 ww. ustawy, a więc jedną z następujących czynności: tłumaczenie pisemne </w:t>
      </w:r>
      <w:r w:rsidRPr="00DC0D8C">
        <w:rPr>
          <w:rFonts w:ascii="Arial" w:hAnsi="Arial" w:cs="Arial"/>
          <w:sz w:val="24"/>
        </w:rPr>
        <w:t>z języka</w:t>
      </w:r>
      <w:r w:rsidRPr="00DD047A">
        <w:rPr>
          <w:rFonts w:ascii="Arial" w:hAnsi="Arial" w:cs="Arial"/>
          <w:sz w:val="24"/>
        </w:rPr>
        <w:t xml:space="preserve"> (…) na język (…), tłumaczenie ustne (zaw</w:t>
      </w:r>
      <w:r w:rsidRPr="00DD047A">
        <w:rPr>
          <w:rFonts w:ascii="Arial" w:hAnsi="Arial" w:cs="Arial"/>
          <w:sz w:val="24"/>
        </w:rPr>
        <w:t xml:space="preserve">sze na język […] </w:t>
      </w:r>
      <w:r w:rsidRPr="00DC0D8C">
        <w:rPr>
          <w:rFonts w:ascii="Arial" w:hAnsi="Arial" w:cs="Arial"/>
          <w:sz w:val="24"/>
        </w:rPr>
        <w:t>i z języka</w:t>
      </w:r>
      <w:r w:rsidRPr="00DD047A">
        <w:rPr>
          <w:rFonts w:ascii="Arial" w:hAnsi="Arial" w:cs="Arial"/>
          <w:sz w:val="24"/>
        </w:rPr>
        <w:t xml:space="preserve"> […] na język polski), poświadczenie dostarczonego tłumaczenia pisemnego </w:t>
      </w:r>
      <w:r w:rsidRPr="00DC0D8C">
        <w:rPr>
          <w:rFonts w:ascii="Arial" w:hAnsi="Arial" w:cs="Arial"/>
          <w:sz w:val="24"/>
        </w:rPr>
        <w:t>z języka</w:t>
      </w:r>
      <w:r w:rsidRPr="00DD047A">
        <w:rPr>
          <w:rFonts w:ascii="Arial" w:hAnsi="Arial" w:cs="Arial"/>
          <w:sz w:val="24"/>
        </w:rPr>
        <w:t xml:space="preserve"> (…) na język, odpis dokumentu w języku (…), poświadczenie dostarczonego odpisu dokumentu </w:t>
      </w:r>
      <w:r>
        <w:rPr>
          <w:rFonts w:ascii="Arial" w:hAnsi="Arial" w:cs="Arial"/>
          <w:sz w:val="24"/>
        </w:rPr>
        <w:br/>
      </w:r>
      <w:r w:rsidRPr="00DD047A">
        <w:rPr>
          <w:rFonts w:ascii="Arial" w:hAnsi="Arial" w:cs="Arial"/>
          <w:sz w:val="24"/>
        </w:rPr>
        <w:t xml:space="preserve">w języku (…). </w:t>
      </w:r>
    </w:p>
    <w:p w:rsidR="00A72511" w:rsidRPr="00DD047A" w:rsidRDefault="00D524D7" w:rsidP="00701CD5">
      <w:pPr>
        <w:spacing w:before="120" w:after="120" w:line="360" w:lineRule="auto"/>
        <w:ind w:firstLine="708"/>
        <w:rPr>
          <w:rFonts w:ascii="Arial" w:hAnsi="Arial" w:cs="Arial"/>
          <w:sz w:val="24"/>
        </w:rPr>
      </w:pPr>
      <w:r w:rsidRPr="00701CD5">
        <w:rPr>
          <w:rFonts w:ascii="Arial" w:hAnsi="Arial" w:cs="Arial"/>
          <w:sz w:val="24"/>
        </w:rPr>
        <w:t xml:space="preserve">Ponadto, </w:t>
      </w:r>
      <w:r w:rsidRPr="00701CD5">
        <w:rPr>
          <w:rFonts w:ascii="Arial" w:hAnsi="Arial" w:cs="Arial"/>
          <w:sz w:val="24"/>
        </w:rPr>
        <w:t xml:space="preserve">we wszystkich </w:t>
      </w:r>
      <w:r>
        <w:rPr>
          <w:rFonts w:ascii="Arial" w:hAnsi="Arial" w:cs="Arial"/>
          <w:sz w:val="24"/>
        </w:rPr>
        <w:t>wpisach poddanych k</w:t>
      </w:r>
      <w:r>
        <w:rPr>
          <w:rFonts w:ascii="Arial" w:hAnsi="Arial" w:cs="Arial"/>
          <w:sz w:val="24"/>
        </w:rPr>
        <w:t xml:space="preserve">ontroli </w:t>
      </w:r>
      <w:r w:rsidRPr="00701CD5">
        <w:rPr>
          <w:rFonts w:ascii="Arial" w:hAnsi="Arial" w:cs="Arial"/>
          <w:sz w:val="24"/>
        </w:rPr>
        <w:t>(lp. 23-72)</w:t>
      </w:r>
      <w:r>
        <w:rPr>
          <w:rFonts w:ascii="Arial" w:hAnsi="Arial" w:cs="Arial"/>
          <w:sz w:val="24"/>
        </w:rPr>
        <w:t xml:space="preserve"> </w:t>
      </w:r>
      <w:r w:rsidRPr="00701CD5">
        <w:rPr>
          <w:rFonts w:ascii="Arial" w:hAnsi="Arial" w:cs="Arial"/>
          <w:sz w:val="24"/>
        </w:rPr>
        <w:t>w rubryce</w:t>
      </w:r>
      <w:r w:rsidRPr="00701C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</w:t>
      </w:r>
      <w:r w:rsidRPr="00701CD5">
        <w:rPr>
          <w:rFonts w:ascii="Arial" w:hAnsi="Arial" w:cs="Arial"/>
          <w:sz w:val="24"/>
        </w:rPr>
        <w:t>dat</w:t>
      </w:r>
      <w:r>
        <w:rPr>
          <w:rFonts w:ascii="Arial" w:hAnsi="Arial" w:cs="Arial"/>
          <w:sz w:val="24"/>
        </w:rPr>
        <w:t>a</w:t>
      </w:r>
      <w:r w:rsidRPr="00701CD5">
        <w:rPr>
          <w:rFonts w:ascii="Arial" w:hAnsi="Arial" w:cs="Arial"/>
          <w:sz w:val="24"/>
        </w:rPr>
        <w:t xml:space="preserve"> zlecenia</w:t>
      </w:r>
      <w:r>
        <w:rPr>
          <w:rFonts w:ascii="Arial" w:hAnsi="Arial" w:cs="Arial"/>
          <w:sz w:val="24"/>
        </w:rPr>
        <w:t>”</w:t>
      </w:r>
      <w:r w:rsidRPr="00701C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stwierdzono zapisy odzwierciedlające niepełne daty </w:t>
      </w:r>
      <w:r w:rsidRPr="00701CD5">
        <w:rPr>
          <w:rFonts w:ascii="Arial" w:hAnsi="Arial" w:cs="Arial"/>
          <w:sz w:val="24"/>
        </w:rPr>
        <w:t>(bez roku)</w:t>
      </w:r>
      <w:r>
        <w:rPr>
          <w:rFonts w:ascii="Arial" w:hAnsi="Arial" w:cs="Arial"/>
          <w:sz w:val="24"/>
        </w:rPr>
        <w:t xml:space="preserve"> zleceń, zapisane</w:t>
      </w:r>
      <w:r w:rsidRPr="00701CD5">
        <w:rPr>
          <w:rFonts w:ascii="Arial" w:hAnsi="Arial" w:cs="Arial"/>
          <w:sz w:val="24"/>
        </w:rPr>
        <w:t xml:space="preserve"> niezgodnie ze zwyczajem zapisu dat w Polsce</w:t>
      </w:r>
      <w:r>
        <w:rPr>
          <w:rFonts w:ascii="Arial" w:hAnsi="Arial" w:cs="Arial"/>
          <w:sz w:val="24"/>
        </w:rPr>
        <w:t xml:space="preserve">. </w:t>
      </w:r>
      <w:r w:rsidRPr="00701CD5">
        <w:rPr>
          <w:rFonts w:ascii="Arial" w:hAnsi="Arial" w:cs="Arial"/>
          <w:sz w:val="24"/>
        </w:rPr>
        <w:t xml:space="preserve">W myśl </w:t>
      </w:r>
      <w:r>
        <w:rPr>
          <w:rFonts w:ascii="Arial" w:hAnsi="Arial" w:cs="Arial"/>
          <w:sz w:val="24"/>
        </w:rPr>
        <w:t xml:space="preserve">wyżej cyt. </w:t>
      </w:r>
      <w:r w:rsidRPr="00701CD5">
        <w:rPr>
          <w:rFonts w:ascii="Arial" w:hAnsi="Arial" w:cs="Arial"/>
          <w:sz w:val="24"/>
        </w:rPr>
        <w:t xml:space="preserve">stanowiska </w:t>
      </w:r>
      <w:r>
        <w:rPr>
          <w:rFonts w:ascii="Arial" w:hAnsi="Arial" w:cs="Arial"/>
          <w:sz w:val="24"/>
        </w:rPr>
        <w:t xml:space="preserve">KOZTP: </w:t>
      </w:r>
      <w:r w:rsidRPr="00701CD5">
        <w:rPr>
          <w:rFonts w:ascii="Arial" w:hAnsi="Arial" w:cs="Arial"/>
          <w:sz w:val="24"/>
        </w:rPr>
        <w:t>„Z</w:t>
      </w:r>
      <w:r w:rsidRPr="00701CD5">
        <w:rPr>
          <w:rFonts w:ascii="Arial" w:hAnsi="Arial" w:cs="Arial"/>
          <w:sz w:val="24"/>
        </w:rPr>
        <w:t xml:space="preserve">arówno data zlecenia, jak i data zwrotu dokumentu wraz </w:t>
      </w:r>
      <w:r>
        <w:rPr>
          <w:rFonts w:ascii="Arial" w:hAnsi="Arial" w:cs="Arial"/>
          <w:sz w:val="24"/>
        </w:rPr>
        <w:br/>
      </w:r>
      <w:r w:rsidRPr="00701CD5">
        <w:rPr>
          <w:rFonts w:ascii="Arial" w:hAnsi="Arial" w:cs="Arial"/>
          <w:sz w:val="24"/>
        </w:rPr>
        <w:t xml:space="preserve">z tłumaczeniem, powinny być pełne i podane zgodnie ze zwyczajem zapisu dat </w:t>
      </w:r>
      <w:r>
        <w:rPr>
          <w:rFonts w:ascii="Arial" w:hAnsi="Arial" w:cs="Arial"/>
          <w:sz w:val="24"/>
        </w:rPr>
        <w:br/>
      </w:r>
      <w:r w:rsidRPr="00701CD5">
        <w:rPr>
          <w:rFonts w:ascii="Arial" w:hAnsi="Arial" w:cs="Arial"/>
          <w:sz w:val="24"/>
        </w:rPr>
        <w:t>w Polsce”.</w:t>
      </w:r>
    </w:p>
    <w:p w:rsidR="00203C29" w:rsidRPr="00F9166A" w:rsidRDefault="00D524D7" w:rsidP="00D61FDB">
      <w:pPr>
        <w:numPr>
          <w:ilvl w:val="0"/>
          <w:numId w:val="5"/>
        </w:numPr>
        <w:spacing w:before="240" w:after="24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0042EE" w:rsidRDefault="00D524D7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kontroli ujawniono </w:t>
      </w:r>
      <w:r>
        <w:rPr>
          <w:rFonts w:ascii="Arial" w:hAnsi="Arial" w:cs="Arial"/>
          <w:sz w:val="24"/>
          <w:szCs w:val="24"/>
        </w:rPr>
        <w:t xml:space="preserve">uchybienia </w:t>
      </w:r>
      <w:r>
        <w:rPr>
          <w:rFonts w:ascii="Arial" w:hAnsi="Arial" w:cs="Arial"/>
          <w:sz w:val="24"/>
          <w:szCs w:val="24"/>
        </w:rPr>
        <w:t xml:space="preserve">w prowadzeniu </w:t>
      </w:r>
      <w:r>
        <w:rPr>
          <w:rFonts w:ascii="Arial" w:hAnsi="Arial" w:cs="Arial"/>
          <w:sz w:val="24"/>
        </w:rPr>
        <w:t>repertorium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w zakresie stosowania </w:t>
      </w:r>
      <w:r w:rsidRPr="00DF489A">
        <w:rPr>
          <w:rFonts w:ascii="Arial" w:hAnsi="Arial" w:cs="Arial"/>
          <w:sz w:val="24"/>
        </w:rPr>
        <w:t xml:space="preserve">art. 17 ust. </w:t>
      </w:r>
      <w:r>
        <w:rPr>
          <w:rFonts w:ascii="Arial" w:hAnsi="Arial" w:cs="Arial"/>
          <w:sz w:val="24"/>
        </w:rPr>
        <w:t xml:space="preserve">2 </w:t>
      </w:r>
      <w:r w:rsidRPr="00DF489A">
        <w:rPr>
          <w:rFonts w:ascii="Arial" w:hAnsi="Arial" w:cs="Arial"/>
          <w:sz w:val="24"/>
        </w:rPr>
        <w:t xml:space="preserve">pkt </w:t>
      </w:r>
      <w:r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–4 </w:t>
      </w:r>
      <w:r w:rsidRPr="00DF489A">
        <w:rPr>
          <w:rFonts w:ascii="Arial" w:hAnsi="Arial" w:cs="Arial"/>
          <w:sz w:val="24"/>
        </w:rPr>
        <w:t>ustawy o zawodzie tłumacza przysięgłego</w:t>
      </w:r>
      <w:r>
        <w:rPr>
          <w:rFonts w:ascii="Arial" w:hAnsi="Arial" w:cs="Arial"/>
          <w:sz w:val="24"/>
        </w:rPr>
        <w:t xml:space="preserve"> oraz brak odnotowywania faktu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podwyższenia </w:t>
      </w:r>
      <w:r w:rsidRPr="004E045E">
        <w:rPr>
          <w:rFonts w:ascii="Arial" w:eastAsiaTheme="minorHAnsi" w:hAnsi="Arial" w:cs="Arial"/>
          <w:sz w:val="24"/>
          <w:szCs w:val="24"/>
          <w:lang w:eastAsia="en-US"/>
        </w:rPr>
        <w:t>staw</w:t>
      </w:r>
      <w:r>
        <w:rPr>
          <w:rFonts w:ascii="Arial" w:eastAsiaTheme="minorHAnsi" w:hAnsi="Arial" w:cs="Arial"/>
          <w:sz w:val="24"/>
          <w:szCs w:val="24"/>
          <w:lang w:eastAsia="en-US"/>
        </w:rPr>
        <w:t>ki</w:t>
      </w:r>
      <w:r w:rsidRPr="004E045E">
        <w:rPr>
          <w:rFonts w:ascii="Arial" w:eastAsiaTheme="minorHAnsi" w:hAnsi="Arial" w:cs="Arial"/>
          <w:sz w:val="24"/>
          <w:szCs w:val="24"/>
          <w:lang w:eastAsia="en-US"/>
        </w:rPr>
        <w:t xml:space="preserve"> wynagrodzenia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za czynności tłumacza przysięgłego</w:t>
      </w:r>
    </w:p>
    <w:p w:rsidR="008E662A" w:rsidRPr="00203C29" w:rsidRDefault="00D524D7" w:rsidP="007C38CC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Za </w:t>
      </w:r>
      <w:r w:rsidRPr="00CB4E15">
        <w:rPr>
          <w:rFonts w:ascii="Arial" w:hAnsi="Arial" w:cs="Arial"/>
          <w:sz w:val="24"/>
          <w:szCs w:val="24"/>
        </w:rPr>
        <w:t>przyczynę stwierdzonych</w:t>
      </w:r>
      <w:r>
        <w:rPr>
          <w:rFonts w:ascii="Arial" w:hAnsi="Arial" w:cs="Arial"/>
          <w:sz w:val="24"/>
          <w:szCs w:val="24"/>
        </w:rPr>
        <w:t xml:space="preserve"> uchybień </w:t>
      </w:r>
      <w:r w:rsidRPr="00CB4E15">
        <w:rPr>
          <w:rFonts w:ascii="Arial" w:hAnsi="Arial" w:cs="Arial"/>
          <w:sz w:val="24"/>
          <w:szCs w:val="24"/>
        </w:rPr>
        <w:t xml:space="preserve">uznano </w:t>
      </w:r>
      <w:r>
        <w:rPr>
          <w:rFonts w:ascii="Arial" w:hAnsi="Arial" w:cs="Arial"/>
          <w:sz w:val="24"/>
          <w:szCs w:val="24"/>
        </w:rPr>
        <w:t>niezachowanie należytej staranności przy odnotowywaniu wymaganych danych</w:t>
      </w:r>
      <w:r>
        <w:rPr>
          <w:rFonts w:ascii="Arial" w:hAnsi="Arial" w:cs="Arial"/>
          <w:sz w:val="24"/>
          <w:szCs w:val="24"/>
        </w:rPr>
        <w:t xml:space="preserve"> w prowadz</w:t>
      </w:r>
      <w:r>
        <w:rPr>
          <w:rFonts w:ascii="Arial" w:hAnsi="Arial" w:cs="Arial"/>
          <w:sz w:val="24"/>
          <w:szCs w:val="24"/>
        </w:rPr>
        <w:t>onym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repertorium</w:t>
      </w:r>
      <w:r>
        <w:rPr>
          <w:rFonts w:ascii="Arial" w:hAnsi="Arial" w:cs="Arial"/>
          <w:sz w:val="24"/>
          <w:szCs w:val="24"/>
        </w:rPr>
        <w:t xml:space="preserve">. </w:t>
      </w:r>
      <w:r w:rsidRPr="00CB4E15">
        <w:rPr>
          <w:rFonts w:ascii="Arial" w:hAnsi="Arial" w:cs="Arial"/>
          <w:sz w:val="24"/>
          <w:szCs w:val="24"/>
        </w:rPr>
        <w:t xml:space="preserve">Skutkiem </w:t>
      </w:r>
      <w:r>
        <w:rPr>
          <w:rFonts w:ascii="Arial" w:hAnsi="Arial" w:cs="Arial"/>
          <w:sz w:val="24"/>
          <w:szCs w:val="24"/>
        </w:rPr>
        <w:t>stwierdzon</w:t>
      </w:r>
      <w:r>
        <w:rPr>
          <w:rFonts w:ascii="Arial" w:hAnsi="Arial" w:cs="Arial"/>
          <w:sz w:val="24"/>
          <w:szCs w:val="24"/>
        </w:rPr>
        <w:t xml:space="preserve">ych </w:t>
      </w:r>
      <w:r>
        <w:rPr>
          <w:rFonts w:ascii="Arial" w:hAnsi="Arial" w:cs="Arial"/>
          <w:sz w:val="24"/>
          <w:szCs w:val="24"/>
        </w:rPr>
        <w:t>uchybień</w:t>
      </w:r>
      <w:r>
        <w:rPr>
          <w:rFonts w:ascii="Arial" w:hAnsi="Arial" w:cs="Arial"/>
          <w:sz w:val="24"/>
          <w:szCs w:val="24"/>
        </w:rPr>
        <w:t xml:space="preserve"> jest odstępstwo od stanu pożądanego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postaci nieprawidłowego i nierzetelnego prowa</w:t>
      </w:r>
      <w:r>
        <w:rPr>
          <w:rFonts w:ascii="Arial" w:hAnsi="Arial" w:cs="Arial"/>
          <w:sz w:val="24"/>
          <w:szCs w:val="24"/>
        </w:rPr>
        <w:t xml:space="preserve">dzenia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zęści wpisów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</w:rPr>
        <w:t>repertorium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55B5B" w:rsidRPr="006315FC" w:rsidRDefault="00D524D7" w:rsidP="007C38CC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Zalecenia lub wnioski dotyczące usunięcia nieprawidłowości lub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usprawnienia funkcjonowania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podmiotu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kontrolowane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go.</w:t>
      </w:r>
    </w:p>
    <w:p w:rsidR="00583995" w:rsidRPr="005A682C" w:rsidRDefault="00D524D7" w:rsidP="005A682C">
      <w:p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sz w:val="24"/>
          <w:szCs w:val="24"/>
          <w:lang w:eastAsia="en-US"/>
        </w:rPr>
        <w:t>W związku z ustaleniami kontroli zalecam:</w:t>
      </w:r>
    </w:p>
    <w:p w:rsidR="00C55B5B" w:rsidRPr="00B82B57" w:rsidRDefault="00D524D7" w:rsidP="00B82B57">
      <w:pPr>
        <w:numPr>
          <w:ilvl w:val="0"/>
          <w:numId w:val="13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Odnotowywać w </w:t>
      </w:r>
      <w:r w:rsidRPr="00544F0D">
        <w:rPr>
          <w:rFonts w:ascii="Arial" w:hAnsi="Arial" w:cs="Arial"/>
          <w:sz w:val="24"/>
        </w:rPr>
        <w:t>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informacje, o których mowa w </w:t>
      </w:r>
      <w:r w:rsidRPr="00DF489A">
        <w:rPr>
          <w:rFonts w:ascii="Arial" w:hAnsi="Arial" w:cs="Arial"/>
          <w:sz w:val="24"/>
        </w:rPr>
        <w:t xml:space="preserve">art. 17 ust. </w:t>
      </w:r>
      <w:r>
        <w:rPr>
          <w:rFonts w:ascii="Arial" w:hAnsi="Arial" w:cs="Arial"/>
          <w:sz w:val="24"/>
        </w:rPr>
        <w:t xml:space="preserve">2 </w:t>
      </w:r>
      <w:r w:rsidRPr="00DF489A">
        <w:rPr>
          <w:rFonts w:ascii="Arial" w:hAnsi="Arial" w:cs="Arial"/>
          <w:sz w:val="24"/>
        </w:rPr>
        <w:t xml:space="preserve">pkt </w:t>
      </w:r>
      <w:r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–</w:t>
      </w:r>
      <w:r w:rsidRPr="00B82B57">
        <w:rPr>
          <w:rFonts w:ascii="Arial" w:hAnsi="Arial" w:cs="Arial"/>
          <w:sz w:val="24"/>
        </w:rPr>
        <w:t>4</w:t>
      </w:r>
      <w:r w:rsidRPr="00B82B57">
        <w:rPr>
          <w:rFonts w:ascii="Arial" w:hAnsi="Arial" w:cs="Arial"/>
          <w:sz w:val="24"/>
        </w:rPr>
        <w:t xml:space="preserve"> ustawy o zawodzie tłumacza przysięgłego</w:t>
      </w:r>
      <w:r w:rsidRPr="00B82B57">
        <w:rPr>
          <w:rFonts w:ascii="Arial" w:eastAsiaTheme="minorHAnsi" w:hAnsi="Arial" w:cs="Arial"/>
          <w:sz w:val="24"/>
          <w:szCs w:val="24"/>
          <w:lang w:eastAsia="en-US"/>
        </w:rPr>
        <w:t>, tj.:</w:t>
      </w:r>
    </w:p>
    <w:p w:rsidR="007773EC" w:rsidRDefault="00D524D7" w:rsidP="00C55B5B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datę zwrotu dokumentu wraz z tłumaczeniem;</w:t>
      </w:r>
    </w:p>
    <w:p w:rsidR="00F553B8" w:rsidRPr="001A7CEC" w:rsidRDefault="00D524D7" w:rsidP="00C55B5B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oznaczeni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zleceniodawcy lub zamawiającego</w:t>
      </w:r>
      <w:r>
        <w:rPr>
          <w:rFonts w:ascii="Arial" w:hAnsi="Arial" w:cs="Arial"/>
          <w:sz w:val="24"/>
        </w:rPr>
        <w:t>;</w:t>
      </w:r>
    </w:p>
    <w:p w:rsidR="001A7CEC" w:rsidRPr="001A7CEC" w:rsidRDefault="00D524D7" w:rsidP="00C55B5B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dat</w:t>
      </w:r>
      <w:r>
        <w:rPr>
          <w:rFonts w:ascii="Arial" w:hAnsi="Arial" w:cs="Arial"/>
          <w:sz w:val="24"/>
        </w:rPr>
        <w:t>ę</w:t>
      </w:r>
      <w:r>
        <w:rPr>
          <w:rFonts w:ascii="Arial" w:hAnsi="Arial" w:cs="Arial"/>
          <w:sz w:val="24"/>
        </w:rPr>
        <w:t xml:space="preserve"> </w:t>
      </w:r>
      <w:r w:rsidRPr="00DD047A">
        <w:rPr>
          <w:rFonts w:ascii="Arial" w:hAnsi="Arial" w:cs="Arial"/>
          <w:sz w:val="24"/>
        </w:rPr>
        <w:t>dokumentu albo adnotacj</w:t>
      </w:r>
      <w:r>
        <w:rPr>
          <w:rFonts w:ascii="Arial" w:hAnsi="Arial" w:cs="Arial"/>
          <w:sz w:val="24"/>
        </w:rPr>
        <w:t>ę</w:t>
      </w:r>
      <w:r w:rsidRPr="00DD047A">
        <w:rPr>
          <w:rFonts w:ascii="Arial" w:hAnsi="Arial" w:cs="Arial"/>
          <w:sz w:val="24"/>
        </w:rPr>
        <w:t xml:space="preserve"> o jej braku na tłumaczonym dokumencie</w:t>
      </w:r>
      <w:r>
        <w:rPr>
          <w:rFonts w:ascii="Arial" w:hAnsi="Arial" w:cs="Arial"/>
          <w:sz w:val="24"/>
        </w:rPr>
        <w:t>;</w:t>
      </w:r>
    </w:p>
    <w:p w:rsidR="00C55B5B" w:rsidRPr="00936704" w:rsidRDefault="00D524D7" w:rsidP="00C55B5B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D047A">
        <w:rPr>
          <w:rFonts w:ascii="Arial" w:hAnsi="Arial" w:cs="Arial"/>
          <w:sz w:val="24"/>
        </w:rPr>
        <w:t>oznaczeni</w:t>
      </w:r>
      <w:r>
        <w:rPr>
          <w:rFonts w:ascii="Arial" w:hAnsi="Arial" w:cs="Arial"/>
          <w:sz w:val="24"/>
        </w:rPr>
        <w:t>e</w:t>
      </w:r>
      <w:r w:rsidRPr="00DD047A">
        <w:rPr>
          <w:rFonts w:ascii="Arial" w:hAnsi="Arial" w:cs="Arial"/>
          <w:sz w:val="24"/>
        </w:rPr>
        <w:t xml:space="preserve"> dokumentu albo adnotacj</w:t>
      </w:r>
      <w:r>
        <w:rPr>
          <w:rFonts w:ascii="Arial" w:hAnsi="Arial" w:cs="Arial"/>
          <w:sz w:val="24"/>
        </w:rPr>
        <w:t xml:space="preserve">ę </w:t>
      </w:r>
      <w:r w:rsidRPr="00DD047A">
        <w:rPr>
          <w:rFonts w:ascii="Arial" w:hAnsi="Arial" w:cs="Arial"/>
          <w:sz w:val="24"/>
        </w:rPr>
        <w:t>o jego braku na tłumaczonym dokumencie</w:t>
      </w:r>
      <w:r>
        <w:rPr>
          <w:rFonts w:ascii="Arial" w:hAnsi="Arial" w:cs="Arial"/>
          <w:sz w:val="24"/>
        </w:rPr>
        <w:t>;</w:t>
      </w:r>
    </w:p>
    <w:p w:rsidR="00B62157" w:rsidRPr="005A682C" w:rsidRDefault="00D524D7" w:rsidP="001A7CEC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rodzaj wykonanej czynności.</w:t>
      </w:r>
    </w:p>
    <w:p w:rsidR="005A682C" w:rsidRPr="005A682C" w:rsidRDefault="00D524D7" w:rsidP="005A682C">
      <w:pPr>
        <w:numPr>
          <w:ilvl w:val="0"/>
          <w:numId w:val="13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Odnotowywać w repertorium w rubryce „uwagi o rodzaju, formie i stanie dokumentu” lub „uwagi” fakt podwyższenia – stosownie do treści § 3 ww. Rozporządzenia – </w:t>
      </w:r>
      <w:r w:rsidRPr="004E045E">
        <w:rPr>
          <w:rFonts w:ascii="Arial" w:eastAsiaTheme="minorHAnsi" w:hAnsi="Arial" w:cs="Arial"/>
          <w:sz w:val="24"/>
          <w:szCs w:val="24"/>
          <w:lang w:eastAsia="en-US"/>
        </w:rPr>
        <w:t>staw</w:t>
      </w:r>
      <w:r w:rsidRPr="004E045E">
        <w:rPr>
          <w:rFonts w:ascii="Arial" w:eastAsiaTheme="minorHAnsi" w:hAnsi="Arial" w:cs="Arial"/>
          <w:sz w:val="24"/>
          <w:szCs w:val="24"/>
          <w:lang w:eastAsia="en-US"/>
        </w:rPr>
        <w:t>ek wynagrodzenia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za czynności tłumacza przysięgłego.</w:t>
      </w:r>
    </w:p>
    <w:p w:rsidR="00C55B5B" w:rsidRPr="000014DB" w:rsidRDefault="00D524D7" w:rsidP="007C38CC">
      <w:pPr>
        <w:pStyle w:val="Akapitzlist"/>
        <w:numPr>
          <w:ilvl w:val="0"/>
          <w:numId w:val="12"/>
        </w:numPr>
        <w:spacing w:before="24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52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ustawy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 administracji rządowej (tj. Dz.U. z 2020 r., poz. 224)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, </w:t>
      </w:r>
      <w:r w:rsidRPr="000014DB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proszę o przekazanie pisemnej informacji o sposobie wykonania </w:t>
      </w:r>
      <w:r w:rsidRPr="000014DB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zaleceń,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wykorzystaniu wniosków lub przyczynach ich niewykorzystania, o podjętych działaniach lub przyczynach ich niepodjęcia, albo o innym sposobie usunięcia stwierdzonych nieprawidłowości (uchybień), </w:t>
      </w:r>
      <w:r w:rsidRPr="000014DB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w terminie 14 dni od dnia otrzymania niniejszego dokum</w:t>
      </w:r>
      <w:r w:rsidRPr="000014DB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entu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C55B5B" w:rsidRPr="006315FC" w:rsidRDefault="00D524D7" w:rsidP="007C38CC">
      <w:pPr>
        <w:numPr>
          <w:ilvl w:val="0"/>
          <w:numId w:val="12"/>
        </w:numPr>
        <w:spacing w:after="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</w:t>
      </w:r>
      <w:r w:rsidRP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>
        <w:rPr>
          <w:rFonts w:ascii="Arial" w:hAnsi="Arial" w:cs="Arial"/>
        </w:rPr>
        <w:t xml:space="preserve">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 xml:space="preserve">kierownik jednostki kontrolowanej w terminie 3 dni roboczych od dnia otrzymania sprawozdania ma prawo przedstawić do niego stanowisko. Przedstawienie stanowiska nie wstrzymuje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realizacji ustaleń kontroli.</w:t>
      </w:r>
    </w:p>
    <w:p w:rsidR="00C55B5B" w:rsidRPr="007A3049" w:rsidRDefault="00D524D7" w:rsidP="007C38CC">
      <w:pPr>
        <w:keepNext/>
        <w:keepLines/>
        <w:spacing w:before="100" w:beforeAutospacing="1" w:after="100" w:afterAutospacing="1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C55B5B" w:rsidRPr="007A3049" w:rsidRDefault="00D524D7" w:rsidP="00C55B5B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Barbara Zwierzewicz</w:t>
      </w:r>
    </w:p>
    <w:p w:rsidR="00C96B5C" w:rsidRPr="00364655" w:rsidRDefault="00D524D7" w:rsidP="00364655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sectPr w:rsidR="00C96B5C" w:rsidRPr="00364655" w:rsidSect="00C164A0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524D7">
      <w:pPr>
        <w:spacing w:after="0" w:line="240" w:lineRule="auto"/>
      </w:pPr>
      <w:r>
        <w:separator/>
      </w:r>
    </w:p>
  </w:endnote>
  <w:endnote w:type="continuationSeparator" w:id="0">
    <w:p w:rsidR="00000000" w:rsidRDefault="00D5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926115"/>
      <w:docPartObj>
        <w:docPartGallery w:val="Page Numbers (Bottom of Page)"/>
        <w:docPartUnique/>
      </w:docPartObj>
    </w:sdtPr>
    <w:sdtEndPr/>
    <w:sdtContent>
      <w:p w:rsidR="00F45644" w:rsidRDefault="00D524D7" w:rsidP="0040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FF3" w:rsidRDefault="00D524D7" w:rsidP="005E4DEB">
      <w:pPr>
        <w:spacing w:after="0" w:line="240" w:lineRule="auto"/>
      </w:pPr>
      <w:r>
        <w:separator/>
      </w:r>
    </w:p>
  </w:footnote>
  <w:footnote w:type="continuationSeparator" w:id="0">
    <w:p w:rsidR="00A30FF3" w:rsidRDefault="00D524D7" w:rsidP="005E4DEB">
      <w:pPr>
        <w:spacing w:after="0" w:line="240" w:lineRule="auto"/>
      </w:pPr>
      <w:r>
        <w:continuationSeparator/>
      </w:r>
    </w:p>
  </w:footnote>
  <w:footnote w:id="1">
    <w:p w:rsidR="005E4DEB" w:rsidRPr="00C61DFB" w:rsidRDefault="00D524D7" w:rsidP="005E4DEB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>
        <w:rPr>
          <w:rFonts w:ascii="Arial" w:hAnsi="Arial" w:cs="Arial"/>
        </w:rPr>
        <w:t xml:space="preserve">ustawa o zawodzie tłumacza </w:t>
      </w:r>
      <w:r>
        <w:rPr>
          <w:rFonts w:ascii="Arial" w:hAnsi="Arial" w:cs="Arial"/>
        </w:rPr>
        <w:t>przysięgłego</w:t>
      </w:r>
    </w:p>
  </w:footnote>
  <w:footnote w:id="2">
    <w:p w:rsidR="00F57989" w:rsidRPr="00D15423" w:rsidRDefault="00D524D7" w:rsidP="00F57989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hyperlink r:id="rId1" w:history="1">
        <w:r w:rsidRPr="005E1D6E">
          <w:rPr>
            <w:rStyle w:val="Hipercze"/>
            <w:rFonts w:ascii="Arial" w:hAnsi="Arial" w:cs="Arial"/>
            <w:color w:val="auto"/>
            <w:u w:val="none"/>
          </w:rPr>
          <w:t>https://www.gov.pl/web/sprawiedliwosc/tlumacze-przysiegli</w:t>
        </w:r>
      </w:hyperlink>
      <w:r w:rsidRPr="005E1D6E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w zakładce Znajdź tłumacza przysięgłego</w:t>
      </w:r>
      <w:r w:rsidRPr="00D15423">
        <w:rPr>
          <w:rFonts w:ascii="Arial" w:hAnsi="Arial" w:cs="Arial"/>
        </w:rPr>
        <w:t>.</w:t>
      </w:r>
    </w:p>
  </w:footnote>
  <w:footnote w:id="3">
    <w:p w:rsidR="006B0F6E" w:rsidRPr="00D15423" w:rsidRDefault="00D524D7" w:rsidP="006B0F6E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interpretacją prz</w:t>
      </w:r>
      <w:r w:rsidRPr="00D15423">
        <w:rPr>
          <w:rFonts w:ascii="Arial" w:hAnsi="Arial" w:cs="Arial"/>
        </w:rPr>
        <w:t>edstawioną w piśmie Ministerstwa Sprawiedliwości z dnia 8 lipca 2013 r., znak DZP-V-670-391/13, trzyletnią przerwę w wykonywaniu czynności tłumacza przysięgłego można</w:t>
      </w:r>
      <w:r w:rsidRPr="00DF489A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stwierdzić wówczas, gdy od ostatniej czynności odnotowanej w repe</w:t>
      </w:r>
      <w:r>
        <w:rPr>
          <w:rFonts w:ascii="Arial" w:hAnsi="Arial" w:cs="Arial"/>
        </w:rPr>
        <w:t>rt</w:t>
      </w:r>
      <w:r w:rsidRPr="00D15423">
        <w:rPr>
          <w:rFonts w:ascii="Arial" w:hAnsi="Arial" w:cs="Arial"/>
        </w:rPr>
        <w:t>orium tłumacza przysię</w:t>
      </w:r>
      <w:r w:rsidRPr="00D15423">
        <w:rPr>
          <w:rFonts w:ascii="Arial" w:hAnsi="Arial" w:cs="Arial"/>
        </w:rPr>
        <w:t xml:space="preserve">głego upłynęły ponad 3 lata. Stanowisko dostępne na stronie </w:t>
      </w:r>
      <w:hyperlink r:id="rId2" w:history="1">
        <w:r w:rsidRPr="00D15423">
          <w:rPr>
            <w:rStyle w:val="Hipercze"/>
            <w:rFonts w:ascii="Arial" w:hAnsi="Arial" w:cs="Arial"/>
            <w:color w:val="auto"/>
            <w:u w:val="none"/>
          </w:rPr>
          <w:t>www.bip.mazowieckie.pl</w:t>
        </w:r>
      </w:hyperlink>
      <w:r w:rsidRPr="00D15423">
        <w:rPr>
          <w:rFonts w:ascii="Arial" w:hAnsi="Arial" w:cs="Arial"/>
        </w:rPr>
        <w:t>, w zakładce – Urząd wojewódzki, podzakładce Informacje wydziałów i biur » Wydział Kontroli » Tłumacze przysięgli.</w:t>
      </w:r>
    </w:p>
  </w:footnote>
  <w:footnote w:id="4">
    <w:p w:rsidR="004F53BE" w:rsidRPr="00D15423" w:rsidRDefault="00D524D7" w:rsidP="004F53BE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Rozporządzenie Ministra Sprawiedliwości z dnia 24 stycznia 2005 r. w sprawie wynagrodzenia za czynności tłumacza przysięgłego (</w:t>
      </w:r>
      <w:r>
        <w:rPr>
          <w:rFonts w:ascii="Arial" w:hAnsi="Arial" w:cs="Arial"/>
        </w:rPr>
        <w:t xml:space="preserve">tj. </w:t>
      </w:r>
      <w:r w:rsidRPr="00D15423">
        <w:rPr>
          <w:rFonts w:ascii="Arial" w:hAnsi="Arial" w:cs="Arial"/>
        </w:rPr>
        <w:t>Dz.U. z 2021 r., poz. 261)</w:t>
      </w:r>
      <w:r>
        <w:rPr>
          <w:rFonts w:ascii="Arial" w:hAnsi="Arial" w:cs="Arial"/>
        </w:rPr>
        <w:t>. Dalej: Rozporządzenie.</w:t>
      </w:r>
    </w:p>
  </w:footnote>
  <w:footnote w:id="5">
    <w:p w:rsidR="00701CD5" w:rsidRPr="00544F0D" w:rsidRDefault="00D524D7" w:rsidP="00701CD5">
      <w:pPr>
        <w:pStyle w:val="Tekstprzypisudolnego"/>
        <w:rPr>
          <w:rFonts w:ascii="Arial" w:hAnsi="Arial" w:cs="Arial"/>
          <w:sz w:val="18"/>
          <w:szCs w:val="18"/>
        </w:rPr>
      </w:pPr>
      <w:r w:rsidRPr="00DF489A">
        <w:rPr>
          <w:rStyle w:val="Odwoanieprzypisudolnego"/>
          <w:rFonts w:ascii="Arial" w:hAnsi="Arial" w:cs="Arial"/>
        </w:rPr>
        <w:footnoteRef/>
      </w:r>
      <w:r w:rsidRPr="00DF489A">
        <w:rPr>
          <w:rFonts w:ascii="Arial" w:hAnsi="Arial" w:cs="Arial"/>
        </w:rPr>
        <w:t xml:space="preserve"> Udostępnionym na stronie internetowej </w:t>
      </w:r>
      <w:hyperlink r:id="rId3" w:history="1">
        <w:r w:rsidRPr="00DF489A">
          <w:rPr>
            <w:rStyle w:val="Hipercze"/>
            <w:rFonts w:ascii="Arial" w:hAnsi="Arial" w:cs="Arial"/>
            <w:color w:val="auto"/>
            <w:u w:val="none"/>
          </w:rPr>
          <w:t>www.gov.pl/web/sprawiedliwosc</w:t>
        </w:r>
      </w:hyperlink>
      <w:r w:rsidRPr="00DF489A">
        <w:rPr>
          <w:rFonts w:ascii="Arial" w:hAnsi="Arial" w:cs="Arial"/>
        </w:rPr>
        <w:t>, w zakładce – Co robimy, podzakładce Dla obywateli » Tłumacze przysięgli » Komisja Odpowiedzialności Zawodowej Tłumaczy Przysięgłych</w:t>
      </w:r>
      <w:r>
        <w:rPr>
          <w:rFonts w:ascii="Arial" w:hAnsi="Arial" w:cs="Arial"/>
        </w:rPr>
        <w:t>. Dalej: KOZTP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92BCB1D6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D99245EE" w:tentative="1">
      <w:start w:val="1"/>
      <w:numFmt w:val="lowerLetter"/>
      <w:lvlText w:val="%2."/>
      <w:lvlJc w:val="left"/>
      <w:pPr>
        <w:ind w:left="1440" w:hanging="360"/>
      </w:pPr>
    </w:lvl>
    <w:lvl w:ilvl="2" w:tplc="0F44065C" w:tentative="1">
      <w:start w:val="1"/>
      <w:numFmt w:val="lowerRoman"/>
      <w:lvlText w:val="%3."/>
      <w:lvlJc w:val="right"/>
      <w:pPr>
        <w:ind w:left="2160" w:hanging="180"/>
      </w:pPr>
    </w:lvl>
    <w:lvl w:ilvl="3" w:tplc="4A647356" w:tentative="1">
      <w:start w:val="1"/>
      <w:numFmt w:val="decimal"/>
      <w:lvlText w:val="%4."/>
      <w:lvlJc w:val="left"/>
      <w:pPr>
        <w:ind w:left="2880" w:hanging="360"/>
      </w:pPr>
    </w:lvl>
    <w:lvl w:ilvl="4" w:tplc="1424072E" w:tentative="1">
      <w:start w:val="1"/>
      <w:numFmt w:val="lowerLetter"/>
      <w:lvlText w:val="%5."/>
      <w:lvlJc w:val="left"/>
      <w:pPr>
        <w:ind w:left="3600" w:hanging="360"/>
      </w:pPr>
    </w:lvl>
    <w:lvl w:ilvl="5" w:tplc="CB54D268" w:tentative="1">
      <w:start w:val="1"/>
      <w:numFmt w:val="lowerRoman"/>
      <w:lvlText w:val="%6."/>
      <w:lvlJc w:val="right"/>
      <w:pPr>
        <w:ind w:left="4320" w:hanging="180"/>
      </w:pPr>
    </w:lvl>
    <w:lvl w:ilvl="6" w:tplc="95AC903C" w:tentative="1">
      <w:start w:val="1"/>
      <w:numFmt w:val="decimal"/>
      <w:lvlText w:val="%7."/>
      <w:lvlJc w:val="left"/>
      <w:pPr>
        <w:ind w:left="5040" w:hanging="360"/>
      </w:pPr>
    </w:lvl>
    <w:lvl w:ilvl="7" w:tplc="FB0E00B0" w:tentative="1">
      <w:start w:val="1"/>
      <w:numFmt w:val="lowerLetter"/>
      <w:lvlText w:val="%8."/>
      <w:lvlJc w:val="left"/>
      <w:pPr>
        <w:ind w:left="5760" w:hanging="360"/>
      </w:pPr>
    </w:lvl>
    <w:lvl w:ilvl="8" w:tplc="A3347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37BC9"/>
    <w:multiLevelType w:val="hybridMultilevel"/>
    <w:tmpl w:val="043EFF1E"/>
    <w:lvl w:ilvl="0" w:tplc="1548B6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A87AD8" w:tentative="1">
      <w:start w:val="1"/>
      <w:numFmt w:val="lowerLetter"/>
      <w:lvlText w:val="%2."/>
      <w:lvlJc w:val="left"/>
      <w:pPr>
        <w:ind w:left="1440" w:hanging="360"/>
      </w:pPr>
    </w:lvl>
    <w:lvl w:ilvl="2" w:tplc="3150294E" w:tentative="1">
      <w:start w:val="1"/>
      <w:numFmt w:val="lowerRoman"/>
      <w:lvlText w:val="%3."/>
      <w:lvlJc w:val="right"/>
      <w:pPr>
        <w:ind w:left="2160" w:hanging="180"/>
      </w:pPr>
    </w:lvl>
    <w:lvl w:ilvl="3" w:tplc="EF1EE580" w:tentative="1">
      <w:start w:val="1"/>
      <w:numFmt w:val="decimal"/>
      <w:lvlText w:val="%4."/>
      <w:lvlJc w:val="left"/>
      <w:pPr>
        <w:ind w:left="2880" w:hanging="360"/>
      </w:pPr>
    </w:lvl>
    <w:lvl w:ilvl="4" w:tplc="E3607B80" w:tentative="1">
      <w:start w:val="1"/>
      <w:numFmt w:val="lowerLetter"/>
      <w:lvlText w:val="%5."/>
      <w:lvlJc w:val="left"/>
      <w:pPr>
        <w:ind w:left="3600" w:hanging="360"/>
      </w:pPr>
    </w:lvl>
    <w:lvl w:ilvl="5" w:tplc="464E9590" w:tentative="1">
      <w:start w:val="1"/>
      <w:numFmt w:val="lowerRoman"/>
      <w:lvlText w:val="%6."/>
      <w:lvlJc w:val="right"/>
      <w:pPr>
        <w:ind w:left="4320" w:hanging="180"/>
      </w:pPr>
    </w:lvl>
    <w:lvl w:ilvl="6" w:tplc="4690883A" w:tentative="1">
      <w:start w:val="1"/>
      <w:numFmt w:val="decimal"/>
      <w:lvlText w:val="%7."/>
      <w:lvlJc w:val="left"/>
      <w:pPr>
        <w:ind w:left="5040" w:hanging="360"/>
      </w:pPr>
    </w:lvl>
    <w:lvl w:ilvl="7" w:tplc="A5DC6D3E" w:tentative="1">
      <w:start w:val="1"/>
      <w:numFmt w:val="lowerLetter"/>
      <w:lvlText w:val="%8."/>
      <w:lvlJc w:val="left"/>
      <w:pPr>
        <w:ind w:left="5760" w:hanging="360"/>
      </w:pPr>
    </w:lvl>
    <w:lvl w:ilvl="8" w:tplc="3CDAF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75158C"/>
    <w:multiLevelType w:val="hybridMultilevel"/>
    <w:tmpl w:val="5E32FE4E"/>
    <w:lvl w:ilvl="0" w:tplc="000895EE">
      <w:start w:val="1"/>
      <w:numFmt w:val="lowerLetter"/>
      <w:lvlText w:val="%1)"/>
      <w:lvlJc w:val="left"/>
      <w:pPr>
        <w:ind w:left="1146" w:hanging="360"/>
      </w:pPr>
    </w:lvl>
    <w:lvl w:ilvl="1" w:tplc="5FE41ED4" w:tentative="1">
      <w:start w:val="1"/>
      <w:numFmt w:val="lowerLetter"/>
      <w:lvlText w:val="%2."/>
      <w:lvlJc w:val="left"/>
      <w:pPr>
        <w:ind w:left="1866" w:hanging="360"/>
      </w:pPr>
    </w:lvl>
    <w:lvl w:ilvl="2" w:tplc="31A28ED4" w:tentative="1">
      <w:start w:val="1"/>
      <w:numFmt w:val="lowerRoman"/>
      <w:lvlText w:val="%3."/>
      <w:lvlJc w:val="right"/>
      <w:pPr>
        <w:ind w:left="2586" w:hanging="180"/>
      </w:pPr>
    </w:lvl>
    <w:lvl w:ilvl="3" w:tplc="00CABCC4" w:tentative="1">
      <w:start w:val="1"/>
      <w:numFmt w:val="decimal"/>
      <w:lvlText w:val="%4."/>
      <w:lvlJc w:val="left"/>
      <w:pPr>
        <w:ind w:left="3306" w:hanging="360"/>
      </w:pPr>
    </w:lvl>
    <w:lvl w:ilvl="4" w:tplc="2F589144" w:tentative="1">
      <w:start w:val="1"/>
      <w:numFmt w:val="lowerLetter"/>
      <w:lvlText w:val="%5."/>
      <w:lvlJc w:val="left"/>
      <w:pPr>
        <w:ind w:left="4026" w:hanging="360"/>
      </w:pPr>
    </w:lvl>
    <w:lvl w:ilvl="5" w:tplc="6C9AC5EE" w:tentative="1">
      <w:start w:val="1"/>
      <w:numFmt w:val="lowerRoman"/>
      <w:lvlText w:val="%6."/>
      <w:lvlJc w:val="right"/>
      <w:pPr>
        <w:ind w:left="4746" w:hanging="180"/>
      </w:pPr>
    </w:lvl>
    <w:lvl w:ilvl="6" w:tplc="D272FCAA" w:tentative="1">
      <w:start w:val="1"/>
      <w:numFmt w:val="decimal"/>
      <w:lvlText w:val="%7."/>
      <w:lvlJc w:val="left"/>
      <w:pPr>
        <w:ind w:left="5466" w:hanging="360"/>
      </w:pPr>
    </w:lvl>
    <w:lvl w:ilvl="7" w:tplc="C02616D2" w:tentative="1">
      <w:start w:val="1"/>
      <w:numFmt w:val="lowerLetter"/>
      <w:lvlText w:val="%8."/>
      <w:lvlJc w:val="left"/>
      <w:pPr>
        <w:ind w:left="6186" w:hanging="360"/>
      </w:pPr>
    </w:lvl>
    <w:lvl w:ilvl="8" w:tplc="B33EE7C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5057D0E"/>
    <w:multiLevelType w:val="hybridMultilevel"/>
    <w:tmpl w:val="67D4CEC4"/>
    <w:lvl w:ilvl="0" w:tplc="AD8EC6C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5C8A91E8" w:tentative="1">
      <w:start w:val="1"/>
      <w:numFmt w:val="lowerLetter"/>
      <w:lvlText w:val="%2."/>
      <w:lvlJc w:val="left"/>
      <w:pPr>
        <w:ind w:left="1440" w:hanging="360"/>
      </w:pPr>
    </w:lvl>
    <w:lvl w:ilvl="2" w:tplc="D9308B3A" w:tentative="1">
      <w:start w:val="1"/>
      <w:numFmt w:val="lowerRoman"/>
      <w:lvlText w:val="%3."/>
      <w:lvlJc w:val="right"/>
      <w:pPr>
        <w:ind w:left="2160" w:hanging="180"/>
      </w:pPr>
    </w:lvl>
    <w:lvl w:ilvl="3" w:tplc="D90C61DC">
      <w:start w:val="1"/>
      <w:numFmt w:val="decimal"/>
      <w:lvlText w:val="%4."/>
      <w:lvlJc w:val="left"/>
      <w:pPr>
        <w:ind w:left="2880" w:hanging="360"/>
      </w:pPr>
    </w:lvl>
    <w:lvl w:ilvl="4" w:tplc="B50048FA" w:tentative="1">
      <w:start w:val="1"/>
      <w:numFmt w:val="lowerLetter"/>
      <w:lvlText w:val="%5."/>
      <w:lvlJc w:val="left"/>
      <w:pPr>
        <w:ind w:left="3600" w:hanging="360"/>
      </w:pPr>
    </w:lvl>
    <w:lvl w:ilvl="5" w:tplc="ED929038" w:tentative="1">
      <w:start w:val="1"/>
      <w:numFmt w:val="lowerRoman"/>
      <w:lvlText w:val="%6."/>
      <w:lvlJc w:val="right"/>
      <w:pPr>
        <w:ind w:left="4320" w:hanging="180"/>
      </w:pPr>
    </w:lvl>
    <w:lvl w:ilvl="6" w:tplc="1F18392E" w:tentative="1">
      <w:start w:val="1"/>
      <w:numFmt w:val="decimal"/>
      <w:lvlText w:val="%7."/>
      <w:lvlJc w:val="left"/>
      <w:pPr>
        <w:ind w:left="5040" w:hanging="360"/>
      </w:pPr>
    </w:lvl>
    <w:lvl w:ilvl="7" w:tplc="08F63F94" w:tentative="1">
      <w:start w:val="1"/>
      <w:numFmt w:val="lowerLetter"/>
      <w:lvlText w:val="%8."/>
      <w:lvlJc w:val="left"/>
      <w:pPr>
        <w:ind w:left="5760" w:hanging="360"/>
      </w:pPr>
    </w:lvl>
    <w:lvl w:ilvl="8" w:tplc="7AA46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95040"/>
    <w:multiLevelType w:val="hybridMultilevel"/>
    <w:tmpl w:val="159A273A"/>
    <w:lvl w:ilvl="0" w:tplc="11DC9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BAFF5A" w:tentative="1">
      <w:start w:val="1"/>
      <w:numFmt w:val="lowerLetter"/>
      <w:lvlText w:val="%2."/>
      <w:lvlJc w:val="left"/>
      <w:pPr>
        <w:ind w:left="1440" w:hanging="360"/>
      </w:pPr>
    </w:lvl>
    <w:lvl w:ilvl="2" w:tplc="E5AC911A" w:tentative="1">
      <w:start w:val="1"/>
      <w:numFmt w:val="lowerRoman"/>
      <w:lvlText w:val="%3."/>
      <w:lvlJc w:val="right"/>
      <w:pPr>
        <w:ind w:left="2160" w:hanging="180"/>
      </w:pPr>
    </w:lvl>
    <w:lvl w:ilvl="3" w:tplc="0768A158" w:tentative="1">
      <w:start w:val="1"/>
      <w:numFmt w:val="decimal"/>
      <w:lvlText w:val="%4."/>
      <w:lvlJc w:val="left"/>
      <w:pPr>
        <w:ind w:left="2880" w:hanging="360"/>
      </w:pPr>
    </w:lvl>
    <w:lvl w:ilvl="4" w:tplc="5C3CF082" w:tentative="1">
      <w:start w:val="1"/>
      <w:numFmt w:val="lowerLetter"/>
      <w:lvlText w:val="%5."/>
      <w:lvlJc w:val="left"/>
      <w:pPr>
        <w:ind w:left="3600" w:hanging="360"/>
      </w:pPr>
    </w:lvl>
    <w:lvl w:ilvl="5" w:tplc="34CE0F36" w:tentative="1">
      <w:start w:val="1"/>
      <w:numFmt w:val="lowerRoman"/>
      <w:lvlText w:val="%6."/>
      <w:lvlJc w:val="right"/>
      <w:pPr>
        <w:ind w:left="4320" w:hanging="180"/>
      </w:pPr>
    </w:lvl>
    <w:lvl w:ilvl="6" w:tplc="DBBA002A" w:tentative="1">
      <w:start w:val="1"/>
      <w:numFmt w:val="decimal"/>
      <w:lvlText w:val="%7."/>
      <w:lvlJc w:val="left"/>
      <w:pPr>
        <w:ind w:left="5040" w:hanging="360"/>
      </w:pPr>
    </w:lvl>
    <w:lvl w:ilvl="7" w:tplc="A11A0CFE" w:tentative="1">
      <w:start w:val="1"/>
      <w:numFmt w:val="lowerLetter"/>
      <w:lvlText w:val="%8."/>
      <w:lvlJc w:val="left"/>
      <w:pPr>
        <w:ind w:left="5760" w:hanging="360"/>
      </w:pPr>
    </w:lvl>
    <w:lvl w:ilvl="8" w:tplc="CA98D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86F83"/>
    <w:multiLevelType w:val="hybridMultilevel"/>
    <w:tmpl w:val="ADFE80D6"/>
    <w:lvl w:ilvl="0" w:tplc="E37EF8E2">
      <w:start w:val="1"/>
      <w:numFmt w:val="lowerLetter"/>
      <w:lvlText w:val="%1)"/>
      <w:lvlJc w:val="left"/>
      <w:pPr>
        <w:ind w:left="720" w:hanging="360"/>
      </w:pPr>
    </w:lvl>
    <w:lvl w:ilvl="1" w:tplc="8D383EDE" w:tentative="1">
      <w:start w:val="1"/>
      <w:numFmt w:val="lowerLetter"/>
      <w:lvlText w:val="%2."/>
      <w:lvlJc w:val="left"/>
      <w:pPr>
        <w:ind w:left="1440" w:hanging="360"/>
      </w:pPr>
    </w:lvl>
    <w:lvl w:ilvl="2" w:tplc="16C02E32" w:tentative="1">
      <w:start w:val="1"/>
      <w:numFmt w:val="lowerRoman"/>
      <w:lvlText w:val="%3."/>
      <w:lvlJc w:val="right"/>
      <w:pPr>
        <w:ind w:left="2160" w:hanging="180"/>
      </w:pPr>
    </w:lvl>
    <w:lvl w:ilvl="3" w:tplc="9CB42CC6" w:tentative="1">
      <w:start w:val="1"/>
      <w:numFmt w:val="decimal"/>
      <w:lvlText w:val="%4."/>
      <w:lvlJc w:val="left"/>
      <w:pPr>
        <w:ind w:left="2880" w:hanging="360"/>
      </w:pPr>
    </w:lvl>
    <w:lvl w:ilvl="4" w:tplc="34FE6F84" w:tentative="1">
      <w:start w:val="1"/>
      <w:numFmt w:val="lowerLetter"/>
      <w:lvlText w:val="%5."/>
      <w:lvlJc w:val="left"/>
      <w:pPr>
        <w:ind w:left="3600" w:hanging="360"/>
      </w:pPr>
    </w:lvl>
    <w:lvl w:ilvl="5" w:tplc="A7A269AC" w:tentative="1">
      <w:start w:val="1"/>
      <w:numFmt w:val="lowerRoman"/>
      <w:lvlText w:val="%6."/>
      <w:lvlJc w:val="right"/>
      <w:pPr>
        <w:ind w:left="4320" w:hanging="180"/>
      </w:pPr>
    </w:lvl>
    <w:lvl w:ilvl="6" w:tplc="4A32C656" w:tentative="1">
      <w:start w:val="1"/>
      <w:numFmt w:val="decimal"/>
      <w:lvlText w:val="%7."/>
      <w:lvlJc w:val="left"/>
      <w:pPr>
        <w:ind w:left="5040" w:hanging="360"/>
      </w:pPr>
    </w:lvl>
    <w:lvl w:ilvl="7" w:tplc="7542DB98" w:tentative="1">
      <w:start w:val="1"/>
      <w:numFmt w:val="lowerLetter"/>
      <w:lvlText w:val="%8."/>
      <w:lvlJc w:val="left"/>
      <w:pPr>
        <w:ind w:left="5760" w:hanging="360"/>
      </w:pPr>
    </w:lvl>
    <w:lvl w:ilvl="8" w:tplc="000AC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D1B2E"/>
    <w:multiLevelType w:val="hybridMultilevel"/>
    <w:tmpl w:val="7D44250C"/>
    <w:lvl w:ilvl="0" w:tplc="D2B4C762">
      <w:start w:val="1"/>
      <w:numFmt w:val="decimal"/>
      <w:lvlText w:val="%1)"/>
      <w:lvlJc w:val="left"/>
      <w:pPr>
        <w:ind w:left="720" w:hanging="360"/>
      </w:pPr>
    </w:lvl>
    <w:lvl w:ilvl="1" w:tplc="AF222BE6">
      <w:start w:val="1"/>
      <w:numFmt w:val="lowerLetter"/>
      <w:lvlText w:val="%2."/>
      <w:lvlJc w:val="left"/>
      <w:pPr>
        <w:ind w:left="1440" w:hanging="360"/>
      </w:pPr>
    </w:lvl>
    <w:lvl w:ilvl="2" w:tplc="7EFAA0AE" w:tentative="1">
      <w:start w:val="1"/>
      <w:numFmt w:val="lowerRoman"/>
      <w:lvlText w:val="%3."/>
      <w:lvlJc w:val="right"/>
      <w:pPr>
        <w:ind w:left="2160" w:hanging="180"/>
      </w:pPr>
    </w:lvl>
    <w:lvl w:ilvl="3" w:tplc="9ED4B7C0" w:tentative="1">
      <w:start w:val="1"/>
      <w:numFmt w:val="decimal"/>
      <w:lvlText w:val="%4."/>
      <w:lvlJc w:val="left"/>
      <w:pPr>
        <w:ind w:left="2880" w:hanging="360"/>
      </w:pPr>
    </w:lvl>
    <w:lvl w:ilvl="4" w:tplc="F14820AC" w:tentative="1">
      <w:start w:val="1"/>
      <w:numFmt w:val="lowerLetter"/>
      <w:lvlText w:val="%5."/>
      <w:lvlJc w:val="left"/>
      <w:pPr>
        <w:ind w:left="3600" w:hanging="360"/>
      </w:pPr>
    </w:lvl>
    <w:lvl w:ilvl="5" w:tplc="E74E449C" w:tentative="1">
      <w:start w:val="1"/>
      <w:numFmt w:val="lowerRoman"/>
      <w:lvlText w:val="%6."/>
      <w:lvlJc w:val="right"/>
      <w:pPr>
        <w:ind w:left="4320" w:hanging="180"/>
      </w:pPr>
    </w:lvl>
    <w:lvl w:ilvl="6" w:tplc="9F5E6C44" w:tentative="1">
      <w:start w:val="1"/>
      <w:numFmt w:val="decimal"/>
      <w:lvlText w:val="%7."/>
      <w:lvlJc w:val="left"/>
      <w:pPr>
        <w:ind w:left="5040" w:hanging="360"/>
      </w:pPr>
    </w:lvl>
    <w:lvl w:ilvl="7" w:tplc="C4CC3782" w:tentative="1">
      <w:start w:val="1"/>
      <w:numFmt w:val="lowerLetter"/>
      <w:lvlText w:val="%8."/>
      <w:lvlJc w:val="left"/>
      <w:pPr>
        <w:ind w:left="5760" w:hanging="360"/>
      </w:pPr>
    </w:lvl>
    <w:lvl w:ilvl="8" w:tplc="BD74A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4C1C1E87"/>
    <w:multiLevelType w:val="hybridMultilevel"/>
    <w:tmpl w:val="B7389316"/>
    <w:lvl w:ilvl="0" w:tplc="5F965EC4">
      <w:start w:val="1"/>
      <w:numFmt w:val="lowerLetter"/>
      <w:lvlText w:val="%1)"/>
      <w:lvlJc w:val="left"/>
      <w:pPr>
        <w:ind w:left="1080" w:hanging="360"/>
      </w:pPr>
    </w:lvl>
    <w:lvl w:ilvl="1" w:tplc="1896B852" w:tentative="1">
      <w:start w:val="1"/>
      <w:numFmt w:val="lowerLetter"/>
      <w:lvlText w:val="%2."/>
      <w:lvlJc w:val="left"/>
      <w:pPr>
        <w:ind w:left="1800" w:hanging="360"/>
      </w:pPr>
    </w:lvl>
    <w:lvl w:ilvl="2" w:tplc="9FA2A6E2" w:tentative="1">
      <w:start w:val="1"/>
      <w:numFmt w:val="lowerRoman"/>
      <w:lvlText w:val="%3."/>
      <w:lvlJc w:val="right"/>
      <w:pPr>
        <w:ind w:left="2520" w:hanging="180"/>
      </w:pPr>
    </w:lvl>
    <w:lvl w:ilvl="3" w:tplc="9A623680" w:tentative="1">
      <w:start w:val="1"/>
      <w:numFmt w:val="decimal"/>
      <w:lvlText w:val="%4."/>
      <w:lvlJc w:val="left"/>
      <w:pPr>
        <w:ind w:left="3240" w:hanging="360"/>
      </w:pPr>
    </w:lvl>
    <w:lvl w:ilvl="4" w:tplc="43A8E41C" w:tentative="1">
      <w:start w:val="1"/>
      <w:numFmt w:val="lowerLetter"/>
      <w:lvlText w:val="%5."/>
      <w:lvlJc w:val="left"/>
      <w:pPr>
        <w:ind w:left="3960" w:hanging="360"/>
      </w:pPr>
    </w:lvl>
    <w:lvl w:ilvl="5" w:tplc="8D3E2488" w:tentative="1">
      <w:start w:val="1"/>
      <w:numFmt w:val="lowerRoman"/>
      <w:lvlText w:val="%6."/>
      <w:lvlJc w:val="right"/>
      <w:pPr>
        <w:ind w:left="4680" w:hanging="180"/>
      </w:pPr>
    </w:lvl>
    <w:lvl w:ilvl="6" w:tplc="D14E32C4" w:tentative="1">
      <w:start w:val="1"/>
      <w:numFmt w:val="decimal"/>
      <w:lvlText w:val="%7."/>
      <w:lvlJc w:val="left"/>
      <w:pPr>
        <w:ind w:left="5400" w:hanging="360"/>
      </w:pPr>
    </w:lvl>
    <w:lvl w:ilvl="7" w:tplc="F72616E0" w:tentative="1">
      <w:start w:val="1"/>
      <w:numFmt w:val="lowerLetter"/>
      <w:lvlText w:val="%8."/>
      <w:lvlJc w:val="left"/>
      <w:pPr>
        <w:ind w:left="6120" w:hanging="360"/>
      </w:pPr>
    </w:lvl>
    <w:lvl w:ilvl="8" w:tplc="0F78E0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594EA4"/>
    <w:multiLevelType w:val="hybridMultilevel"/>
    <w:tmpl w:val="C61A5C88"/>
    <w:lvl w:ilvl="0" w:tplc="A426B6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E28528" w:tentative="1">
      <w:start w:val="1"/>
      <w:numFmt w:val="lowerLetter"/>
      <w:lvlText w:val="%2."/>
      <w:lvlJc w:val="left"/>
      <w:pPr>
        <w:ind w:left="1440" w:hanging="360"/>
      </w:pPr>
    </w:lvl>
    <w:lvl w:ilvl="2" w:tplc="E44CCFFA" w:tentative="1">
      <w:start w:val="1"/>
      <w:numFmt w:val="lowerRoman"/>
      <w:lvlText w:val="%3."/>
      <w:lvlJc w:val="right"/>
      <w:pPr>
        <w:ind w:left="2160" w:hanging="180"/>
      </w:pPr>
    </w:lvl>
    <w:lvl w:ilvl="3" w:tplc="544C6E5E" w:tentative="1">
      <w:start w:val="1"/>
      <w:numFmt w:val="decimal"/>
      <w:lvlText w:val="%4."/>
      <w:lvlJc w:val="left"/>
      <w:pPr>
        <w:ind w:left="2880" w:hanging="360"/>
      </w:pPr>
    </w:lvl>
    <w:lvl w:ilvl="4" w:tplc="8528D6B8" w:tentative="1">
      <w:start w:val="1"/>
      <w:numFmt w:val="lowerLetter"/>
      <w:lvlText w:val="%5."/>
      <w:lvlJc w:val="left"/>
      <w:pPr>
        <w:ind w:left="3600" w:hanging="360"/>
      </w:pPr>
    </w:lvl>
    <w:lvl w:ilvl="5" w:tplc="02D4E2CE" w:tentative="1">
      <w:start w:val="1"/>
      <w:numFmt w:val="lowerRoman"/>
      <w:lvlText w:val="%6."/>
      <w:lvlJc w:val="right"/>
      <w:pPr>
        <w:ind w:left="4320" w:hanging="180"/>
      </w:pPr>
    </w:lvl>
    <w:lvl w:ilvl="6" w:tplc="A04AB544" w:tentative="1">
      <w:start w:val="1"/>
      <w:numFmt w:val="decimal"/>
      <w:lvlText w:val="%7."/>
      <w:lvlJc w:val="left"/>
      <w:pPr>
        <w:ind w:left="5040" w:hanging="360"/>
      </w:pPr>
    </w:lvl>
    <w:lvl w:ilvl="7" w:tplc="A9849F5E" w:tentative="1">
      <w:start w:val="1"/>
      <w:numFmt w:val="lowerLetter"/>
      <w:lvlText w:val="%8."/>
      <w:lvlJc w:val="left"/>
      <w:pPr>
        <w:ind w:left="5760" w:hanging="360"/>
      </w:pPr>
    </w:lvl>
    <w:lvl w:ilvl="8" w:tplc="69D69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663246CA"/>
    <w:multiLevelType w:val="hybridMultilevel"/>
    <w:tmpl w:val="D37A6B8E"/>
    <w:lvl w:ilvl="0" w:tplc="EF8EB3F8">
      <w:start w:val="1"/>
      <w:numFmt w:val="decimal"/>
      <w:lvlText w:val="%1."/>
      <w:lvlJc w:val="left"/>
      <w:pPr>
        <w:ind w:left="720" w:hanging="360"/>
      </w:pPr>
    </w:lvl>
    <w:lvl w:ilvl="1" w:tplc="A928CDDC" w:tentative="1">
      <w:start w:val="1"/>
      <w:numFmt w:val="lowerLetter"/>
      <w:lvlText w:val="%2."/>
      <w:lvlJc w:val="left"/>
      <w:pPr>
        <w:ind w:left="1440" w:hanging="360"/>
      </w:pPr>
    </w:lvl>
    <w:lvl w:ilvl="2" w:tplc="E8F47FF8" w:tentative="1">
      <w:start w:val="1"/>
      <w:numFmt w:val="lowerRoman"/>
      <w:lvlText w:val="%3."/>
      <w:lvlJc w:val="right"/>
      <w:pPr>
        <w:ind w:left="2160" w:hanging="180"/>
      </w:pPr>
    </w:lvl>
    <w:lvl w:ilvl="3" w:tplc="DABE3AC0">
      <w:start w:val="1"/>
      <w:numFmt w:val="decimal"/>
      <w:lvlText w:val="%4."/>
      <w:lvlJc w:val="left"/>
      <w:pPr>
        <w:ind w:left="2880" w:hanging="360"/>
      </w:pPr>
    </w:lvl>
    <w:lvl w:ilvl="4" w:tplc="3B5A75EC" w:tentative="1">
      <w:start w:val="1"/>
      <w:numFmt w:val="lowerLetter"/>
      <w:lvlText w:val="%5."/>
      <w:lvlJc w:val="left"/>
      <w:pPr>
        <w:ind w:left="3600" w:hanging="360"/>
      </w:pPr>
    </w:lvl>
    <w:lvl w:ilvl="5" w:tplc="3D02EA76" w:tentative="1">
      <w:start w:val="1"/>
      <w:numFmt w:val="lowerRoman"/>
      <w:lvlText w:val="%6."/>
      <w:lvlJc w:val="right"/>
      <w:pPr>
        <w:ind w:left="4320" w:hanging="180"/>
      </w:pPr>
    </w:lvl>
    <w:lvl w:ilvl="6" w:tplc="77A4724C" w:tentative="1">
      <w:start w:val="1"/>
      <w:numFmt w:val="decimal"/>
      <w:lvlText w:val="%7."/>
      <w:lvlJc w:val="left"/>
      <w:pPr>
        <w:ind w:left="5040" w:hanging="360"/>
      </w:pPr>
    </w:lvl>
    <w:lvl w:ilvl="7" w:tplc="36CCB4B6" w:tentative="1">
      <w:start w:val="1"/>
      <w:numFmt w:val="lowerLetter"/>
      <w:lvlText w:val="%8."/>
      <w:lvlJc w:val="left"/>
      <w:pPr>
        <w:ind w:left="5760" w:hanging="360"/>
      </w:pPr>
    </w:lvl>
    <w:lvl w:ilvl="8" w:tplc="3B661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5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2"/>
  </w:num>
  <w:num w:numId="5">
    <w:abstractNumId w:val="15"/>
  </w:num>
  <w:num w:numId="6">
    <w:abstractNumId w:val="14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3"/>
  </w:num>
  <w:num w:numId="12">
    <w:abstractNumId w:val="1"/>
  </w:num>
  <w:num w:numId="13">
    <w:abstractNumId w:val="5"/>
  </w:num>
  <w:num w:numId="14">
    <w:abstractNumId w:val="4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4D7"/>
    <w:rsid w:val="00D5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59893E3-3EC3-4E59-8159-DA218A10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D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Akapitzlist">
    <w:name w:val="List Paragraph"/>
    <w:basedOn w:val="Normalny"/>
    <w:qFormat/>
    <w:rsid w:val="005E4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ny"/>
    <w:qFormat/>
    <w:rsid w:val="005E4DEB"/>
  </w:style>
  <w:style w:type="character" w:styleId="Hipercze">
    <w:name w:val="Hyperlink"/>
    <w:basedOn w:val="Domylnaczcionkaakapitu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64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644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D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D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A65DF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0739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073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pl/web/sprawiedliwosc" TargetMode="External"/><Relationship Id="rId2" Type="http://schemas.openxmlformats.org/officeDocument/2006/relationships/hyperlink" Target="http://www.bip.mazowieckie.pl" TargetMode="External"/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B3CE-3D32-4153-9841-9F349256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1427</Words>
  <Characters>8564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Marzena Janiszewska</cp:lastModifiedBy>
  <cp:revision>2</cp:revision>
  <cp:lastPrinted>2022-03-04T12:56:00Z</cp:lastPrinted>
  <dcterms:created xsi:type="dcterms:W3CDTF">2022-05-05T11:36:00Z</dcterms:created>
  <dcterms:modified xsi:type="dcterms:W3CDTF">2022-05-05T11:36:00Z</dcterms:modified>
</cp:coreProperties>
</file>