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14" w:rsidRDefault="00C812E2" w:rsidP="00332DE4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color w:val="000000"/>
        </w:rPr>
      </w:pPr>
      <w:r>
        <w:rPr>
          <w:b/>
          <w:color w:val="000000"/>
        </w:rPr>
        <w:t>Regulamin</w:t>
      </w:r>
      <w:r w:rsidR="0019759D">
        <w:rPr>
          <w:b/>
        </w:rPr>
        <w:t xml:space="preserve"> </w:t>
      </w:r>
      <w:r w:rsidR="0019759D">
        <w:rPr>
          <w:b/>
          <w:color w:val="000000"/>
        </w:rPr>
        <w:t>pr</w:t>
      </w:r>
      <w:r>
        <w:rPr>
          <w:b/>
          <w:color w:val="000000"/>
        </w:rPr>
        <w:t>zetargu ustnego</w:t>
      </w:r>
      <w:r w:rsidR="0019759D">
        <w:rPr>
          <w:b/>
          <w:color w:val="000000"/>
        </w:rPr>
        <w:t xml:space="preserve"> na sprzedaż </w:t>
      </w:r>
      <w:r w:rsidR="00116CEA">
        <w:rPr>
          <w:b/>
          <w:color w:val="000000"/>
        </w:rPr>
        <w:t xml:space="preserve">ruchomości </w:t>
      </w:r>
      <w:r w:rsidR="0019759D">
        <w:rPr>
          <w:b/>
          <w:color w:val="000000"/>
        </w:rPr>
        <w:br/>
      </w:r>
    </w:p>
    <w:p w:rsidR="00144FD6" w:rsidRDefault="0019759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</w:rPr>
      </w:pPr>
      <w:r>
        <w:rPr>
          <w:b/>
          <w:color w:val="000000"/>
        </w:rPr>
        <w:t>§ 1 Postanowienia ogó</w:t>
      </w:r>
      <w:r w:rsidR="006E4F82">
        <w:rPr>
          <w:b/>
          <w:color w:val="000000"/>
        </w:rPr>
        <w:t>lne</w:t>
      </w:r>
    </w:p>
    <w:p w:rsidR="00144FD6" w:rsidRPr="00332DE4" w:rsidRDefault="001975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</w:pPr>
      <w:r w:rsidRPr="00332DE4">
        <w:t xml:space="preserve">Regulamin określa zasady przeprowadzenia przetargu ustnego na sprzedaż </w:t>
      </w:r>
      <w:r w:rsidR="00116CEA" w:rsidRPr="00332DE4">
        <w:t xml:space="preserve">ruchomości </w:t>
      </w:r>
      <w:r w:rsidR="00930912" w:rsidRPr="00332DE4">
        <w:t xml:space="preserve">w dniu </w:t>
      </w:r>
      <w:r w:rsidR="00332DE4" w:rsidRPr="00332DE4">
        <w:t>3</w:t>
      </w:r>
      <w:r w:rsidR="00753D1F" w:rsidRPr="00332DE4">
        <w:t xml:space="preserve"> listopada </w:t>
      </w:r>
      <w:r w:rsidR="00930912" w:rsidRPr="00332DE4">
        <w:t>2020 r.</w:t>
      </w:r>
    </w:p>
    <w:p w:rsidR="00144FD6" w:rsidRPr="00332DE4" w:rsidRDefault="001975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</w:pPr>
      <w:r w:rsidRPr="00332DE4">
        <w:t>Celem przetargu jest uzyskanie najwyższej ceny.</w:t>
      </w:r>
    </w:p>
    <w:p w:rsidR="00144FD6" w:rsidRDefault="0019759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</w:rPr>
      </w:pPr>
      <w:r>
        <w:rPr>
          <w:b/>
          <w:color w:val="000000"/>
        </w:rPr>
        <w:t>§ 2</w:t>
      </w:r>
      <w:r>
        <w:rPr>
          <w:b/>
          <w:color w:val="000000"/>
        </w:rPr>
        <w:br/>
        <w:t>Podstawa prawna prze</w:t>
      </w:r>
      <w:r w:rsidR="006E4F82">
        <w:rPr>
          <w:b/>
          <w:color w:val="000000"/>
        </w:rPr>
        <w:t>prowadzenia przetargu</w:t>
      </w:r>
    </w:p>
    <w:p w:rsidR="00C812E2" w:rsidRDefault="00753D1F" w:rsidP="00BD6A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 w:hanging="357"/>
        <w:jc w:val="both"/>
      </w:pPr>
      <w:r>
        <w:rPr>
          <w:color w:val="000000"/>
        </w:rPr>
        <w:t>Uchwała</w:t>
      </w:r>
      <w:bookmarkStart w:id="0" w:name="_GoBack"/>
      <w:bookmarkEnd w:id="0"/>
      <w:r w:rsidR="00116CEA" w:rsidRPr="00F97309">
        <w:t xml:space="preserve"> nr 1 z dnia 26 sierpnia 2019 r. Nadzwyczajnego Walnego Zgromadzenia Spółki pod firmą Przedsiębiorstwo Komunikacji Samochodowej Częstochowa w Częstochowie Spółka Akcyjna z siedzibą w Częstochowie (</w:t>
      </w:r>
      <w:r w:rsidR="00116CEA">
        <w:t xml:space="preserve">sporządzonej w formie aktu notarialnego Rep. A nr 7911/2019 w obecności notariusza Tomasza Cygana) </w:t>
      </w:r>
      <w:r w:rsidR="00116CEA" w:rsidRPr="00F97309">
        <w:t>w sprawie określenia zasad zbywania składników aktywów trwałych w rozumieniu ustawy z dnia 29 września 1994 r. o rachunkowości, w przypadku zbywania przez spół</w:t>
      </w:r>
      <w:r w:rsidR="00116CEA">
        <w:t xml:space="preserve">kę składników aktywów trwałych </w:t>
      </w:r>
      <w:r w:rsidR="00116CEA" w:rsidRPr="00F97309">
        <w:t>o wartości przekraczającej 0,1 % sumy aktywów w rozumieniu ust</w:t>
      </w:r>
      <w:r w:rsidR="00116CEA">
        <w:t xml:space="preserve">awy z dnia 29 września 1994 r. </w:t>
      </w:r>
      <w:r w:rsidR="00116CEA" w:rsidRPr="00F97309">
        <w:t>o rachunkowości, ustalonych na podstawie ostatniego zatwierdzonego sprawozdania finansowego, chyba że wartość tych składników nie przekracza 20.000,</w:t>
      </w:r>
      <w:r w:rsidR="009B0771">
        <w:t xml:space="preserve">00 zł. </w:t>
      </w:r>
    </w:p>
    <w:p w:rsidR="003B2714" w:rsidRDefault="00C812E2" w:rsidP="003B2714">
      <w:pPr>
        <w:pStyle w:val="NormalnyWeb"/>
        <w:numPr>
          <w:ilvl w:val="0"/>
          <w:numId w:val="7"/>
        </w:numPr>
        <w:spacing w:before="0" w:beforeAutospacing="0" w:after="0" w:afterAutospacing="0" w:line="240" w:lineRule="atLeast"/>
        <w:jc w:val="both"/>
      </w:pPr>
      <w:r>
        <w:t xml:space="preserve">Uchwała </w:t>
      </w:r>
      <w:r w:rsidR="00116CEA" w:rsidRPr="00F97309">
        <w:t xml:space="preserve">nr </w:t>
      </w:r>
      <w:r w:rsidR="00116CEA" w:rsidRPr="00C433BE">
        <w:t xml:space="preserve">62/VI/2020 Rady Nadzorczej Przedsiębiorstwa  Komunikacji Samochodowej Częstochowa w Częstochowie S.A w likwidacji z dnia  15  </w:t>
      </w:r>
      <w:r w:rsidR="00116CEA">
        <w:t xml:space="preserve"> września  2020 roku w sprawie </w:t>
      </w:r>
      <w:r w:rsidR="00116CEA" w:rsidRPr="00C433BE">
        <w:t>zaopiniowania wniosku Likwidatora Spółki dotyczącego wyrażenia zgody na rozporządzenie składnikami aktywów trwałych</w:t>
      </w:r>
      <w:r w:rsidR="00116CEA">
        <w:t>.</w:t>
      </w:r>
    </w:p>
    <w:p w:rsidR="003B2714" w:rsidRDefault="003B2714" w:rsidP="003B2714">
      <w:pPr>
        <w:pStyle w:val="NormalnyWeb"/>
        <w:spacing w:before="0" w:beforeAutospacing="0" w:after="0" w:afterAutospacing="0" w:line="240" w:lineRule="atLeast"/>
        <w:jc w:val="both"/>
      </w:pPr>
    </w:p>
    <w:p w:rsidR="00144FD6" w:rsidRDefault="006E4F82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</w:rPr>
      </w:pPr>
      <w:r>
        <w:rPr>
          <w:b/>
          <w:color w:val="000000"/>
        </w:rPr>
        <w:t>§ 3</w:t>
      </w:r>
      <w:r>
        <w:rPr>
          <w:b/>
          <w:color w:val="000000"/>
        </w:rPr>
        <w:br/>
        <w:t xml:space="preserve"> Przedmiot przetargu</w:t>
      </w:r>
    </w:p>
    <w:p w:rsidR="004A6212" w:rsidRPr="004A6212" w:rsidRDefault="004A6212" w:rsidP="004A6212">
      <w:pPr>
        <w:widowControl/>
        <w:shd w:val="clear" w:color="auto" w:fill="FFFFFF"/>
        <w:suppressAutoHyphens/>
        <w:snapToGrid w:val="0"/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="0019759D" w:rsidRPr="004A6212">
        <w:rPr>
          <w:color w:val="000000"/>
        </w:rPr>
        <w:t>Przedmiotem przetargu jest sprzedaż</w:t>
      </w:r>
      <w:r w:rsidRPr="004A6212">
        <w:rPr>
          <w:color w:val="000000"/>
        </w:rPr>
        <w:t>:</w:t>
      </w:r>
    </w:p>
    <w:p w:rsidR="00116CEA" w:rsidRPr="004A6212" w:rsidRDefault="004A6212" w:rsidP="004A6212">
      <w:pPr>
        <w:widowControl/>
        <w:shd w:val="clear" w:color="auto" w:fill="FFFFFF"/>
        <w:suppressAutoHyphens/>
        <w:snapToGrid w:val="0"/>
        <w:ind w:firstLine="720"/>
        <w:jc w:val="both"/>
        <w:rPr>
          <w:bCs/>
          <w:color w:val="000000"/>
        </w:rPr>
      </w:pPr>
      <w:r>
        <w:rPr>
          <w:color w:val="000000"/>
        </w:rPr>
        <w:t>-</w:t>
      </w:r>
      <w:r w:rsidR="0019759D" w:rsidRPr="004A6212">
        <w:rPr>
          <w:color w:val="000000"/>
        </w:rPr>
        <w:t xml:space="preserve"> </w:t>
      </w:r>
      <w:r w:rsidR="00116CEA" w:rsidRPr="004A6212">
        <w:rPr>
          <w:bCs/>
          <w:color w:val="000000"/>
        </w:rPr>
        <w:t>sześciu (6) autobusów technicznie niesprawnych i wycofanych z ruchu, posiadających aktualną ekspertyzę lub ocenę techniczną sporządzoną przez Pawła Rokicińskiego, Rzeczoznawcę samochodowego RS000133, Biegłego sądowego/skarbowego,   tj.</w:t>
      </w:r>
      <w:r w:rsidR="00FD348C" w:rsidRPr="004A6212">
        <w:rPr>
          <w:bCs/>
          <w:color w:val="000000"/>
        </w:rPr>
        <w:t>:</w:t>
      </w:r>
    </w:p>
    <w:p w:rsidR="00116CEA" w:rsidRPr="00FD348C" w:rsidRDefault="00116CEA" w:rsidP="00116CEA">
      <w:pPr>
        <w:pStyle w:val="Akapitzlist"/>
        <w:widowControl/>
        <w:numPr>
          <w:ilvl w:val="0"/>
          <w:numId w:val="10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FD348C">
        <w:rPr>
          <w:bCs/>
          <w:color w:val="000000"/>
        </w:rPr>
        <w:t>autobusu marki Jelcz, nr rej. SC  03779, rok produkcji 2000, o wartości rynkowej 4.200zł, określonej w ekspertyzie  o nr 471/2020, sporządzonej w dniu 2.07.2020r.,</w:t>
      </w:r>
    </w:p>
    <w:p w:rsidR="00116CEA" w:rsidRPr="00FD348C" w:rsidRDefault="00116CEA" w:rsidP="00116CEA">
      <w:pPr>
        <w:pStyle w:val="Akapitzlist"/>
        <w:widowControl/>
        <w:numPr>
          <w:ilvl w:val="0"/>
          <w:numId w:val="10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FD348C">
        <w:rPr>
          <w:bCs/>
          <w:color w:val="000000"/>
        </w:rPr>
        <w:t xml:space="preserve"> autobusu marki Jelcz, nr rej. SC  12693, rok produkcji 2001, o wartości rynkowej 3.900zł, określonej w ekspertyzie o nr 472/2020, sporządzonej w dniu 2.07.2020r.,</w:t>
      </w:r>
    </w:p>
    <w:p w:rsidR="00116CEA" w:rsidRPr="00FD348C" w:rsidRDefault="00116CEA" w:rsidP="00116CEA">
      <w:pPr>
        <w:pStyle w:val="Akapitzlist"/>
        <w:widowControl/>
        <w:numPr>
          <w:ilvl w:val="0"/>
          <w:numId w:val="10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FD348C">
        <w:rPr>
          <w:bCs/>
          <w:color w:val="000000"/>
        </w:rPr>
        <w:t>autobusu marki Jelcz, nr rej. SC  12694, rok produkcji 2001,o wartości rynkowej 4.000zł, określonej w ekspertyzie o nr 473/2020, sporządzonej w dniu 2.07.2020r.,</w:t>
      </w:r>
    </w:p>
    <w:p w:rsidR="00116CEA" w:rsidRPr="00FD348C" w:rsidRDefault="00116CEA" w:rsidP="00116CEA">
      <w:pPr>
        <w:pStyle w:val="Akapitzlist"/>
        <w:widowControl/>
        <w:numPr>
          <w:ilvl w:val="0"/>
          <w:numId w:val="10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FD348C">
        <w:rPr>
          <w:bCs/>
          <w:color w:val="000000"/>
        </w:rPr>
        <w:t>autobusu marki Jelcz, nr rej. SC 41025, rok produkcji 2000, o wartości rynkowej  3.800zł, określonej w ekspertyzie o nr 474/2020, sporządzonej w dniu 2.07.2020r.,</w:t>
      </w:r>
    </w:p>
    <w:p w:rsidR="00116CEA" w:rsidRPr="00FD348C" w:rsidRDefault="00116CEA" w:rsidP="00116CEA">
      <w:pPr>
        <w:pStyle w:val="Akapitzlist"/>
        <w:widowControl/>
        <w:numPr>
          <w:ilvl w:val="0"/>
          <w:numId w:val="10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FD348C">
        <w:rPr>
          <w:bCs/>
          <w:color w:val="000000"/>
        </w:rPr>
        <w:t>autobusu marki Jelcz, nr rej. SC 72990, rok produkcji 2002, o wartości rynkowej  3.500zł, określonej w ekspertyzie o nr 475/2020, sporządzonej w dniu 2.07.2020r.,</w:t>
      </w:r>
    </w:p>
    <w:p w:rsidR="00116CEA" w:rsidRDefault="00116CEA" w:rsidP="00116CEA">
      <w:pPr>
        <w:pStyle w:val="Akapitzlist"/>
        <w:widowControl/>
        <w:numPr>
          <w:ilvl w:val="0"/>
          <w:numId w:val="10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FD348C">
        <w:rPr>
          <w:bCs/>
          <w:color w:val="000000"/>
        </w:rPr>
        <w:t>autobusu marki Mercedes-Benz, nr rej. SC 0213K, rok produkcji 1997, o szacunkowej wartości pojazdu (wartość złomu)  5.500zł, określonej w ocenie technicznej o nr 482/2020/Z, sporządzonej w dniu 7.07.2020r.,</w:t>
      </w:r>
    </w:p>
    <w:p w:rsidR="004A6212" w:rsidRDefault="004A6212" w:rsidP="004A6212">
      <w:pPr>
        <w:pStyle w:val="Akapitzlist"/>
        <w:widowControl/>
        <w:shd w:val="clear" w:color="auto" w:fill="FFFFFF"/>
        <w:suppressAutoHyphens/>
        <w:snapToGrid w:val="0"/>
        <w:ind w:left="1440"/>
        <w:jc w:val="both"/>
        <w:rPr>
          <w:bCs/>
          <w:color w:val="000000"/>
        </w:rPr>
      </w:pPr>
    </w:p>
    <w:p w:rsidR="004A6212" w:rsidRPr="004A6212" w:rsidRDefault="004A6212" w:rsidP="004A6212">
      <w:pPr>
        <w:widowControl/>
        <w:shd w:val="clear" w:color="auto" w:fill="FFFFFF"/>
        <w:suppressAutoHyphens/>
        <w:snapToGrid w:val="0"/>
        <w:ind w:firstLine="720"/>
        <w:jc w:val="both"/>
        <w:rPr>
          <w:bCs/>
          <w:color w:val="000000"/>
        </w:rPr>
      </w:pPr>
      <w:r w:rsidRPr="004A6212">
        <w:rPr>
          <w:bCs/>
          <w:color w:val="000000"/>
        </w:rPr>
        <w:t>- czternastu (14) autobusów przeznaczonych na złomowanie, posiadających aktualne  oceny techniczne sporządzone przez Pawła Rokicińskiego, Rzeczoznawcę samochodowego RS000133, Biegłego sądowego/skarbowego,   tj.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EPJ12TX, rok produkcji 2001, o szacunkowej wartości pojazdu (wartość złomu)  3.100zł, określonej w ocenie technicznej  o nr 551/2020/Z,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lastRenderedPageBreak/>
        <w:t>autobusu marki Autosan S.A. nr rej. SC 41022, rok produkcji 2003, o szacunkowej wartości pojazdu (wartość złomu)  3.100zł, określonej w ocenie technicznej  o nr 552/2020/Z,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EPJ01TY, rok produkcji 2002, o szacunkowej wartości pojazdu (wartość złomu)  3.100zł, określonej w ocenie technicznej  o nr 553/2020/Z,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SC 51949, rok produkcji 2004, o szacunkowej wartości pojazdu (wartość złomu)  3.500zł, określonej w ocenie technicznej  o nr 554/2020/Z,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SC 03394, rok produkcji 2000, o szacunkowej wartości pojazdu (wartość złomu)  4.000zł, określonej w ocenie technicznej  o nr 555/2020/Z,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SC 03395, rok produkcji 2000, o szacunkowej wartości pojazdu (wartość złomu)  4.000zł, określonej w ocenie technicznej  o nr 556/2020/Z,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SC 12387, rok produkcji 2001, o szacunkowej wartości pojazdu (wartość złomu)  4.000zł, określonej w ocenie technicznej  o nr 557/2020/Z,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SC 0352A, rok produkcji 2007, o szacunkowej wartości pojazdu (wartość złomu)  3.200zł, określonej w ocenie technicznej  o nr 558/2020/Z,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EPJ 04TX, rok produkcji 2000, o szacunkowej wartości pojazdu (wartość złomu)  3.200zł, określonej w ocenie technicznej  o nr 559/2020/Z,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Solbus nr rej. SC 6451C, rok produkcji 2008, o szacunkowej wartości pojazdu (wartość złomu)  3.400zł, określonej w ocenie technicznej  o nr 560/2020/Z,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Solbus nr rej. SC 7286C, rok produkcji 2008, o szacunkowej wartości pojazdu (wartość złomu)  3.400zł, określonej w ocenie technicznej  o nr 561/2020/Z,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SC 00156, rok produkcji 2000, o szacunkowej wartości pojazdu (wartość złomu)  3.400zł, określonej w ocenie technicznej  o nr 562/2020/Z,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VolVO nr rej. SC 4342R, rok produkcji 2001, o szacunkowej wartości pojazdu (wartość złomu)  5.000zł, określonej w ocenie technicznej  o nr 563/2020/Z, sporządzonej w dniu 7.09. 2020r.,</w:t>
      </w:r>
    </w:p>
    <w:p w:rsidR="004A6212" w:rsidRPr="004A6212" w:rsidRDefault="004A6212" w:rsidP="004A6212">
      <w:pPr>
        <w:pStyle w:val="Akapitzlist"/>
        <w:widowControl/>
        <w:numPr>
          <w:ilvl w:val="0"/>
          <w:numId w:val="11"/>
        </w:numPr>
        <w:shd w:val="clear" w:color="auto" w:fill="FFFFFF"/>
        <w:suppressAutoHyphens/>
        <w:snapToGrid w:val="0"/>
        <w:jc w:val="both"/>
        <w:rPr>
          <w:bCs/>
          <w:color w:val="000000"/>
        </w:rPr>
      </w:pPr>
      <w:r w:rsidRPr="004A6212">
        <w:rPr>
          <w:bCs/>
          <w:color w:val="000000"/>
        </w:rPr>
        <w:t>autobusu marki Autosan S.A. nr rej. SC 76548, rok produkcji 1999, o szacunkowej wartości pojazdu (wartość złomu)  3.000zł, określonej w ocenie technicznej  o nr 564/2020/Z, sporządzonej w dniu 7.09. 2020r.</w:t>
      </w:r>
    </w:p>
    <w:p w:rsidR="00144FD6" w:rsidRPr="00FD348C" w:rsidRDefault="00116CEA" w:rsidP="00116CEA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20"/>
        <w:jc w:val="both"/>
        <w:rPr>
          <w:color w:val="000000"/>
        </w:rPr>
      </w:pPr>
      <w:r w:rsidRPr="00FD348C">
        <w:rPr>
          <w:color w:val="000000"/>
        </w:rPr>
        <w:t xml:space="preserve">2. </w:t>
      </w:r>
      <w:r w:rsidR="0019759D" w:rsidRPr="00FD348C">
        <w:rPr>
          <w:color w:val="000000"/>
        </w:rPr>
        <w:t>Szczegółowy opis przedmiotu przetargu i cena wywoławcza podana została do publicznej wiadomości w ogłoszeniu o przetargu, z treścią, którego osoba zainteresowana przystąpieniem do przetargu powinna się zapoznać.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</w:pPr>
      <w:r w:rsidRPr="00D819F3">
        <w:rPr>
          <w:b/>
        </w:rPr>
        <w:t>§ 4</w:t>
      </w:r>
      <w:r w:rsidRPr="00D819F3">
        <w:rPr>
          <w:b/>
        </w:rPr>
        <w:br/>
        <w:t>Warunki i zasady uczestnictwa w przetargu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W przetargu, jako oferenci mogą brać udział osoby fizyczne, osoby prawne oraz jednostki nieposiadające osobowości prawnej, którym ustawa przyznaje zdolność prawną, jeżeli wniosą Prowadzącemu przetarg wadium w rodzaju, wysokości, terminie i sposobie określonych w ogłoszeniu o przetargu.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 przetargu, jako oferenci nie mogą uczestniczyć: </w:t>
      </w:r>
    </w:p>
    <w:p w:rsidR="00C812E2" w:rsidRPr="00D819F3" w:rsidRDefault="00C812E2" w:rsidP="00C812E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1) członkowie zarządu Spółki i jej organu nadzorującego; </w:t>
      </w:r>
    </w:p>
    <w:p w:rsidR="00C812E2" w:rsidRPr="00D819F3" w:rsidRDefault="00C812E2" w:rsidP="00C812E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2) osoby, którym powierzono wykonanie czynności związanych z przeprowadzeniem przetargu; </w:t>
      </w:r>
    </w:p>
    <w:p w:rsidR="00C812E2" w:rsidRPr="00D819F3" w:rsidRDefault="00C812E2" w:rsidP="00C812E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3) małżonek, dzieci, rodzice i rodzeństwo osób, o których mowa w pkt. 1-2;</w:t>
      </w:r>
    </w:p>
    <w:p w:rsidR="00C812E2" w:rsidRPr="00D819F3" w:rsidRDefault="00C812E2" w:rsidP="00C812E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4) osoby, które pozostają z prowadzącym przetarg w takim stosunku prawnym lub faktycznym, że może to budzić uzasadnione wątpliwości, co do bezstronności prowadzącego przetarg. 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Warunkiem przystąpienia do przetargu jest wniesienie wadium w określonej w ogłoszeniu </w:t>
      </w:r>
      <w:r w:rsidRPr="00D819F3">
        <w:br/>
        <w:t>o przetargu wysokości. Wysokość wadium wynosi 10% ceny wywoławczej sprzedawanego składnika majątku trwałego</w:t>
      </w:r>
      <w:r w:rsidR="00FD348C">
        <w:t xml:space="preserve">. </w:t>
      </w:r>
      <w:r w:rsidRPr="00D819F3">
        <w:t xml:space="preserve"> 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Wadium powinno być wniesione w przelewem na rachunek </w:t>
      </w:r>
      <w:r>
        <w:t xml:space="preserve">Spółki. 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Prowadzący przetarg, niezwłocznie przed wywołaniem licytacji sprawdza, czy oferenci wnieśli wadium w należytej wysokości oraz spełnili inne warunki uczestnictwa w przetargu.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Wadium przepada na rzecz Spółki, jeżeli żaden z uczestników przetargu nie zaoferuje ceny wywoławczej powiększonej o jedno postąpienie.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Wadium złożone przez oferentów, których oferty nie zostaną przyjęte, zostanie zwrócone bezpośrednio po dokonaniu wyboru oferty. </w:t>
      </w:r>
    </w:p>
    <w:p w:rsidR="00C812E2" w:rsidRPr="00D819F3" w:rsidRDefault="00C812E2" w:rsidP="00C812E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Wadium złożone przez oferenta, któremu Licytator udzieli przybicia (dalej „Nabywca”), zostanie zarachowane na poczet ceny.</w:t>
      </w:r>
    </w:p>
    <w:p w:rsidR="00C812E2" w:rsidRPr="00D819F3" w:rsidRDefault="00C812E2" w:rsidP="00364E5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Wadium przepada na rzecz Spółki, jeżeli oferent, którego oferta zostanie przyjęta, uchyli się od zawarcia umowy lub zapłaty ceny nabycia.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D819F3">
        <w:rPr>
          <w:b/>
        </w:rPr>
        <w:t xml:space="preserve">§ 5 </w:t>
      </w:r>
      <w:r w:rsidRPr="00D819F3">
        <w:rPr>
          <w:b/>
        </w:rPr>
        <w:br/>
        <w:t>Licytator</w:t>
      </w:r>
    </w:p>
    <w:p w:rsidR="00C812E2" w:rsidRPr="00D819F3" w:rsidRDefault="00C812E2" w:rsidP="00C812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Czynności związane z przeprowadzeniem przetargu wykonuje osoba fizyczna wyznaczona przez Prowadzącego przetarg (dalej: „Licytator”).</w:t>
      </w:r>
    </w:p>
    <w:p w:rsidR="00C812E2" w:rsidRPr="00D819F3" w:rsidRDefault="00C812E2" w:rsidP="00C812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Licytator</w:t>
      </w:r>
      <w:r>
        <w:t xml:space="preserve"> </w:t>
      </w:r>
      <w:r w:rsidRPr="00D819F3">
        <w:t>działa na podstawie niniejszego Regulaminu Przetargu,</w:t>
      </w:r>
      <w:r>
        <w:t xml:space="preserve"> ustawy i</w:t>
      </w:r>
      <w:r w:rsidRPr="00D819F3">
        <w:t xml:space="preserve"> uchwał, o których mowa</w:t>
      </w:r>
      <w:r>
        <w:t xml:space="preserve"> w § 2</w:t>
      </w:r>
      <w:r w:rsidRPr="00D819F3">
        <w:t>oraz obowiązujących przepisów prawa.</w:t>
      </w:r>
    </w:p>
    <w:p w:rsidR="00C812E2" w:rsidRPr="00D819F3" w:rsidRDefault="00C812E2" w:rsidP="00C812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Zasady postępowania Licytatora:</w:t>
      </w:r>
    </w:p>
    <w:p w:rsidR="00C812E2" w:rsidRPr="00D819F3" w:rsidRDefault="00C812E2" w:rsidP="00C812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Licytator</w:t>
      </w:r>
      <w:r>
        <w:t xml:space="preserve"> </w:t>
      </w:r>
      <w:r w:rsidRPr="00D819F3">
        <w:t xml:space="preserve">ma obowiązek traktować wszelkie materiały i informacje otrzymane </w:t>
      </w:r>
      <w:r w:rsidRPr="00D819F3">
        <w:br/>
        <w:t>w związku z postępowaniem, jako poufne;</w:t>
      </w:r>
    </w:p>
    <w:p w:rsidR="00C812E2" w:rsidRPr="00D819F3" w:rsidRDefault="00C812E2" w:rsidP="00C812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gjdgxs" w:colFirst="0" w:colLast="0"/>
      <w:bookmarkEnd w:id="1"/>
      <w:r w:rsidRPr="00D819F3">
        <w:t>Licytator</w:t>
      </w:r>
      <w:r>
        <w:t xml:space="preserve"> </w:t>
      </w:r>
      <w:r w:rsidRPr="00D819F3">
        <w:t>ma obowiązek działać obiektywnie, wnikliwie i starannie, mając na względzie dobro Spółki;</w:t>
      </w:r>
    </w:p>
    <w:p w:rsidR="00C812E2" w:rsidRPr="00D819F3" w:rsidRDefault="00C812E2" w:rsidP="00C812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Licytatorem nie może być osoba, która:</w:t>
      </w:r>
    </w:p>
    <w:p w:rsidR="00C812E2" w:rsidRPr="00D819F3" w:rsidRDefault="00C812E2" w:rsidP="00C812E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882" w:hanging="181"/>
        <w:jc w:val="both"/>
      </w:pPr>
      <w:r w:rsidRPr="00D819F3">
        <w:t>jest członkiem</w:t>
      </w:r>
      <w:r>
        <w:t xml:space="preserve"> </w:t>
      </w:r>
      <w:r w:rsidRPr="00D819F3">
        <w:t>organów oferentów niebędących osobami fizycznymi;</w:t>
      </w:r>
    </w:p>
    <w:p w:rsidR="00C812E2" w:rsidRPr="00D819F3" w:rsidRDefault="00C812E2" w:rsidP="00C812E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882" w:hanging="181"/>
        <w:jc w:val="both"/>
      </w:pPr>
      <w:r w:rsidRPr="00D819F3">
        <w:t>pozostają powiązane z oferentami, w sposób określony w § 4 ust. 2 pkt. 3 i 4.</w:t>
      </w:r>
    </w:p>
    <w:p w:rsidR="00C812E2" w:rsidRPr="00D819F3" w:rsidRDefault="00C812E2" w:rsidP="00C812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W przypadku stwierdzenia, że Licytator jest powiązany w sposób określony w § 4 ust. 2 pkt. 3 i 4, z którymkolwiek z uczestników przetargu, jest on obowiązany bezzwłocznie złożyć rezygnację z udziału w postępowaniu przetargowym.</w:t>
      </w:r>
    </w:p>
    <w:p w:rsidR="007F4E5E" w:rsidRDefault="007F4E5E" w:rsidP="007F4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7F4E5E" w:rsidRDefault="00C812E2" w:rsidP="009309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819F3">
        <w:rPr>
          <w:b/>
        </w:rPr>
        <w:t xml:space="preserve">§ 6 </w:t>
      </w:r>
      <w:r w:rsidRPr="00D819F3">
        <w:rPr>
          <w:b/>
        </w:rPr>
        <w:br/>
        <w:t>Przetarg ustny</w:t>
      </w:r>
    </w:p>
    <w:p w:rsidR="003B2714" w:rsidRPr="00D819F3" w:rsidRDefault="003B2714" w:rsidP="009309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Przetarg ustny odbywa się w drodze licytacji, w obecności uczestników licytacji, w terminie i miejscu podanym w ogłoszeniu o przetargu.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Wchodząc do Sali, w której odbywa się licytacja</w:t>
      </w:r>
      <w:r>
        <w:t xml:space="preserve"> </w:t>
      </w:r>
      <w:r w:rsidRPr="00D819F3">
        <w:t>każdy z uczestników licytacji</w:t>
      </w:r>
      <w:r>
        <w:t xml:space="preserve"> </w:t>
      </w:r>
      <w:r w:rsidRPr="00D819F3">
        <w:t>zobowiązany jest przedłożyć Licytatorowi dokument stwierdzający tożsamość. Jeżeli uczestnik licytacji</w:t>
      </w:r>
      <w:r>
        <w:t xml:space="preserve"> </w:t>
      </w:r>
      <w:r w:rsidRPr="00D819F3">
        <w:t>jest reprezentowany przez pełnomocnika, konieczne jest przedłożenie oryginału pełnomocnictwa, sporządzonego w formie aktu notarialnego, upoważniającego do działania na każdym etapie postępowania. Uczestnik licytacji będący osobą prawną</w:t>
      </w:r>
      <w:r>
        <w:t xml:space="preserve"> </w:t>
      </w:r>
      <w:r w:rsidRPr="00D819F3">
        <w:t xml:space="preserve">lub jednostką organizacyjną nieposiadającą osobowości prawnej, ale podlegającą obowiązkowi wpisu do Krajowego Rejestru Sądowego, zobowiązany jest przedstawić aktualny odpis z właściwego rejestru Krajowego Rejestru Sądowego, lub wydruk informacji pełnych z właściwego rejestru Krajowego Rejestru Sądowego z datą wydania lub wydruku nie późniejszą, niż </w:t>
      </w:r>
      <w:r w:rsidRPr="00D819F3">
        <w:br/>
        <w:t>3 miesiące.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Licytator dopuszcza do udziału w przetargu tylko tych uczestników, którzy wnieśli wadium </w:t>
      </w:r>
      <w:r w:rsidRPr="00D819F3">
        <w:br/>
        <w:t>w terminie i formach przewidzianych w ogłoszeniu o przetargu.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Uczestnik licytacji, który spóźni się na wywołanie licytacji, nie zostanie dopuszczony </w:t>
      </w:r>
      <w:r w:rsidRPr="00D819F3">
        <w:br/>
        <w:t>do udziału w licytacji.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714" w:hanging="357"/>
        <w:jc w:val="both"/>
      </w:pPr>
      <w:r w:rsidRPr="00D819F3">
        <w:t xml:space="preserve">Licytator może usunąć z sali, w której odbywa się licytacja, po uprzednim przywołaniu </w:t>
      </w:r>
      <w:r w:rsidRPr="00D819F3">
        <w:br/>
        <w:t>do porządku, osoby zachowujące się w sposób naruszający porządek. Na sali obowiązuje zakaz korzystania z telefonów komórkowych.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714" w:hanging="357"/>
        <w:jc w:val="both"/>
      </w:pPr>
      <w:r w:rsidRPr="00D819F3">
        <w:t xml:space="preserve">Licytację wywołuje Licytator, podając do wiadomości uczestnikom przedmiot przetargu oraz jego cenę wywoławczą, a także </w:t>
      </w:r>
      <w:r>
        <w:t xml:space="preserve">informacje </w:t>
      </w:r>
      <w:r w:rsidRPr="00D819F3">
        <w:t>o przedmiocie przetargu, jego stanie prawnym i faktycznym.</w:t>
      </w:r>
    </w:p>
    <w:p w:rsidR="00C812E2" w:rsidRPr="00D819F3" w:rsidRDefault="00C812E2" w:rsidP="00C812E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Postąpienie nie może wynosić mniej niż jeden procent ceny wywoławczej. 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Uczestnicy przetargu zgłaszają ustnie kolejne postąpienia ceny, dopóki mimo trzykrotnego wywołania nie ma dalszych postąpień.</w:t>
      </w:r>
    </w:p>
    <w:p w:rsidR="00C812E2" w:rsidRPr="00D819F3" w:rsidRDefault="00C812E2" w:rsidP="00C812E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Po ustaniu postąpień Licytator, uprzedzając obecnych, po trzecim ogłoszeniu, zamyka przetarg i udziela przybicia oferentowi, który zaoferował najwyższą cenę. </w:t>
      </w:r>
    </w:p>
    <w:p w:rsidR="00C812E2" w:rsidRPr="00D819F3" w:rsidRDefault="00C812E2" w:rsidP="00C812E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Nabywca jest obowiązany zapłacić cenę nabycia najpóźniej w chwili zawarcia umowy Nabywca, który w terminie określonym w ust. 10 nie zapłaci ceny nabycia, traci prawa wynikające z przybicia oraz złożone wadium. </w:t>
      </w:r>
    </w:p>
    <w:p w:rsidR="00C812E2" w:rsidRPr="00D819F3" w:rsidRDefault="00C812E2" w:rsidP="00C812E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Wydanie przedmiotu sprzedaży Nabywcy następuje po zapłaceniu ceny nabycia, w terminie określonym umowie sprzedaży</w:t>
      </w:r>
      <w:r w:rsidR="00FD348C">
        <w:t xml:space="preserve">. </w:t>
      </w:r>
      <w:r w:rsidRPr="00D819F3">
        <w:t xml:space="preserve"> </w:t>
      </w:r>
    </w:p>
    <w:p w:rsidR="00C812E2" w:rsidRPr="008C0679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8C0679">
        <w:t>Przetarg jest ważny bez względu na liczbę uczestników, jeżeli chociaż jeden uczestnik zaoferował, co najmniej jedno postąpienie powyżej ceny wywoławczej.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Cena osiągnięta w przetargu stanowi cenę sprzedaży </w:t>
      </w:r>
      <w:r w:rsidR="00FD348C">
        <w:t>r</w:t>
      </w:r>
      <w:r w:rsidRPr="00D819F3">
        <w:t>uchomości.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Przetarg uważa się za zakończony wynikiem negatywnym, jeżeli żaden z uczestników przetargu nie zaoferował postąpienia ponad cenę wywoławczą powiększonej o jedno postąpienie oraz w sytuacji, gdy przetarg został ogłoszony prawidłowo i nikt do niego nie przystąpił.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Prowadzący przetarg może dla celów dokumentacyjnych dokonywać rejestracji przebiegu licytacji za pomocą urządzeń utrwalających obraz i dźwięk. Zapis z przebiegu licytacji będzie przechowywany przez Prowadzącego przetarg przez okres 10 lat od dnia przetarg, </w:t>
      </w:r>
      <w:r>
        <w:br/>
      </w:r>
      <w:r w:rsidRPr="00D819F3">
        <w:t>a po upływie tego terminu zostanie trwale zniszczony.</w:t>
      </w:r>
    </w:p>
    <w:p w:rsidR="00C812E2" w:rsidRPr="00D819F3" w:rsidRDefault="00C812E2" w:rsidP="00C812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Prowadzący</w:t>
      </w:r>
      <w:r>
        <w:t xml:space="preserve"> </w:t>
      </w:r>
      <w:r w:rsidRPr="00D819F3">
        <w:t>przetarg zastrzega sobie prawo do odwołania przetargu w każdym czasie bez podania przyczyn. O odwołaniu przetargu przed dniem jego przeprowadzenia Prowadzący przetarg informuje poprzez zamieszczenie stosownego komunikatu w siedzibie Spółki</w:t>
      </w:r>
      <w:r>
        <w:t xml:space="preserve"> </w:t>
      </w:r>
      <w:r w:rsidRPr="00D819F3">
        <w:t>oraz na jej stronie internetowej.</w:t>
      </w:r>
    </w:p>
    <w:p w:rsidR="007F4E5E" w:rsidRDefault="00C812E2" w:rsidP="007F4E5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tLeast"/>
        <w:jc w:val="both"/>
      </w:pPr>
      <w:r w:rsidRPr="00D819F3">
        <w:t>W przypadku odwołania przetargu w dniu jego przeprowadzenia, Prowadzący</w:t>
      </w:r>
      <w:r>
        <w:t xml:space="preserve"> </w:t>
      </w:r>
      <w:r w:rsidRPr="00D819F3">
        <w:t>przetarg przekazuje dodatkowo informację o odwołaniu przetargu przez ustne ogłoszenie w miejscu jego przeprowadzenia.</w:t>
      </w:r>
    </w:p>
    <w:p w:rsidR="00C812E2" w:rsidRPr="00D819F3" w:rsidRDefault="00C812E2" w:rsidP="00C812E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tLeast"/>
        <w:jc w:val="both"/>
      </w:pPr>
      <w:r w:rsidRPr="00D819F3">
        <w:t xml:space="preserve">W przypadku odwołania przetargu, osoby zamierzające w nim wziąć udział, a które nie dokonały jeszcze wpłaty wadium, wszelkie działania do czasu wpłaty wadium podejmują na własne ryzyko. </w:t>
      </w:r>
    </w:p>
    <w:p w:rsidR="00C812E2" w:rsidRPr="00D819F3" w:rsidRDefault="00C812E2" w:rsidP="00364E5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tLeast"/>
        <w:jc w:val="both"/>
      </w:pPr>
      <w:r w:rsidRPr="00D819F3">
        <w:t>Podmiotom, które wpłaciły wadium, w przypadku odwołania przetargu, wadium</w:t>
      </w:r>
      <w:r>
        <w:t xml:space="preserve"> </w:t>
      </w:r>
      <w:r w:rsidRPr="00D819F3">
        <w:t>jest zwracane niezwłocznie, jednak nie później niż przed upływem 3 dni od dnia poinformowania o odwołaniu przetargu.</w:t>
      </w:r>
      <w:r>
        <w:t xml:space="preserve"> </w:t>
      </w:r>
      <w:r w:rsidRPr="00D819F3">
        <w:t>Zwrot wadium wyczerpuje wszelkie roszczenia podmiotów, które wpłaciły wadium, wobec Prowadzącego przetarg.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D819F3">
        <w:rPr>
          <w:b/>
        </w:rPr>
        <w:t>§ 7</w:t>
      </w:r>
      <w:r w:rsidRPr="00D819F3">
        <w:rPr>
          <w:b/>
        </w:rPr>
        <w:br/>
        <w:t>Protokół z przebiegu licytacji</w:t>
      </w:r>
    </w:p>
    <w:p w:rsidR="00C812E2" w:rsidRPr="00D819F3" w:rsidRDefault="00C812E2" w:rsidP="00C812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Licytator sporządza protokół z przebiegu licytacji,</w:t>
      </w:r>
      <w:r>
        <w:t xml:space="preserve"> </w:t>
      </w:r>
      <w:r w:rsidRPr="00D819F3">
        <w:t>który zawiera w szczególności następujące informacje: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1) oznaczenie czasu i miejsca licytacji;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2) imię i nazwisko Licytatora;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3) przedmiot przetargu i wysokość ceny wywoławczej;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4) listę uczestników licytacji, z wyszczególnieniem wysokości i rodzaju wniesionego wadium;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5) imię, nazwisko i miejsce zamieszkania albo nazwę i siedzibę Nabywcy;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6) cenę zaoferowaną przez Nabywcę za składnik aktywów trwałych;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7) oznaczenie sumy, jaką Nabywca uiścił na poczet ceny;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8) wnioski i oświadczenia osób uczestniczących w licytacji;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9) wzmiankę o odczytaniu protokołu w obecności uczestników licytacji; 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10) podpis Licytatora oraz podpis Nabywcy albo wzmiankę o przyczynie braku jego podpisu. </w:t>
      </w:r>
    </w:p>
    <w:p w:rsidR="00C812E2" w:rsidRPr="00D819F3" w:rsidRDefault="00C812E2" w:rsidP="00C812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Protokół sporządza się w trzech jednobrzmiących egzemplarzach, z których dwa przeznaczone są dla Spółki, a jeden dla osoby, która przetarg wygrała. Protokół z przeprowadzonego przetargu podpisuje Licytator</w:t>
      </w:r>
      <w:r>
        <w:t xml:space="preserve"> </w:t>
      </w:r>
      <w:r w:rsidRPr="00D819F3">
        <w:t>oraz wyłoniony w drodze licytacji</w:t>
      </w:r>
      <w:r>
        <w:t xml:space="preserve"> </w:t>
      </w:r>
      <w:r w:rsidR="00980E27">
        <w:t xml:space="preserve">Nabywca </w:t>
      </w:r>
      <w:r w:rsidRPr="00D819F3">
        <w:t>ruchomości.</w:t>
      </w:r>
    </w:p>
    <w:p w:rsidR="00C812E2" w:rsidRPr="00D819F3" w:rsidRDefault="00C812E2" w:rsidP="00C812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Protokół z przeprowadzonego przetargu stanowi podstawę</w:t>
      </w:r>
      <w:r w:rsidR="00FD348C">
        <w:t xml:space="preserve"> do zawarcia umowy sprzedaży </w:t>
      </w:r>
      <w:r w:rsidRPr="00D819F3">
        <w:t>ruchomości będącej przedmiotem przetargu.</w:t>
      </w:r>
    </w:p>
    <w:p w:rsidR="00C812E2" w:rsidRPr="00D819F3" w:rsidRDefault="00C812E2" w:rsidP="00C812E2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D819F3">
        <w:rPr>
          <w:b/>
        </w:rPr>
        <w:t xml:space="preserve">§ 8 </w:t>
      </w:r>
      <w:r w:rsidRPr="00D819F3">
        <w:rPr>
          <w:b/>
        </w:rPr>
        <w:br/>
        <w:t>Zawarcie umowy</w:t>
      </w:r>
    </w:p>
    <w:p w:rsidR="00C812E2" w:rsidRPr="00D819F3" w:rsidRDefault="00C812E2" w:rsidP="00C81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W terminie 30 dni od dnia zamknięcia przetargu Spółka zawiadomi</w:t>
      </w:r>
      <w:r>
        <w:t xml:space="preserve"> </w:t>
      </w:r>
      <w:r w:rsidRPr="00D819F3">
        <w:t xml:space="preserve">Nabywcę o miejscu i terminie zawarcia umowy. Wyznaczony termin nie może być krótszy niż 7 dni od daty doręczenia zawiadomienia. </w:t>
      </w:r>
    </w:p>
    <w:p w:rsidR="00C812E2" w:rsidRPr="00D819F3" w:rsidRDefault="00C812E2" w:rsidP="00C812E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Nabywca jest zobowiązany do wpłaty całej ceny sprzedaży na wskazany rachunek bankowy Spółki</w:t>
      </w:r>
      <w:r>
        <w:t xml:space="preserve"> </w:t>
      </w:r>
      <w:r w:rsidRPr="00D819F3">
        <w:t>jednorazowo nie później niż w dniu zawarcia umowy sprzedaży przy czym jako termin wpłaty rozumiany jest termin uznania rachunku bankowego Spółki.</w:t>
      </w:r>
    </w:p>
    <w:p w:rsidR="00C812E2" w:rsidRPr="00D819F3" w:rsidRDefault="00C812E2" w:rsidP="00C81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Jeżeli Nabywca nie stawi się bez usprawiedliwienia</w:t>
      </w:r>
      <w:r>
        <w:t xml:space="preserve"> </w:t>
      </w:r>
      <w:r w:rsidRPr="00D819F3">
        <w:t>w miejscu i w terminie podanym w zawiadomieniu, o którym mowa w  ust. 1 lub nie dokona wpłaty całej ceny sprzedaży na wskazany rachunek bankowy w terminie, o którym mowa w ust. 2, Spółka może odstąpić od zawarcia umowy, a wpłacone wadium nie podlega zwrotowi i przepada na rzecz Spółki.</w:t>
      </w:r>
    </w:p>
    <w:p w:rsidR="00190A59" w:rsidRPr="00D819F3" w:rsidRDefault="00190A59" w:rsidP="00190A5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420"/>
        <w:jc w:val="both"/>
      </w:pPr>
    </w:p>
    <w:sectPr w:rsidR="00190A59" w:rsidRPr="00D819F3" w:rsidSect="007F4E5E">
      <w:footerReference w:type="default" r:id="rId7"/>
      <w:pgSz w:w="11906" w:h="16838"/>
      <w:pgMar w:top="993" w:right="1134" w:bottom="709" w:left="1134" w:header="426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AE" w:rsidRDefault="000044AE">
      <w:r>
        <w:separator/>
      </w:r>
    </w:p>
  </w:endnote>
  <w:endnote w:type="continuationSeparator" w:id="0">
    <w:p w:rsidR="000044AE" w:rsidRDefault="0000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D6" w:rsidRDefault="00197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str. </w:t>
    </w:r>
    <w:r w:rsidR="003A39E3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3A39E3">
      <w:rPr>
        <w:color w:val="000000"/>
        <w:sz w:val="16"/>
        <w:szCs w:val="16"/>
      </w:rPr>
      <w:fldChar w:fldCharType="separate"/>
    </w:r>
    <w:r w:rsidR="000044AE">
      <w:rPr>
        <w:noProof/>
        <w:color w:val="000000"/>
        <w:sz w:val="16"/>
        <w:szCs w:val="16"/>
      </w:rPr>
      <w:t>1</w:t>
    </w:r>
    <w:r w:rsidR="003A39E3">
      <w:rPr>
        <w:color w:val="000000"/>
        <w:sz w:val="16"/>
        <w:szCs w:val="16"/>
      </w:rPr>
      <w:fldChar w:fldCharType="end"/>
    </w:r>
  </w:p>
  <w:p w:rsidR="00144FD6" w:rsidRDefault="00144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AE" w:rsidRDefault="000044AE">
      <w:r>
        <w:separator/>
      </w:r>
    </w:p>
  </w:footnote>
  <w:footnote w:type="continuationSeparator" w:id="0">
    <w:p w:rsidR="000044AE" w:rsidRDefault="00004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A29"/>
    <w:multiLevelType w:val="multilevel"/>
    <w:tmpl w:val="5C6AC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FBF"/>
    <w:multiLevelType w:val="multilevel"/>
    <w:tmpl w:val="025AA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65CA"/>
    <w:multiLevelType w:val="multilevel"/>
    <w:tmpl w:val="7EF047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66D58"/>
    <w:multiLevelType w:val="hybridMultilevel"/>
    <w:tmpl w:val="8788DE96"/>
    <w:lvl w:ilvl="0" w:tplc="A28C86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215687"/>
    <w:multiLevelType w:val="multilevel"/>
    <w:tmpl w:val="60C24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B739D"/>
    <w:multiLevelType w:val="multilevel"/>
    <w:tmpl w:val="1BD89BB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ADE142E"/>
    <w:multiLevelType w:val="multilevel"/>
    <w:tmpl w:val="D1400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101EC"/>
    <w:multiLevelType w:val="hybridMultilevel"/>
    <w:tmpl w:val="4650E27A"/>
    <w:lvl w:ilvl="0" w:tplc="D4FC3D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7D449C"/>
    <w:multiLevelType w:val="multilevel"/>
    <w:tmpl w:val="8A7AD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A36F5"/>
    <w:multiLevelType w:val="multilevel"/>
    <w:tmpl w:val="0784D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73511"/>
    <w:multiLevelType w:val="hybridMultilevel"/>
    <w:tmpl w:val="E766D9DE"/>
    <w:lvl w:ilvl="0" w:tplc="FDD45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4FD6"/>
    <w:rsid w:val="000044AE"/>
    <w:rsid w:val="000704B6"/>
    <w:rsid w:val="00116CEA"/>
    <w:rsid w:val="00144FD6"/>
    <w:rsid w:val="00153B86"/>
    <w:rsid w:val="00190A59"/>
    <w:rsid w:val="0019759D"/>
    <w:rsid w:val="003249F4"/>
    <w:rsid w:val="00332DE4"/>
    <w:rsid w:val="00364E53"/>
    <w:rsid w:val="003A39E3"/>
    <w:rsid w:val="003B2714"/>
    <w:rsid w:val="0041619F"/>
    <w:rsid w:val="00445C1C"/>
    <w:rsid w:val="00462377"/>
    <w:rsid w:val="004727D2"/>
    <w:rsid w:val="004A6212"/>
    <w:rsid w:val="005223D2"/>
    <w:rsid w:val="005F64B3"/>
    <w:rsid w:val="006E4F82"/>
    <w:rsid w:val="00753D1F"/>
    <w:rsid w:val="007F4E5E"/>
    <w:rsid w:val="008E2FEE"/>
    <w:rsid w:val="00930912"/>
    <w:rsid w:val="00980E27"/>
    <w:rsid w:val="009B0771"/>
    <w:rsid w:val="009D24C3"/>
    <w:rsid w:val="009E4FCB"/>
    <w:rsid w:val="009F404E"/>
    <w:rsid w:val="00A2278A"/>
    <w:rsid w:val="00A727AD"/>
    <w:rsid w:val="00AE0491"/>
    <w:rsid w:val="00AF53B2"/>
    <w:rsid w:val="00BD6A8F"/>
    <w:rsid w:val="00BF7FE4"/>
    <w:rsid w:val="00C003C3"/>
    <w:rsid w:val="00C55A35"/>
    <w:rsid w:val="00C812E2"/>
    <w:rsid w:val="00D102CE"/>
    <w:rsid w:val="00E43855"/>
    <w:rsid w:val="00EF370B"/>
    <w:rsid w:val="00F31671"/>
    <w:rsid w:val="00FD348C"/>
    <w:rsid w:val="00FE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E0491"/>
  </w:style>
  <w:style w:type="paragraph" w:styleId="Nagwek1">
    <w:name w:val="heading 1"/>
    <w:basedOn w:val="Normalny"/>
    <w:next w:val="Normalny"/>
    <w:rsid w:val="00AE04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AE04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AE04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AE049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AE04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AE04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E04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E049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AE04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rsid w:val="00C812E2"/>
    <w:pPr>
      <w:widowControl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812E2"/>
    <w:pPr>
      <w:ind w:left="720"/>
      <w:contextualSpacing/>
    </w:pPr>
  </w:style>
  <w:style w:type="paragraph" w:customStyle="1" w:styleId="Normalny1">
    <w:name w:val="Normalny1"/>
    <w:rsid w:val="00190A59"/>
    <w:pPr>
      <w:widowControl/>
      <w:suppressAutoHyphens/>
    </w:pPr>
    <w:rPr>
      <w:rFonts w:eastAsia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rsid w:val="00C812E2"/>
    <w:pPr>
      <w:widowControl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81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2089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Prezes PKS</cp:lastModifiedBy>
  <cp:revision>2</cp:revision>
  <cp:lastPrinted>2019-12-05T19:02:00Z</cp:lastPrinted>
  <dcterms:created xsi:type="dcterms:W3CDTF">2020-10-09T09:42:00Z</dcterms:created>
  <dcterms:modified xsi:type="dcterms:W3CDTF">2020-10-09T09:42:00Z</dcterms:modified>
</cp:coreProperties>
</file>