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9BF" w:rsidRPr="001625F2" w:rsidRDefault="00FE69BF" w:rsidP="003C6C50">
      <w:pPr>
        <w:spacing w:after="120" w:line="240" w:lineRule="auto"/>
        <w:jc w:val="center"/>
        <w:rPr>
          <w:rFonts w:eastAsia="Calibri" w:cstheme="minorHAnsi"/>
          <w:b/>
        </w:rPr>
      </w:pPr>
      <w:r w:rsidRPr="001625F2">
        <w:rPr>
          <w:rFonts w:eastAsia="Calibri" w:cstheme="minorHAnsi"/>
          <w:b/>
        </w:rPr>
        <w:t>RAPORT Z</w:t>
      </w:r>
      <w:r w:rsidR="007C21BE" w:rsidRPr="001625F2">
        <w:rPr>
          <w:rFonts w:eastAsia="Calibri" w:cstheme="minorHAnsi"/>
          <w:b/>
        </w:rPr>
        <w:t xml:space="preserve"> </w:t>
      </w:r>
      <w:r w:rsidRPr="001625F2">
        <w:rPr>
          <w:rFonts w:eastAsia="Calibri" w:cstheme="minorHAnsi"/>
          <w:b/>
        </w:rPr>
        <w:t>OPINIOWANIA I KONSULTACJI PUBLICZNYCH</w:t>
      </w:r>
    </w:p>
    <w:p w:rsidR="00FE69BF" w:rsidRDefault="001A7167" w:rsidP="003C6C50">
      <w:pPr>
        <w:spacing w:after="120" w:line="240" w:lineRule="auto"/>
        <w:jc w:val="center"/>
        <w:rPr>
          <w:rFonts w:eastAsia="Calibri" w:cstheme="minorHAnsi"/>
          <w:b/>
          <w:lang w:bidi="pl-PL"/>
        </w:rPr>
      </w:pPr>
      <w:r w:rsidRPr="001A7167">
        <w:rPr>
          <w:rFonts w:eastAsia="Calibri" w:cstheme="minorHAnsi"/>
          <w:b/>
          <w:lang w:bidi="pl-PL"/>
        </w:rPr>
        <w:t>projekt</w:t>
      </w:r>
      <w:r w:rsidR="005F1ACD">
        <w:rPr>
          <w:rFonts w:eastAsia="Calibri" w:cstheme="minorHAnsi"/>
          <w:b/>
          <w:lang w:bidi="pl-PL"/>
        </w:rPr>
        <w:t>u</w:t>
      </w:r>
      <w:r w:rsidRPr="001A7167">
        <w:rPr>
          <w:rFonts w:eastAsia="Calibri" w:cstheme="minorHAnsi"/>
          <w:b/>
          <w:lang w:bidi="pl-PL"/>
        </w:rPr>
        <w:t xml:space="preserve"> rozporządzenia Prezesa Rady Ministrów zmieniającego rozporządzenie w sprawie wymagań technicznych dla dokumentów elektronicznych zawierających akty normatywne i inne akty prawne, dzienników urzędowych wydawanych w postaci elektronicznej oraz środków komunikacji elektronicznej i informatycznych nośników danych</w:t>
      </w:r>
    </w:p>
    <w:p w:rsidR="001A7167" w:rsidRPr="001625F2" w:rsidRDefault="001A7167" w:rsidP="003C6C50">
      <w:pPr>
        <w:spacing w:after="120" w:line="240" w:lineRule="auto"/>
        <w:jc w:val="center"/>
        <w:rPr>
          <w:rFonts w:eastAsia="Calibri" w:cstheme="minorHAnsi"/>
          <w:b/>
          <w:lang w:bidi="pl-PL"/>
        </w:rPr>
      </w:pPr>
    </w:p>
    <w:p w:rsidR="00FE69BF" w:rsidRPr="001625F2" w:rsidRDefault="00FE69BF" w:rsidP="003C6C50">
      <w:pPr>
        <w:numPr>
          <w:ilvl w:val="0"/>
          <w:numId w:val="3"/>
        </w:numPr>
        <w:spacing w:after="120" w:line="240" w:lineRule="auto"/>
        <w:jc w:val="both"/>
        <w:rPr>
          <w:rFonts w:cstheme="minorHAnsi"/>
          <w:b/>
          <w:lang w:bidi="pl-PL"/>
        </w:rPr>
      </w:pPr>
      <w:r w:rsidRPr="001625F2">
        <w:rPr>
          <w:rFonts w:cstheme="minorHAnsi"/>
          <w:b/>
          <w:lang w:bidi="pl-PL"/>
        </w:rPr>
        <w:t xml:space="preserve">Cel i obszar </w:t>
      </w:r>
      <w:r w:rsidR="00DF2519" w:rsidRPr="001625F2">
        <w:rPr>
          <w:rFonts w:cstheme="minorHAnsi"/>
          <w:b/>
          <w:lang w:bidi="pl-PL"/>
        </w:rPr>
        <w:t xml:space="preserve">opiniowania i </w:t>
      </w:r>
      <w:r w:rsidR="00AB27E9">
        <w:rPr>
          <w:rFonts w:cstheme="minorHAnsi"/>
          <w:b/>
          <w:lang w:bidi="pl-PL"/>
        </w:rPr>
        <w:t>konsultacji</w:t>
      </w:r>
    </w:p>
    <w:p w:rsidR="00FE69BF" w:rsidRPr="001625F2" w:rsidRDefault="00FE69BF" w:rsidP="003C6C50">
      <w:pPr>
        <w:spacing w:after="120" w:line="240" w:lineRule="auto"/>
        <w:jc w:val="both"/>
        <w:rPr>
          <w:rFonts w:cstheme="minorHAnsi"/>
          <w:lang w:bidi="pl-PL"/>
        </w:rPr>
      </w:pPr>
      <w:r w:rsidRPr="001625F2">
        <w:rPr>
          <w:rFonts w:cstheme="minorHAnsi"/>
          <w:lang w:bidi="pl-PL"/>
        </w:rPr>
        <w:t xml:space="preserve">Celem opiniowania i konsultacji publicznych było zapewnienie zainteresowanym podmiotom </w:t>
      </w:r>
      <w:r w:rsidR="00AB27E9">
        <w:rPr>
          <w:rFonts w:cstheme="minorHAnsi"/>
          <w:lang w:bidi="pl-PL"/>
        </w:rPr>
        <w:br/>
      </w:r>
      <w:r w:rsidRPr="001625F2">
        <w:rPr>
          <w:rFonts w:cstheme="minorHAnsi"/>
          <w:lang w:bidi="pl-PL"/>
        </w:rPr>
        <w:t xml:space="preserve">i organizacjom, możliwości wyrażenia opinii na temat rozwiązań zawartych w projekcie ww. </w:t>
      </w:r>
      <w:r w:rsidR="001A7167">
        <w:rPr>
          <w:rFonts w:cstheme="minorHAnsi"/>
          <w:lang w:bidi="pl-PL"/>
        </w:rPr>
        <w:t>rozporządzenia</w:t>
      </w:r>
      <w:r w:rsidRPr="001625F2">
        <w:rPr>
          <w:rFonts w:cstheme="minorHAnsi"/>
          <w:i/>
          <w:lang w:bidi="pl-PL"/>
        </w:rPr>
        <w:t xml:space="preserve"> </w:t>
      </w:r>
      <w:r w:rsidRPr="001625F2">
        <w:rPr>
          <w:rFonts w:cstheme="minorHAnsi"/>
          <w:lang w:bidi="pl-PL"/>
        </w:rPr>
        <w:t>oraz możliwości zgłoszenia uwag i wniosków dotyczących tego projektu.</w:t>
      </w:r>
    </w:p>
    <w:p w:rsidR="00FE69BF" w:rsidRPr="001625F2" w:rsidRDefault="00FE69BF" w:rsidP="003C6C50">
      <w:pPr>
        <w:numPr>
          <w:ilvl w:val="0"/>
          <w:numId w:val="3"/>
        </w:numPr>
        <w:spacing w:after="120" w:line="240" w:lineRule="auto"/>
        <w:jc w:val="both"/>
        <w:rPr>
          <w:rFonts w:cstheme="minorHAnsi"/>
          <w:b/>
          <w:lang w:bidi="pl-PL"/>
        </w:rPr>
      </w:pPr>
      <w:r w:rsidRPr="001625F2">
        <w:rPr>
          <w:rFonts w:cstheme="minorHAnsi"/>
          <w:b/>
          <w:lang w:bidi="pl-PL"/>
        </w:rPr>
        <w:t xml:space="preserve">Przebieg </w:t>
      </w:r>
      <w:r w:rsidR="005E3AAF" w:rsidRPr="001625F2">
        <w:rPr>
          <w:rFonts w:cstheme="minorHAnsi"/>
          <w:b/>
          <w:lang w:bidi="pl-PL"/>
        </w:rPr>
        <w:t xml:space="preserve">opiniowania i </w:t>
      </w:r>
      <w:r w:rsidR="00AB27E9">
        <w:rPr>
          <w:rFonts w:cstheme="minorHAnsi"/>
          <w:b/>
          <w:lang w:bidi="pl-PL"/>
        </w:rPr>
        <w:t>konsultacji</w:t>
      </w:r>
    </w:p>
    <w:p w:rsidR="00FE69BF" w:rsidRPr="001625F2" w:rsidRDefault="00FE69BF" w:rsidP="003C6C50">
      <w:pPr>
        <w:spacing w:after="120" w:line="240" w:lineRule="auto"/>
        <w:jc w:val="both"/>
        <w:rPr>
          <w:rFonts w:cstheme="minorHAnsi"/>
          <w:lang w:bidi="pl-PL"/>
        </w:rPr>
      </w:pPr>
      <w:r w:rsidRPr="001625F2">
        <w:rPr>
          <w:rFonts w:cstheme="minorHAnsi"/>
          <w:lang w:bidi="pl-PL"/>
        </w:rPr>
        <w:t xml:space="preserve">Konsultacje publiczne projektu wraz z </w:t>
      </w:r>
      <w:r w:rsidR="00AB27E9">
        <w:rPr>
          <w:rFonts w:cstheme="minorHAnsi"/>
          <w:lang w:bidi="pl-PL"/>
        </w:rPr>
        <w:t>opiniowaniem</w:t>
      </w:r>
      <w:r w:rsidRPr="001625F2">
        <w:rPr>
          <w:rFonts w:cstheme="minorHAnsi"/>
          <w:lang w:bidi="pl-PL"/>
        </w:rPr>
        <w:t xml:space="preserve"> były prowadzone w </w:t>
      </w:r>
      <w:r w:rsidR="001A7167">
        <w:rPr>
          <w:rFonts w:cstheme="minorHAnsi"/>
          <w:lang w:bidi="pl-PL"/>
        </w:rPr>
        <w:t>czerwcu</w:t>
      </w:r>
      <w:r w:rsidR="005868C5">
        <w:rPr>
          <w:rFonts w:cstheme="minorHAnsi"/>
          <w:lang w:bidi="pl-PL"/>
        </w:rPr>
        <w:t xml:space="preserve"> </w:t>
      </w:r>
      <w:r w:rsidRPr="001625F2">
        <w:rPr>
          <w:rFonts w:cstheme="minorHAnsi"/>
          <w:lang w:bidi="pl-PL"/>
        </w:rPr>
        <w:t>20</w:t>
      </w:r>
      <w:r w:rsidR="00E76536">
        <w:rPr>
          <w:rFonts w:cstheme="minorHAnsi"/>
          <w:lang w:bidi="pl-PL"/>
        </w:rPr>
        <w:t>2</w:t>
      </w:r>
      <w:r w:rsidR="001D504A">
        <w:rPr>
          <w:rFonts w:cstheme="minorHAnsi"/>
          <w:lang w:bidi="pl-PL"/>
        </w:rPr>
        <w:t>1</w:t>
      </w:r>
      <w:r w:rsidRPr="001625F2">
        <w:rPr>
          <w:rFonts w:cstheme="minorHAnsi"/>
          <w:lang w:bidi="pl-PL"/>
        </w:rPr>
        <w:t xml:space="preserve"> r. poprzez </w:t>
      </w:r>
      <w:r w:rsidR="0029330E">
        <w:rPr>
          <w:rFonts w:cstheme="minorHAnsi"/>
          <w:lang w:bidi="pl-PL"/>
        </w:rPr>
        <w:t xml:space="preserve">przekazanie </w:t>
      </w:r>
      <w:r w:rsidR="001D504A" w:rsidRPr="001D504A">
        <w:rPr>
          <w:rFonts w:cstheme="minorHAnsi"/>
          <w:lang w:bidi="pl-PL"/>
        </w:rPr>
        <w:t xml:space="preserve">21 czerwca br. </w:t>
      </w:r>
      <w:r w:rsidR="0029330E">
        <w:rPr>
          <w:rFonts w:cstheme="minorHAnsi"/>
          <w:lang w:bidi="pl-PL"/>
        </w:rPr>
        <w:t xml:space="preserve">projektu do </w:t>
      </w:r>
      <w:r w:rsidR="003828D6" w:rsidRPr="001625F2">
        <w:rPr>
          <w:rFonts w:cstheme="minorHAnsi"/>
          <w:lang w:bidi="pl-PL"/>
        </w:rPr>
        <w:t xml:space="preserve">wybranych podmiotów </w:t>
      </w:r>
      <w:r w:rsidR="0029330E">
        <w:rPr>
          <w:rFonts w:cstheme="minorHAnsi"/>
          <w:lang w:bidi="pl-PL"/>
        </w:rPr>
        <w:t xml:space="preserve">z terminem na zgłoszenie </w:t>
      </w:r>
      <w:r w:rsidR="00295548">
        <w:rPr>
          <w:rFonts w:cstheme="minorHAnsi"/>
          <w:lang w:bidi="pl-PL"/>
        </w:rPr>
        <w:t xml:space="preserve">uwag do </w:t>
      </w:r>
      <w:r w:rsidR="001D504A" w:rsidRPr="001D504A">
        <w:rPr>
          <w:rFonts w:cstheme="minorHAnsi"/>
          <w:lang w:bidi="pl-PL"/>
        </w:rPr>
        <w:t xml:space="preserve">2 lipca br., zaś konsultacji publicznych </w:t>
      </w:r>
      <w:r w:rsidR="00295548">
        <w:rPr>
          <w:rFonts w:cstheme="minorHAnsi"/>
          <w:lang w:bidi="pl-PL"/>
        </w:rPr>
        <w:t xml:space="preserve">do </w:t>
      </w:r>
      <w:r w:rsidR="001D504A" w:rsidRPr="001D504A">
        <w:rPr>
          <w:rFonts w:cstheme="minorHAnsi"/>
          <w:lang w:bidi="pl-PL"/>
        </w:rPr>
        <w:t>12 lipca br.</w:t>
      </w:r>
      <w:r w:rsidR="00295548">
        <w:rPr>
          <w:rFonts w:cstheme="minorHAnsi"/>
          <w:lang w:bidi="pl-PL"/>
        </w:rPr>
        <w:t xml:space="preserve"> Projekt został także </w:t>
      </w:r>
      <w:r w:rsidR="000E0437" w:rsidRPr="001625F2">
        <w:rPr>
          <w:rFonts w:cstheme="minorHAnsi"/>
          <w:lang w:bidi="pl-PL"/>
        </w:rPr>
        <w:t>zamieszcz</w:t>
      </w:r>
      <w:r w:rsidR="00295548">
        <w:rPr>
          <w:rFonts w:cstheme="minorHAnsi"/>
          <w:lang w:bidi="pl-PL"/>
        </w:rPr>
        <w:t>ony</w:t>
      </w:r>
      <w:r w:rsidR="000E0437" w:rsidRPr="001625F2">
        <w:rPr>
          <w:rFonts w:cstheme="minorHAnsi"/>
          <w:lang w:bidi="pl-PL"/>
        </w:rPr>
        <w:t xml:space="preserve"> wraz z </w:t>
      </w:r>
      <w:r w:rsidRPr="001625F2">
        <w:rPr>
          <w:rFonts w:cstheme="minorHAnsi"/>
          <w:lang w:bidi="pl-PL"/>
        </w:rPr>
        <w:t>uzasadnieniem i OSR na stronie internetowej</w:t>
      </w:r>
      <w:r w:rsidR="003828D6" w:rsidRPr="001625F2">
        <w:rPr>
          <w:rFonts w:cstheme="minorHAnsi"/>
          <w:lang w:bidi="pl-PL"/>
        </w:rPr>
        <w:t xml:space="preserve"> </w:t>
      </w:r>
      <w:r w:rsidR="00295548">
        <w:rPr>
          <w:rFonts w:cstheme="minorHAnsi"/>
          <w:lang w:bidi="pl-PL"/>
        </w:rPr>
        <w:t xml:space="preserve">KPRM </w:t>
      </w:r>
      <w:r w:rsidR="003828D6" w:rsidRPr="001625F2">
        <w:rPr>
          <w:rFonts w:cstheme="minorHAnsi"/>
          <w:lang w:bidi="pl-PL"/>
        </w:rPr>
        <w:t xml:space="preserve">oraz stronie </w:t>
      </w:r>
      <w:r w:rsidRPr="001625F2">
        <w:rPr>
          <w:rFonts w:cstheme="minorHAnsi"/>
          <w:lang w:bidi="pl-PL"/>
        </w:rPr>
        <w:t xml:space="preserve">Biuletynu Informacji Publicznej </w:t>
      </w:r>
      <w:r w:rsidR="003828D6" w:rsidRPr="001625F2">
        <w:rPr>
          <w:rFonts w:cstheme="minorHAnsi"/>
          <w:lang w:bidi="pl-PL"/>
        </w:rPr>
        <w:t>Ministra Cyfryzacji</w:t>
      </w:r>
      <w:r w:rsidR="009877FA">
        <w:rPr>
          <w:rFonts w:cstheme="minorHAnsi"/>
          <w:lang w:bidi="pl-PL"/>
        </w:rPr>
        <w:t>.</w:t>
      </w:r>
      <w:r w:rsidR="003828D6" w:rsidRPr="001625F2">
        <w:rPr>
          <w:rFonts w:cstheme="minorHAnsi"/>
          <w:lang w:bidi="pl-PL"/>
        </w:rPr>
        <w:t xml:space="preserve"> </w:t>
      </w:r>
    </w:p>
    <w:p w:rsidR="00FE69BF" w:rsidRPr="001625F2" w:rsidRDefault="00FE69BF" w:rsidP="003C6C50">
      <w:pPr>
        <w:pStyle w:val="Bezodstpw"/>
        <w:spacing w:after="120"/>
        <w:rPr>
          <w:rFonts w:cstheme="minorHAnsi"/>
          <w:lang w:bidi="pl-PL"/>
        </w:rPr>
      </w:pPr>
      <w:r w:rsidRPr="001625F2">
        <w:rPr>
          <w:rFonts w:cstheme="minorHAnsi"/>
          <w:lang w:bidi="pl-PL"/>
        </w:rPr>
        <w:t xml:space="preserve">Projekt w ramach opiniowania </w:t>
      </w:r>
      <w:r w:rsidR="00ED1507" w:rsidRPr="001625F2">
        <w:rPr>
          <w:rFonts w:cstheme="minorHAnsi"/>
          <w:lang w:bidi="pl-PL"/>
        </w:rPr>
        <w:t>otrzymali</w:t>
      </w:r>
      <w:r w:rsidRPr="001625F2">
        <w:rPr>
          <w:rFonts w:cstheme="minorHAnsi"/>
          <w:lang w:bidi="pl-PL"/>
        </w:rPr>
        <w:t>:</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Kancelaria Prezydenta RP;</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Kancelaria Sejmu RP;</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Kancelaria Senatu RP;</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Krajowa Rada Radiofonii i Telewizji;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Prokuratoria Generalna RP;</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Prezes Urzędu Ochrony Konkurencji i Konsumentów;</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Dolnośląski;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Kujawsko-Pomorski;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Lubelski;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Lubuski;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Łódzki;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Małopolski;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Mazowiecki;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Opolski;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Podkarpacki;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Podlaski;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Pomorski;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Śląski;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Świętokrzyski;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Warmińsko-Mazurski;</w:t>
      </w:r>
    </w:p>
    <w:p w:rsidR="00295548" w:rsidRPr="00295548" w:rsidRDefault="00295548" w:rsidP="003C6C50">
      <w:pPr>
        <w:pStyle w:val="Bezodstpw"/>
        <w:numPr>
          <w:ilvl w:val="0"/>
          <w:numId w:val="24"/>
        </w:numPr>
        <w:ind w:left="714" w:hanging="357"/>
        <w:rPr>
          <w:rFonts w:eastAsia="Calibri" w:cstheme="minorHAnsi"/>
          <w:color w:val="000000"/>
          <w:spacing w:val="-2"/>
        </w:rPr>
      </w:pPr>
      <w:r w:rsidRPr="00295548">
        <w:rPr>
          <w:rFonts w:eastAsia="Calibri" w:cstheme="minorHAnsi"/>
          <w:color w:val="000000"/>
          <w:spacing w:val="-2"/>
        </w:rPr>
        <w:t>Wojewoda Wielkopolski;</w:t>
      </w:r>
    </w:p>
    <w:p w:rsidR="00295548" w:rsidRDefault="00295548" w:rsidP="003C6C50">
      <w:pPr>
        <w:pStyle w:val="Bezodstpw"/>
        <w:numPr>
          <w:ilvl w:val="0"/>
          <w:numId w:val="24"/>
        </w:numPr>
        <w:spacing w:after="120"/>
        <w:ind w:left="714" w:hanging="357"/>
        <w:rPr>
          <w:rFonts w:eastAsia="Calibri" w:cstheme="minorHAnsi"/>
          <w:color w:val="000000"/>
          <w:spacing w:val="-2"/>
        </w:rPr>
      </w:pPr>
      <w:r w:rsidRPr="00295548">
        <w:rPr>
          <w:rFonts w:eastAsia="Calibri" w:cstheme="minorHAnsi"/>
          <w:color w:val="000000"/>
          <w:spacing w:val="-2"/>
        </w:rPr>
        <w:t>Wojewoda Zachodniopomorski.</w:t>
      </w:r>
    </w:p>
    <w:p w:rsidR="008E3C76" w:rsidRDefault="008E3C76" w:rsidP="003C6C50">
      <w:pPr>
        <w:pStyle w:val="Bezodstpw"/>
        <w:spacing w:after="120"/>
        <w:rPr>
          <w:rFonts w:cstheme="minorHAnsi"/>
          <w:lang w:bidi="pl-PL"/>
        </w:rPr>
      </w:pPr>
      <w:r w:rsidRPr="001625F2">
        <w:rPr>
          <w:rFonts w:cstheme="minorHAnsi"/>
          <w:lang w:bidi="pl-PL"/>
        </w:rPr>
        <w:t xml:space="preserve">Projekt w </w:t>
      </w:r>
      <w:r w:rsidRPr="005F1ACD">
        <w:rPr>
          <w:rFonts w:cstheme="minorHAnsi"/>
          <w:lang w:bidi="pl-PL"/>
        </w:rPr>
        <w:t xml:space="preserve">ramach </w:t>
      </w:r>
      <w:r w:rsidR="005F1ACD" w:rsidRPr="005F1ACD">
        <w:rPr>
          <w:rFonts w:cstheme="minorHAnsi"/>
          <w:lang w:bidi="pl-PL"/>
        </w:rPr>
        <w:t>konsultacji publicznych</w:t>
      </w:r>
      <w:r w:rsidRPr="001625F2">
        <w:rPr>
          <w:rFonts w:cstheme="minorHAnsi"/>
          <w:lang w:bidi="pl-PL"/>
        </w:rPr>
        <w:t xml:space="preserve"> otrzymali</w:t>
      </w:r>
      <w:r w:rsidR="00B76027">
        <w:rPr>
          <w:rFonts w:cstheme="minorHAnsi"/>
          <w:lang w:bidi="pl-PL"/>
        </w:rPr>
        <w:t>:</w:t>
      </w:r>
    </w:p>
    <w:p w:rsidR="005F1ACD" w:rsidRPr="005F1ACD" w:rsidRDefault="005F1ACD" w:rsidP="003C6C50">
      <w:pPr>
        <w:pStyle w:val="Bezodstpw"/>
        <w:ind w:firstLine="425"/>
        <w:rPr>
          <w:rFonts w:cstheme="minorHAnsi"/>
          <w:lang w:bidi="pl-PL"/>
        </w:rPr>
      </w:pPr>
      <w:r w:rsidRPr="005F1ACD">
        <w:rPr>
          <w:rFonts w:cstheme="minorHAnsi"/>
          <w:lang w:bidi="pl-PL"/>
        </w:rPr>
        <w:t>1) Polska Izba Informatyki i Telekomunikacji,</w:t>
      </w:r>
    </w:p>
    <w:p w:rsidR="005F1ACD" w:rsidRPr="005F1ACD" w:rsidRDefault="005F1ACD" w:rsidP="003C6C50">
      <w:pPr>
        <w:pStyle w:val="Bezodstpw"/>
        <w:ind w:firstLine="425"/>
        <w:rPr>
          <w:rFonts w:cstheme="minorHAnsi"/>
          <w:lang w:bidi="pl-PL"/>
        </w:rPr>
      </w:pPr>
      <w:r w:rsidRPr="005F1ACD">
        <w:rPr>
          <w:rFonts w:cstheme="minorHAnsi"/>
          <w:lang w:bidi="pl-PL"/>
        </w:rPr>
        <w:t>2) Krajowa Izba Gospodarcza Elektroniki i Telekomunikacji,</w:t>
      </w:r>
    </w:p>
    <w:p w:rsidR="005F1ACD" w:rsidRPr="005F1ACD" w:rsidRDefault="005F1ACD" w:rsidP="003C6C50">
      <w:pPr>
        <w:pStyle w:val="Bezodstpw"/>
        <w:ind w:firstLine="425"/>
        <w:rPr>
          <w:rFonts w:cstheme="minorHAnsi"/>
          <w:lang w:bidi="pl-PL"/>
        </w:rPr>
      </w:pPr>
      <w:r w:rsidRPr="005F1ACD">
        <w:rPr>
          <w:rFonts w:cstheme="minorHAnsi"/>
          <w:lang w:bidi="pl-PL"/>
        </w:rPr>
        <w:t>3) Polska Izba Komunikacji Elektronicznej,</w:t>
      </w:r>
    </w:p>
    <w:p w:rsidR="005F1ACD" w:rsidRPr="005F1ACD" w:rsidRDefault="005F1ACD" w:rsidP="003C6C50">
      <w:pPr>
        <w:pStyle w:val="Bezodstpw"/>
        <w:ind w:firstLine="425"/>
        <w:rPr>
          <w:rFonts w:cstheme="minorHAnsi"/>
          <w:lang w:bidi="pl-PL"/>
        </w:rPr>
      </w:pPr>
      <w:r w:rsidRPr="005F1ACD">
        <w:rPr>
          <w:rFonts w:cstheme="minorHAnsi"/>
          <w:lang w:bidi="pl-PL"/>
        </w:rPr>
        <w:t>4) Krajowa Izba Gospodarcza,</w:t>
      </w:r>
    </w:p>
    <w:p w:rsidR="005F1ACD" w:rsidRPr="005F1ACD" w:rsidRDefault="005F1ACD" w:rsidP="003C6C50">
      <w:pPr>
        <w:pStyle w:val="Bezodstpw"/>
        <w:ind w:firstLine="425"/>
        <w:rPr>
          <w:rFonts w:cstheme="minorHAnsi"/>
          <w:lang w:bidi="pl-PL"/>
        </w:rPr>
      </w:pPr>
      <w:r w:rsidRPr="005F1ACD">
        <w:rPr>
          <w:rFonts w:cstheme="minorHAnsi"/>
          <w:lang w:bidi="pl-PL"/>
        </w:rPr>
        <w:t>5) Krajowa Izba Komunikacji Ethernetowej,</w:t>
      </w:r>
    </w:p>
    <w:p w:rsidR="005F1ACD" w:rsidRPr="005F1ACD" w:rsidRDefault="005F1ACD" w:rsidP="003C6C50">
      <w:pPr>
        <w:pStyle w:val="Bezodstpw"/>
        <w:ind w:firstLine="425"/>
        <w:rPr>
          <w:rFonts w:cstheme="minorHAnsi"/>
          <w:lang w:bidi="pl-PL"/>
        </w:rPr>
      </w:pPr>
      <w:r w:rsidRPr="005F1ACD">
        <w:rPr>
          <w:rFonts w:cstheme="minorHAnsi"/>
          <w:lang w:bidi="pl-PL"/>
        </w:rPr>
        <w:t>6) Polska Izba Handlu,</w:t>
      </w:r>
    </w:p>
    <w:p w:rsidR="005F1ACD" w:rsidRPr="005F1ACD" w:rsidRDefault="005F1ACD" w:rsidP="003C6C50">
      <w:pPr>
        <w:pStyle w:val="Bezodstpw"/>
        <w:ind w:firstLine="425"/>
        <w:rPr>
          <w:rFonts w:cstheme="minorHAnsi"/>
          <w:lang w:bidi="pl-PL"/>
        </w:rPr>
      </w:pPr>
      <w:r w:rsidRPr="005F1ACD">
        <w:rPr>
          <w:rFonts w:cstheme="minorHAnsi"/>
          <w:lang w:bidi="pl-PL"/>
        </w:rPr>
        <w:t>7) Fundacja Bezpieczna Cyberprzestrzeń,</w:t>
      </w:r>
    </w:p>
    <w:p w:rsidR="005F1ACD" w:rsidRPr="005F1ACD" w:rsidRDefault="005F1ACD" w:rsidP="003C6C50">
      <w:pPr>
        <w:pStyle w:val="Bezodstpw"/>
        <w:ind w:firstLine="425"/>
        <w:rPr>
          <w:rFonts w:cstheme="minorHAnsi"/>
          <w:lang w:bidi="pl-PL"/>
        </w:rPr>
      </w:pPr>
      <w:r w:rsidRPr="005F1ACD">
        <w:rPr>
          <w:rFonts w:cstheme="minorHAnsi"/>
          <w:lang w:bidi="pl-PL"/>
        </w:rPr>
        <w:t>8) Polskie Towarzystwo Informatyczne,</w:t>
      </w:r>
      <w:bookmarkStart w:id="0" w:name="_GoBack"/>
      <w:bookmarkEnd w:id="0"/>
    </w:p>
    <w:p w:rsidR="005F1ACD" w:rsidRPr="005F1ACD" w:rsidRDefault="005F1ACD" w:rsidP="003C6C50">
      <w:pPr>
        <w:pStyle w:val="Bezodstpw"/>
        <w:ind w:firstLine="425"/>
        <w:rPr>
          <w:rFonts w:cstheme="minorHAnsi"/>
          <w:lang w:bidi="pl-PL"/>
        </w:rPr>
      </w:pPr>
      <w:r w:rsidRPr="005F1ACD">
        <w:rPr>
          <w:rFonts w:cstheme="minorHAnsi"/>
          <w:lang w:bidi="pl-PL"/>
        </w:rPr>
        <w:t>9) Fundacja Nowoczesna Polska,</w:t>
      </w:r>
    </w:p>
    <w:p w:rsidR="005F1ACD" w:rsidRPr="005F1ACD" w:rsidRDefault="005F1ACD" w:rsidP="003C6C50">
      <w:pPr>
        <w:pStyle w:val="Bezodstpw"/>
        <w:ind w:firstLine="425"/>
        <w:rPr>
          <w:rFonts w:cstheme="minorHAnsi"/>
          <w:lang w:bidi="pl-PL"/>
        </w:rPr>
      </w:pPr>
      <w:r w:rsidRPr="005F1ACD">
        <w:rPr>
          <w:rFonts w:cstheme="minorHAnsi"/>
          <w:lang w:bidi="pl-PL"/>
        </w:rPr>
        <w:t>10) Fundacja Projekt Polska,</w:t>
      </w:r>
    </w:p>
    <w:p w:rsidR="005F1ACD" w:rsidRPr="005F1ACD" w:rsidRDefault="005F1ACD" w:rsidP="003C6C50">
      <w:pPr>
        <w:pStyle w:val="Bezodstpw"/>
        <w:ind w:firstLine="425"/>
        <w:rPr>
          <w:rFonts w:cstheme="minorHAnsi"/>
          <w:lang w:bidi="pl-PL"/>
        </w:rPr>
      </w:pPr>
      <w:r w:rsidRPr="005F1ACD">
        <w:rPr>
          <w:rFonts w:cstheme="minorHAnsi"/>
          <w:lang w:bidi="pl-PL"/>
        </w:rPr>
        <w:lastRenderedPageBreak/>
        <w:t>11) Internet Society Poland,</w:t>
      </w:r>
    </w:p>
    <w:p w:rsidR="005F1ACD" w:rsidRPr="005F1ACD" w:rsidRDefault="005F1ACD" w:rsidP="003C6C50">
      <w:pPr>
        <w:pStyle w:val="Bezodstpw"/>
        <w:ind w:firstLine="425"/>
        <w:rPr>
          <w:rFonts w:cstheme="minorHAnsi"/>
          <w:lang w:bidi="pl-PL"/>
        </w:rPr>
      </w:pPr>
      <w:r w:rsidRPr="005F1ACD">
        <w:rPr>
          <w:rFonts w:cstheme="minorHAnsi"/>
          <w:lang w:bidi="pl-PL"/>
        </w:rPr>
        <w:t>12) Fundacja Panoptykon,</w:t>
      </w:r>
    </w:p>
    <w:p w:rsidR="005F1ACD" w:rsidRPr="005F1ACD" w:rsidRDefault="005F1ACD" w:rsidP="003C6C50">
      <w:pPr>
        <w:pStyle w:val="Bezodstpw"/>
        <w:ind w:firstLine="425"/>
        <w:rPr>
          <w:rFonts w:cstheme="minorHAnsi"/>
          <w:lang w:bidi="pl-PL"/>
        </w:rPr>
      </w:pPr>
      <w:r w:rsidRPr="005F1ACD">
        <w:rPr>
          <w:rFonts w:cstheme="minorHAnsi"/>
          <w:lang w:bidi="pl-PL"/>
        </w:rPr>
        <w:t>13) Związek Pracodawców Branży Internetowej IAB Polska,</w:t>
      </w:r>
    </w:p>
    <w:p w:rsidR="005F1ACD" w:rsidRPr="005F1ACD" w:rsidRDefault="005F1ACD" w:rsidP="003C6C50">
      <w:pPr>
        <w:pStyle w:val="Bezodstpw"/>
        <w:ind w:firstLine="425"/>
        <w:rPr>
          <w:rFonts w:cstheme="minorHAnsi"/>
          <w:lang w:bidi="pl-PL"/>
        </w:rPr>
      </w:pPr>
      <w:r w:rsidRPr="005F1ACD">
        <w:rPr>
          <w:rFonts w:cstheme="minorHAnsi"/>
          <w:lang w:bidi="pl-PL"/>
        </w:rPr>
        <w:t>14) Krajowa Izba Rozliczeniowa S.A.</w:t>
      </w:r>
    </w:p>
    <w:p w:rsidR="005F1ACD" w:rsidRPr="005F1ACD" w:rsidRDefault="005F1ACD" w:rsidP="003C6C50">
      <w:pPr>
        <w:pStyle w:val="Bezodstpw"/>
        <w:ind w:firstLine="425"/>
        <w:rPr>
          <w:rFonts w:cstheme="minorHAnsi"/>
          <w:lang w:bidi="pl-PL"/>
        </w:rPr>
      </w:pPr>
      <w:r w:rsidRPr="005F1ACD">
        <w:rPr>
          <w:rFonts w:cstheme="minorHAnsi"/>
          <w:lang w:bidi="pl-PL"/>
        </w:rPr>
        <w:t>15) Polska Wytwórnia Papierów Wartościowych S.A.,</w:t>
      </w:r>
    </w:p>
    <w:p w:rsidR="005F1ACD" w:rsidRPr="005F1ACD" w:rsidRDefault="005F1ACD" w:rsidP="003C6C50">
      <w:pPr>
        <w:pStyle w:val="Bezodstpw"/>
        <w:ind w:firstLine="425"/>
        <w:rPr>
          <w:rFonts w:cstheme="minorHAnsi"/>
          <w:lang w:bidi="pl-PL"/>
        </w:rPr>
      </w:pPr>
      <w:r w:rsidRPr="005F1ACD">
        <w:rPr>
          <w:rFonts w:cstheme="minorHAnsi"/>
          <w:lang w:bidi="pl-PL"/>
        </w:rPr>
        <w:t>16) ABC PRO sp. z.o.o.,</w:t>
      </w:r>
    </w:p>
    <w:p w:rsidR="005F1ACD" w:rsidRPr="005F1ACD" w:rsidRDefault="005F1ACD" w:rsidP="003C6C50">
      <w:pPr>
        <w:pStyle w:val="Bezodstpw"/>
        <w:ind w:firstLine="425"/>
        <w:rPr>
          <w:rFonts w:cstheme="minorHAnsi"/>
          <w:lang w:bidi="pl-PL"/>
        </w:rPr>
      </w:pPr>
      <w:r w:rsidRPr="005F1ACD">
        <w:rPr>
          <w:rFonts w:cstheme="minorHAnsi"/>
          <w:lang w:bidi="pl-PL"/>
        </w:rPr>
        <w:t>17) EXATEL S.A.,</w:t>
      </w:r>
    </w:p>
    <w:p w:rsidR="005F1ACD" w:rsidRPr="005F1ACD" w:rsidRDefault="005F1ACD" w:rsidP="003C6C50">
      <w:pPr>
        <w:pStyle w:val="Bezodstpw"/>
        <w:spacing w:after="120"/>
        <w:ind w:firstLine="425"/>
        <w:rPr>
          <w:rFonts w:cstheme="minorHAnsi"/>
          <w:lang w:bidi="pl-PL"/>
        </w:rPr>
      </w:pPr>
      <w:r w:rsidRPr="005F1ACD">
        <w:rPr>
          <w:rFonts w:cstheme="minorHAnsi"/>
          <w:lang w:bidi="pl-PL"/>
        </w:rPr>
        <w:t>18) Asseco Data System S.A.</w:t>
      </w:r>
    </w:p>
    <w:p w:rsidR="00B011D0" w:rsidRPr="000647EC" w:rsidRDefault="000620C0" w:rsidP="003C6C50">
      <w:pPr>
        <w:pStyle w:val="Bezodstpw"/>
        <w:spacing w:after="120"/>
        <w:rPr>
          <w:rFonts w:cstheme="minorHAnsi"/>
          <w:lang w:bidi="pl-PL"/>
        </w:rPr>
      </w:pPr>
      <w:r w:rsidRPr="001625F2">
        <w:rPr>
          <w:rFonts w:cstheme="minorHAnsi"/>
          <w:lang w:bidi="pl-PL"/>
        </w:rPr>
        <w:t xml:space="preserve">Opinie i uwagi podmiotów i organizacji biorących udział w procesie </w:t>
      </w:r>
      <w:r w:rsidR="009877FA">
        <w:rPr>
          <w:rFonts w:cstheme="minorHAnsi"/>
          <w:lang w:bidi="pl-PL"/>
        </w:rPr>
        <w:t xml:space="preserve">opiniowania i </w:t>
      </w:r>
      <w:r w:rsidRPr="001625F2">
        <w:rPr>
          <w:rFonts w:cstheme="minorHAnsi"/>
          <w:lang w:bidi="pl-PL"/>
        </w:rPr>
        <w:t>konsultacji publicznych mogły być zgłaszane zarówno w formie pisemnej</w:t>
      </w:r>
      <w:r w:rsidR="003C6C50">
        <w:rPr>
          <w:rFonts w:cstheme="minorHAnsi"/>
          <w:lang w:bidi="pl-PL"/>
        </w:rPr>
        <w:t>,</w:t>
      </w:r>
      <w:r w:rsidRPr="001625F2">
        <w:rPr>
          <w:rFonts w:cstheme="minorHAnsi"/>
          <w:lang w:bidi="pl-PL"/>
        </w:rPr>
        <w:t xml:space="preserve"> jak i elektronicznej na adres poczty elektronicznej</w:t>
      </w:r>
      <w:r w:rsidR="00B011D0" w:rsidRPr="000647EC">
        <w:rPr>
          <w:rFonts w:cstheme="minorHAnsi"/>
          <w:u w:val="single"/>
          <w:lang w:bidi="pl-PL"/>
        </w:rPr>
        <w:t>.</w:t>
      </w:r>
    </w:p>
    <w:p w:rsidR="003F4982" w:rsidRPr="003F4982" w:rsidRDefault="00AB27E9" w:rsidP="003C6C50">
      <w:pPr>
        <w:spacing w:after="120" w:line="240" w:lineRule="auto"/>
        <w:jc w:val="both"/>
        <w:rPr>
          <w:rFonts w:cstheme="minorHAnsi"/>
          <w:lang w:bidi="pl-PL"/>
        </w:rPr>
      </w:pPr>
      <w:r w:rsidRPr="001625F2">
        <w:rPr>
          <w:rFonts w:cstheme="minorHAnsi"/>
          <w:lang w:bidi="pl-PL"/>
        </w:rPr>
        <w:t xml:space="preserve">W procedurze opiniowania </w:t>
      </w:r>
      <w:r w:rsidR="00B011D0">
        <w:rPr>
          <w:rFonts w:cstheme="minorHAnsi"/>
          <w:lang w:bidi="pl-PL"/>
        </w:rPr>
        <w:t xml:space="preserve">uwagi zgłosił Wojewoda </w:t>
      </w:r>
      <w:r w:rsidR="003F4982">
        <w:rPr>
          <w:rFonts w:cstheme="minorHAnsi"/>
          <w:lang w:bidi="pl-PL"/>
        </w:rPr>
        <w:t>Lubelski,</w:t>
      </w:r>
      <w:r w:rsidR="00B011D0">
        <w:rPr>
          <w:rFonts w:cstheme="minorHAnsi"/>
          <w:lang w:bidi="pl-PL"/>
        </w:rPr>
        <w:t xml:space="preserve"> </w:t>
      </w:r>
      <w:r w:rsidR="003F4982" w:rsidRPr="003F4982">
        <w:rPr>
          <w:rFonts w:cstheme="minorHAnsi"/>
          <w:lang w:bidi="pl-PL"/>
        </w:rPr>
        <w:t>propon</w:t>
      </w:r>
      <w:r w:rsidR="003F4982">
        <w:rPr>
          <w:rFonts w:cstheme="minorHAnsi"/>
          <w:lang w:bidi="pl-PL"/>
        </w:rPr>
        <w:t>ując</w:t>
      </w:r>
      <w:r w:rsidR="003F4982" w:rsidRPr="003F4982">
        <w:rPr>
          <w:rFonts w:cstheme="minorHAnsi"/>
          <w:lang w:bidi="pl-PL"/>
        </w:rPr>
        <w:t xml:space="preserve"> uregulowanie, że przekazywany do publikacji akt prawny w formacie pdf powinien być z OCR-owany. W odpowiedzi </w:t>
      </w:r>
      <w:r w:rsidR="003F4982">
        <w:rPr>
          <w:rFonts w:cstheme="minorHAnsi"/>
          <w:lang w:bidi="pl-PL"/>
        </w:rPr>
        <w:t xml:space="preserve">na powyższą uwagę Minister Cyfryzacji </w:t>
      </w:r>
      <w:r w:rsidR="003F4982" w:rsidRPr="003F4982">
        <w:rPr>
          <w:rFonts w:cstheme="minorHAnsi"/>
          <w:lang w:bidi="pl-PL"/>
        </w:rPr>
        <w:t>wyjaśni</w:t>
      </w:r>
      <w:r w:rsidR="00770F0A">
        <w:rPr>
          <w:rFonts w:cstheme="minorHAnsi"/>
          <w:lang w:bidi="pl-PL"/>
        </w:rPr>
        <w:t>ł</w:t>
      </w:r>
      <w:r w:rsidR="003F4982" w:rsidRPr="003F4982">
        <w:rPr>
          <w:rFonts w:cstheme="minorHAnsi"/>
          <w:lang w:bidi="pl-PL"/>
        </w:rPr>
        <w:t>, że:</w:t>
      </w:r>
    </w:p>
    <w:p w:rsidR="003F4982" w:rsidRPr="003F4982" w:rsidRDefault="003F4982" w:rsidP="003C6C50">
      <w:pPr>
        <w:numPr>
          <w:ilvl w:val="1"/>
          <w:numId w:val="28"/>
        </w:numPr>
        <w:spacing w:after="120" w:line="240" w:lineRule="auto"/>
        <w:ind w:left="709" w:hanging="709"/>
        <w:jc w:val="both"/>
        <w:rPr>
          <w:rFonts w:cstheme="minorHAnsi"/>
          <w:lang w:bidi="pl-PL"/>
        </w:rPr>
      </w:pPr>
      <w:r w:rsidRPr="003F4982">
        <w:rPr>
          <w:rFonts w:cstheme="minorHAnsi"/>
          <w:lang w:bidi="pl-PL"/>
        </w:rPr>
        <w:t>projekt nie zmienia przepisów określających formaty plików</w:t>
      </w:r>
      <w:r w:rsidR="00770F0A">
        <w:rPr>
          <w:rFonts w:cstheme="minorHAnsi"/>
          <w:lang w:bidi="pl-PL"/>
        </w:rPr>
        <w:t>,</w:t>
      </w:r>
      <w:r w:rsidRPr="003F4982">
        <w:rPr>
          <w:rFonts w:cstheme="minorHAnsi"/>
          <w:lang w:bidi="pl-PL"/>
        </w:rPr>
        <w:t xml:space="preserve"> w jakich mają być przekazywane do ogłoszenia akty prawne - załączniki do aktów prawnych mogą i mogły być przekazywane w formacie PDF,</w:t>
      </w:r>
    </w:p>
    <w:p w:rsidR="003F4982" w:rsidRPr="003F4982" w:rsidRDefault="003F4982" w:rsidP="003C6C50">
      <w:pPr>
        <w:numPr>
          <w:ilvl w:val="1"/>
          <w:numId w:val="28"/>
        </w:numPr>
        <w:spacing w:after="120" w:line="240" w:lineRule="auto"/>
        <w:ind w:left="709" w:hanging="709"/>
        <w:jc w:val="both"/>
        <w:rPr>
          <w:rFonts w:cstheme="minorHAnsi"/>
          <w:lang w:bidi="pl-PL"/>
        </w:rPr>
      </w:pPr>
      <w:r w:rsidRPr="003F4982">
        <w:rPr>
          <w:rFonts w:cstheme="minorHAnsi"/>
          <w:lang w:bidi="pl-PL"/>
        </w:rPr>
        <w:t>celem zmiany jest umożliwienie przyjęcia przez organ wydający dziennik urzędowy aktu, którego załącznik został podpisany w formacie PADES (domyślnie programy do podpisu mogą mieć ustawioną opcję podpisywania plików PDF właśnie w tym formacie),</w:t>
      </w:r>
    </w:p>
    <w:p w:rsidR="003F4982" w:rsidRPr="003F4982" w:rsidRDefault="003F4982" w:rsidP="003C6C50">
      <w:pPr>
        <w:numPr>
          <w:ilvl w:val="1"/>
          <w:numId w:val="28"/>
        </w:numPr>
        <w:spacing w:after="120" w:line="240" w:lineRule="auto"/>
        <w:ind w:left="709" w:hanging="709"/>
        <w:jc w:val="both"/>
        <w:rPr>
          <w:rFonts w:cstheme="minorHAnsi"/>
          <w:lang w:bidi="pl-PL"/>
        </w:rPr>
      </w:pPr>
      <w:r w:rsidRPr="003F4982">
        <w:rPr>
          <w:rFonts w:cstheme="minorHAnsi"/>
          <w:lang w:bidi="pl-PL"/>
        </w:rPr>
        <w:t>przygotowanie do ogłoszenia w makiecie dziennika urzędowego aktu, którego pliki zostały podpisane w formacie PADES może być czasochłonne i skomplikowane, dlatego należy postawić organowi wydającemu dziennik prawo domagania się plików popisanych w formacie XADES (PDF może zostać podpisany także w tym formacie),</w:t>
      </w:r>
    </w:p>
    <w:p w:rsidR="003F4982" w:rsidRPr="003F4982" w:rsidRDefault="003F4982" w:rsidP="003C6C50">
      <w:pPr>
        <w:numPr>
          <w:ilvl w:val="1"/>
          <w:numId w:val="28"/>
        </w:numPr>
        <w:spacing w:after="120" w:line="240" w:lineRule="auto"/>
        <w:ind w:left="709" w:hanging="709"/>
        <w:jc w:val="both"/>
        <w:rPr>
          <w:rFonts w:cstheme="minorHAnsi"/>
          <w:lang w:bidi="pl-PL"/>
        </w:rPr>
      </w:pPr>
      <w:r w:rsidRPr="003F4982">
        <w:rPr>
          <w:rFonts w:cstheme="minorHAnsi"/>
          <w:lang w:bidi="pl-PL"/>
        </w:rPr>
        <w:t>zmiana nie określa warunków dla samego pliku PDF - w uwagi wynika, że autor ma na myśli skan dokumentu papierowego (OCR służy do optycznego rozpoznawania tekstu) wydaje się jednak, że przypadki takiego przygotowywania aktu do ogłoszenia są już rzadkością (do publikacji w Dzienniku Ustaw i Monitorze Polskim na ogół kierowane są pliki opracowane w</w:t>
      </w:r>
      <w:r w:rsidR="000647EC">
        <w:rPr>
          <w:rFonts w:cstheme="minorHAnsi"/>
          <w:lang w:bidi="pl-PL"/>
        </w:rPr>
        <w:t> </w:t>
      </w:r>
      <w:r w:rsidRPr="003F4982">
        <w:rPr>
          <w:rFonts w:cstheme="minorHAnsi"/>
          <w:lang w:bidi="pl-PL"/>
        </w:rPr>
        <w:t>edytorze tekstu i zapisane w formacie PDF); niezależnie od tego przetwarzanie OCR budzi wątpliwości – w przypadku gdy przekazany PDF jest faktycznie skanem jego „OCR-owanie” może spowodować wątpliwości interpretacyjne, istnieje bowiem duże ryzyko błędów w</w:t>
      </w:r>
      <w:r w:rsidR="000647EC">
        <w:rPr>
          <w:rFonts w:cstheme="minorHAnsi"/>
          <w:lang w:bidi="pl-PL"/>
        </w:rPr>
        <w:t> </w:t>
      </w:r>
      <w:r w:rsidRPr="003F4982">
        <w:rPr>
          <w:rFonts w:cstheme="minorHAnsi"/>
          <w:lang w:bidi="pl-PL"/>
        </w:rPr>
        <w:t>rozpoznanym tekście.</w:t>
      </w:r>
    </w:p>
    <w:p w:rsidR="003F4982" w:rsidRPr="003F4982" w:rsidRDefault="003F4982" w:rsidP="003C6C50">
      <w:pPr>
        <w:numPr>
          <w:ilvl w:val="1"/>
          <w:numId w:val="28"/>
        </w:numPr>
        <w:spacing w:after="120" w:line="240" w:lineRule="auto"/>
        <w:ind w:left="709" w:hanging="709"/>
        <w:jc w:val="both"/>
        <w:rPr>
          <w:rFonts w:cstheme="minorHAnsi"/>
          <w:lang w:bidi="pl-PL"/>
        </w:rPr>
      </w:pPr>
      <w:r w:rsidRPr="003F4982">
        <w:rPr>
          <w:rFonts w:cstheme="minorHAnsi"/>
          <w:lang w:bidi="pl-PL"/>
        </w:rPr>
        <w:t>na format PDF przekazanego pliku większy wpływ mogą mieć natomiast przepisy do dostępności (WCAG) – projekt aktu powinien być bowiem udostępniony na stronach internetowych, do których te przepisy się odnoszą (ustawa z dnia 4 kwietnia 2019 r. o</w:t>
      </w:r>
      <w:r w:rsidR="000647EC">
        <w:rPr>
          <w:rFonts w:cstheme="minorHAnsi"/>
          <w:lang w:bidi="pl-PL"/>
        </w:rPr>
        <w:t> </w:t>
      </w:r>
      <w:r w:rsidRPr="003F4982">
        <w:rPr>
          <w:rFonts w:cstheme="minorHAnsi"/>
          <w:lang w:bidi="pl-PL"/>
        </w:rPr>
        <w:t>dostępności cyfrowej stron internetowych i aplikacji mobilnych podmiotów publicznych Dz.</w:t>
      </w:r>
      <w:r w:rsidR="000647EC">
        <w:rPr>
          <w:rFonts w:cstheme="minorHAnsi"/>
          <w:lang w:bidi="pl-PL"/>
        </w:rPr>
        <w:t> </w:t>
      </w:r>
      <w:r w:rsidRPr="003F4982">
        <w:rPr>
          <w:rFonts w:cstheme="minorHAnsi"/>
          <w:lang w:bidi="pl-PL"/>
        </w:rPr>
        <w:t>U. poz. 848).</w:t>
      </w:r>
    </w:p>
    <w:p w:rsidR="00FE69BF" w:rsidRPr="001625F2" w:rsidRDefault="00AB27E9" w:rsidP="003C6C50">
      <w:pPr>
        <w:pStyle w:val="Bezodstpw"/>
        <w:spacing w:after="120"/>
        <w:rPr>
          <w:rFonts w:cstheme="minorHAnsi"/>
          <w:lang w:bidi="pl-PL"/>
        </w:rPr>
      </w:pPr>
      <w:r w:rsidRPr="001625F2">
        <w:rPr>
          <w:rFonts w:cstheme="minorHAnsi"/>
          <w:lang w:bidi="pl-PL"/>
        </w:rPr>
        <w:t> </w:t>
      </w:r>
      <w:r w:rsidRPr="001625F2">
        <w:rPr>
          <w:rFonts w:cstheme="minorHAnsi"/>
          <w:u w:val="single"/>
          <w:lang w:bidi="pl-PL"/>
        </w:rPr>
        <w:t xml:space="preserve">W ramach konsultacji publicznych </w:t>
      </w:r>
      <w:r w:rsidR="00195141">
        <w:rPr>
          <w:rFonts w:cstheme="minorHAnsi"/>
          <w:u w:val="single"/>
          <w:lang w:bidi="pl-PL"/>
        </w:rPr>
        <w:t xml:space="preserve">nie </w:t>
      </w:r>
      <w:r w:rsidRPr="001625F2">
        <w:rPr>
          <w:rFonts w:cstheme="minorHAnsi"/>
          <w:u w:val="single"/>
          <w:lang w:bidi="pl-PL"/>
        </w:rPr>
        <w:t>zgłoszono uwag</w:t>
      </w:r>
      <w:r w:rsidR="00195141">
        <w:rPr>
          <w:rFonts w:cstheme="minorHAnsi"/>
          <w:u w:val="single"/>
          <w:lang w:bidi="pl-PL"/>
        </w:rPr>
        <w:t xml:space="preserve"> do projektu.</w:t>
      </w:r>
    </w:p>
    <w:p w:rsidR="007D28DE" w:rsidRPr="009B555F" w:rsidRDefault="007D28DE" w:rsidP="003C6C50">
      <w:pPr>
        <w:pStyle w:val="Bezodstpw"/>
        <w:spacing w:after="120"/>
        <w:rPr>
          <w:rFonts w:cstheme="minorHAnsi"/>
          <w:u w:val="single"/>
        </w:rPr>
      </w:pPr>
    </w:p>
    <w:sectPr w:rsidR="007D28DE" w:rsidRPr="009B555F" w:rsidSect="00AB27E9">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C92" w:rsidRDefault="00664C92" w:rsidP="00AE1B63">
      <w:pPr>
        <w:spacing w:after="0" w:line="240" w:lineRule="auto"/>
      </w:pPr>
      <w:r>
        <w:separator/>
      </w:r>
    </w:p>
  </w:endnote>
  <w:endnote w:type="continuationSeparator" w:id="0">
    <w:p w:rsidR="00664C92" w:rsidRDefault="00664C92" w:rsidP="00AE1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C92" w:rsidRDefault="00664C92" w:rsidP="00AE1B63">
      <w:pPr>
        <w:spacing w:after="0" w:line="240" w:lineRule="auto"/>
      </w:pPr>
      <w:r>
        <w:separator/>
      </w:r>
    </w:p>
  </w:footnote>
  <w:footnote w:type="continuationSeparator" w:id="0">
    <w:p w:rsidR="00664C92" w:rsidRDefault="00664C92" w:rsidP="00AE1B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B66A2"/>
    <w:multiLevelType w:val="hybridMultilevel"/>
    <w:tmpl w:val="51CC7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C02D8"/>
    <w:multiLevelType w:val="hybridMultilevel"/>
    <w:tmpl w:val="74F6A3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32533"/>
    <w:multiLevelType w:val="multilevel"/>
    <w:tmpl w:val="A8C88A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B7F"/>
    <w:multiLevelType w:val="hybridMultilevel"/>
    <w:tmpl w:val="8E6C38C8"/>
    <w:lvl w:ilvl="0" w:tplc="80605376">
      <w:start w:val="1"/>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102486"/>
    <w:multiLevelType w:val="hybridMultilevel"/>
    <w:tmpl w:val="95F8C06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8BB3DC2"/>
    <w:multiLevelType w:val="hybridMultilevel"/>
    <w:tmpl w:val="31002F3A"/>
    <w:lvl w:ilvl="0" w:tplc="80605376">
      <w:start w:val="1"/>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E6E6C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98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3" w:tplc="C5828652">
      <w:start w:val="1"/>
      <w:numFmt w:val="bullet"/>
      <w:lvlText w:val="•"/>
      <w:lvlJc w:val="left"/>
      <w:pPr>
        <w:ind w:left="1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7C3712">
      <w:start w:val="1"/>
      <w:numFmt w:val="bullet"/>
      <w:lvlText w:val="o"/>
      <w:lvlJc w:val="left"/>
      <w:pPr>
        <w:ind w:left="2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30E4DE">
      <w:start w:val="1"/>
      <w:numFmt w:val="bullet"/>
      <w:lvlText w:val="▪"/>
      <w:lvlJc w:val="left"/>
      <w:pPr>
        <w:ind w:left="2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5482D2">
      <w:start w:val="1"/>
      <w:numFmt w:val="bullet"/>
      <w:lvlText w:val="•"/>
      <w:lvlJc w:val="left"/>
      <w:pPr>
        <w:ind w:left="3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3058BC">
      <w:start w:val="1"/>
      <w:numFmt w:val="bullet"/>
      <w:lvlText w:val="o"/>
      <w:lvlJc w:val="left"/>
      <w:pPr>
        <w:ind w:left="43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DCCF84">
      <w:start w:val="1"/>
      <w:numFmt w:val="bullet"/>
      <w:lvlText w:val="▪"/>
      <w:lvlJc w:val="left"/>
      <w:pPr>
        <w:ind w:left="50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023E49"/>
    <w:multiLevelType w:val="multilevel"/>
    <w:tmpl w:val="6FB01C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1BB05C8"/>
    <w:multiLevelType w:val="hybridMultilevel"/>
    <w:tmpl w:val="D3AC1FC2"/>
    <w:lvl w:ilvl="0" w:tplc="9BE4FEA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D26A1E">
      <w:start w:val="1"/>
      <w:numFmt w:val="bullet"/>
      <w:lvlText w:val=""/>
      <w:lvlJc w:val="left"/>
      <w:pPr>
        <w:ind w:left="9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8EEBC8">
      <w:start w:val="1"/>
      <w:numFmt w:val="bullet"/>
      <w:lvlText w:val="▪"/>
      <w:lvlJc w:val="left"/>
      <w:pPr>
        <w:ind w:left="1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12F2DE">
      <w:start w:val="1"/>
      <w:numFmt w:val="bullet"/>
      <w:lvlText w:val="•"/>
      <w:lvlJc w:val="left"/>
      <w:pPr>
        <w:ind w:left="2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C883D0">
      <w:start w:val="1"/>
      <w:numFmt w:val="bullet"/>
      <w:lvlText w:val="o"/>
      <w:lvlJc w:val="left"/>
      <w:pPr>
        <w:ind w:left="2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ACC34E">
      <w:start w:val="1"/>
      <w:numFmt w:val="bullet"/>
      <w:lvlText w:val="▪"/>
      <w:lvlJc w:val="left"/>
      <w:pPr>
        <w:ind w:left="3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3A9858">
      <w:start w:val="1"/>
      <w:numFmt w:val="bullet"/>
      <w:lvlText w:val="•"/>
      <w:lvlJc w:val="left"/>
      <w:pPr>
        <w:ind w:left="43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E87CDE">
      <w:start w:val="1"/>
      <w:numFmt w:val="bullet"/>
      <w:lvlText w:val="o"/>
      <w:lvlJc w:val="left"/>
      <w:pPr>
        <w:ind w:left="50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0C9678">
      <w:start w:val="1"/>
      <w:numFmt w:val="bullet"/>
      <w:lvlText w:val="▪"/>
      <w:lvlJc w:val="left"/>
      <w:pPr>
        <w:ind w:left="57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3E6911"/>
    <w:multiLevelType w:val="hybridMultilevel"/>
    <w:tmpl w:val="58401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704233"/>
    <w:multiLevelType w:val="hybridMultilevel"/>
    <w:tmpl w:val="6D8E7C6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F9A2F98"/>
    <w:multiLevelType w:val="hybridMultilevel"/>
    <w:tmpl w:val="166A2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8D0488"/>
    <w:multiLevelType w:val="hybridMultilevel"/>
    <w:tmpl w:val="251A9892"/>
    <w:lvl w:ilvl="0" w:tplc="AD840B7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540E1C">
      <w:start w:val="1"/>
      <w:numFmt w:val="bullet"/>
      <w:lvlText w:val="o"/>
      <w:lvlJc w:val="left"/>
      <w:pPr>
        <w:ind w:left="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A6D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7502D6E">
      <w:start w:val="1"/>
      <w:numFmt w:val="bullet"/>
      <w:lvlText w:val="•"/>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62A378">
      <w:start w:val="1"/>
      <w:numFmt w:val="bullet"/>
      <w:lvlText w:val="o"/>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52ED0A">
      <w:start w:val="1"/>
      <w:numFmt w:val="bullet"/>
      <w:lvlText w:val="▪"/>
      <w:lvlJc w:val="left"/>
      <w:pPr>
        <w:ind w:left="28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FCB194">
      <w:start w:val="1"/>
      <w:numFmt w:val="bullet"/>
      <w:lvlText w:val="•"/>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D276D4">
      <w:start w:val="1"/>
      <w:numFmt w:val="bullet"/>
      <w:lvlText w:val="o"/>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C0160E">
      <w:start w:val="1"/>
      <w:numFmt w:val="bullet"/>
      <w:lvlText w:val="▪"/>
      <w:lvlJc w:val="left"/>
      <w:pPr>
        <w:ind w:left="50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4036D4C"/>
    <w:multiLevelType w:val="hybridMultilevel"/>
    <w:tmpl w:val="7AA8019C"/>
    <w:lvl w:ilvl="0" w:tplc="80605376">
      <w:start w:val="1"/>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3F34BC"/>
    <w:multiLevelType w:val="hybridMultilevel"/>
    <w:tmpl w:val="B3C07792"/>
    <w:lvl w:ilvl="0" w:tplc="BE1249E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24D06A">
      <w:start w:val="23"/>
      <w:numFmt w:val="upperLetter"/>
      <w:lvlText w:val="%2"/>
      <w:lvlJc w:val="left"/>
      <w:pPr>
        <w:ind w:left="9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100A71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D28B8E0">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B845D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F4E584">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7BAEB9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2CA9964">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B6B03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5BA2A36"/>
    <w:multiLevelType w:val="hybridMultilevel"/>
    <w:tmpl w:val="58401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C852A6"/>
    <w:multiLevelType w:val="hybridMultilevel"/>
    <w:tmpl w:val="C79A0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E02728"/>
    <w:multiLevelType w:val="hybridMultilevel"/>
    <w:tmpl w:val="CF78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662FC4"/>
    <w:multiLevelType w:val="hybridMultilevel"/>
    <w:tmpl w:val="463E3C1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CA21CA"/>
    <w:multiLevelType w:val="hybridMultilevel"/>
    <w:tmpl w:val="59661C62"/>
    <w:lvl w:ilvl="0" w:tplc="E6F6261E">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4102A56"/>
    <w:multiLevelType w:val="hybridMultilevel"/>
    <w:tmpl w:val="58401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6F46AA"/>
    <w:multiLevelType w:val="hybridMultilevel"/>
    <w:tmpl w:val="4FF6E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67368A"/>
    <w:multiLevelType w:val="hybridMultilevel"/>
    <w:tmpl w:val="07907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78176F"/>
    <w:multiLevelType w:val="hybridMultilevel"/>
    <w:tmpl w:val="4A74AA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765BB"/>
    <w:multiLevelType w:val="multilevel"/>
    <w:tmpl w:val="C346F950"/>
    <w:styleLink w:val="mojalista"/>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4" w15:restartNumberingAfterBreak="0">
    <w:nsid w:val="72737BC3"/>
    <w:multiLevelType w:val="multilevel"/>
    <w:tmpl w:val="071E4A5E"/>
    <w:lvl w:ilvl="0">
      <w:start w:val="1"/>
      <w:numFmt w:val="decimal"/>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BE3969"/>
    <w:multiLevelType w:val="hybridMultilevel"/>
    <w:tmpl w:val="86DAB8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692C84"/>
    <w:multiLevelType w:val="hybridMultilevel"/>
    <w:tmpl w:val="058E7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D61FA4"/>
    <w:multiLevelType w:val="multilevel"/>
    <w:tmpl w:val="41C0EC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24"/>
  </w:num>
  <w:num w:numId="3">
    <w:abstractNumId w:val="9"/>
  </w:num>
  <w:num w:numId="4">
    <w:abstractNumId w:val="15"/>
  </w:num>
  <w:num w:numId="5">
    <w:abstractNumId w:val="8"/>
  </w:num>
  <w:num w:numId="6">
    <w:abstractNumId w:val="14"/>
  </w:num>
  <w:num w:numId="7">
    <w:abstractNumId w:val="19"/>
  </w:num>
  <w:num w:numId="8">
    <w:abstractNumId w:val="25"/>
  </w:num>
  <w:num w:numId="9">
    <w:abstractNumId w:val="26"/>
  </w:num>
  <w:num w:numId="10">
    <w:abstractNumId w:val="5"/>
  </w:num>
  <w:num w:numId="11">
    <w:abstractNumId w:val="12"/>
  </w:num>
  <w:num w:numId="12">
    <w:abstractNumId w:val="3"/>
  </w:num>
  <w:num w:numId="13">
    <w:abstractNumId w:val="10"/>
  </w:num>
  <w:num w:numId="14">
    <w:abstractNumId w:val="0"/>
  </w:num>
  <w:num w:numId="15">
    <w:abstractNumId w:val="11"/>
  </w:num>
  <w:num w:numId="16">
    <w:abstractNumId w:val="16"/>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
  </w:num>
  <w:num w:numId="20">
    <w:abstractNumId w:val="20"/>
  </w:num>
  <w:num w:numId="21">
    <w:abstractNumId w:val="13"/>
  </w:num>
  <w:num w:numId="22">
    <w:abstractNumId w:val="7"/>
  </w:num>
  <w:num w:numId="23">
    <w:abstractNumId w:val="18"/>
  </w:num>
  <w:num w:numId="24">
    <w:abstractNumId w:val="21"/>
  </w:num>
  <w:num w:numId="25">
    <w:abstractNumId w:val="4"/>
  </w:num>
  <w:num w:numId="26">
    <w:abstractNumId w:val="1"/>
  </w:num>
  <w:num w:numId="27">
    <w:abstractNumId w:val="2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DC"/>
    <w:rsid w:val="000143F6"/>
    <w:rsid w:val="000620C0"/>
    <w:rsid w:val="000647EC"/>
    <w:rsid w:val="00074DFE"/>
    <w:rsid w:val="000E0437"/>
    <w:rsid w:val="001625F2"/>
    <w:rsid w:val="00193B46"/>
    <w:rsid w:val="00195141"/>
    <w:rsid w:val="001A7167"/>
    <w:rsid w:val="001D142C"/>
    <w:rsid w:val="001D504A"/>
    <w:rsid w:val="001F5F39"/>
    <w:rsid w:val="00215FB1"/>
    <w:rsid w:val="002539B8"/>
    <w:rsid w:val="0029330E"/>
    <w:rsid w:val="00295548"/>
    <w:rsid w:val="002A6432"/>
    <w:rsid w:val="00346F98"/>
    <w:rsid w:val="00381597"/>
    <w:rsid w:val="003828D6"/>
    <w:rsid w:val="00392A49"/>
    <w:rsid w:val="003C6C50"/>
    <w:rsid w:val="003F4982"/>
    <w:rsid w:val="00404C75"/>
    <w:rsid w:val="004467C6"/>
    <w:rsid w:val="0045645D"/>
    <w:rsid w:val="004734A0"/>
    <w:rsid w:val="004A3A6C"/>
    <w:rsid w:val="004F08FE"/>
    <w:rsid w:val="005207F8"/>
    <w:rsid w:val="00547794"/>
    <w:rsid w:val="005868C5"/>
    <w:rsid w:val="005E3AAF"/>
    <w:rsid w:val="005F1ACD"/>
    <w:rsid w:val="00621933"/>
    <w:rsid w:val="00664C92"/>
    <w:rsid w:val="006B2FD9"/>
    <w:rsid w:val="007167E6"/>
    <w:rsid w:val="00770F0A"/>
    <w:rsid w:val="007743C6"/>
    <w:rsid w:val="00786C51"/>
    <w:rsid w:val="007C21BE"/>
    <w:rsid w:val="007D28DE"/>
    <w:rsid w:val="007F5399"/>
    <w:rsid w:val="0081473F"/>
    <w:rsid w:val="00822FAE"/>
    <w:rsid w:val="00875AF3"/>
    <w:rsid w:val="00896588"/>
    <w:rsid w:val="008A1667"/>
    <w:rsid w:val="008E3C76"/>
    <w:rsid w:val="009877FA"/>
    <w:rsid w:val="009A40F3"/>
    <w:rsid w:val="009B555F"/>
    <w:rsid w:val="009D306A"/>
    <w:rsid w:val="00A17025"/>
    <w:rsid w:val="00A25EFD"/>
    <w:rsid w:val="00AA00BC"/>
    <w:rsid w:val="00AA5948"/>
    <w:rsid w:val="00AB27E9"/>
    <w:rsid w:val="00AB677D"/>
    <w:rsid w:val="00AE1B63"/>
    <w:rsid w:val="00AE6422"/>
    <w:rsid w:val="00AF7970"/>
    <w:rsid w:val="00B011D0"/>
    <w:rsid w:val="00B2074F"/>
    <w:rsid w:val="00B2741E"/>
    <w:rsid w:val="00B543D8"/>
    <w:rsid w:val="00B76027"/>
    <w:rsid w:val="00B84BF3"/>
    <w:rsid w:val="00B9352E"/>
    <w:rsid w:val="00BE0CA7"/>
    <w:rsid w:val="00C545CC"/>
    <w:rsid w:val="00C6700C"/>
    <w:rsid w:val="00C767A7"/>
    <w:rsid w:val="00CC301E"/>
    <w:rsid w:val="00D4181D"/>
    <w:rsid w:val="00D455DB"/>
    <w:rsid w:val="00D54180"/>
    <w:rsid w:val="00D952B0"/>
    <w:rsid w:val="00DB5417"/>
    <w:rsid w:val="00DD2025"/>
    <w:rsid w:val="00DD6B9F"/>
    <w:rsid w:val="00DE2A3C"/>
    <w:rsid w:val="00DF2519"/>
    <w:rsid w:val="00E02F29"/>
    <w:rsid w:val="00E157CF"/>
    <w:rsid w:val="00E44DEA"/>
    <w:rsid w:val="00E643E2"/>
    <w:rsid w:val="00E70982"/>
    <w:rsid w:val="00E76536"/>
    <w:rsid w:val="00EC7BA9"/>
    <w:rsid w:val="00ED1507"/>
    <w:rsid w:val="00ED34DC"/>
    <w:rsid w:val="00F0521E"/>
    <w:rsid w:val="00F551D3"/>
    <w:rsid w:val="00F633B0"/>
    <w:rsid w:val="00F85EAF"/>
    <w:rsid w:val="00F945B4"/>
    <w:rsid w:val="00FC38B7"/>
    <w:rsid w:val="00FE0A55"/>
    <w:rsid w:val="00FE69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61150-77AB-4DBA-86CC-1CB6435D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69B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jalista">
    <w:name w:val="moja lista"/>
    <w:rsid w:val="00074DFE"/>
    <w:pPr>
      <w:numPr>
        <w:numId w:val="1"/>
      </w:numPr>
    </w:pPr>
  </w:style>
  <w:style w:type="paragraph" w:styleId="Bezodstpw">
    <w:name w:val="No Spacing"/>
    <w:uiPriority w:val="1"/>
    <w:qFormat/>
    <w:rsid w:val="00FE69BF"/>
    <w:pPr>
      <w:spacing w:after="0" w:line="240" w:lineRule="auto"/>
    </w:pPr>
  </w:style>
  <w:style w:type="paragraph" w:styleId="Akapitzlist">
    <w:name w:val="List Paragraph"/>
    <w:basedOn w:val="Normalny"/>
    <w:uiPriority w:val="34"/>
    <w:qFormat/>
    <w:rsid w:val="007C21BE"/>
    <w:pPr>
      <w:ind w:left="720"/>
      <w:contextualSpacing/>
    </w:pPr>
  </w:style>
  <w:style w:type="character" w:styleId="Hipercze">
    <w:name w:val="Hyperlink"/>
    <w:basedOn w:val="Domylnaczcionkaakapitu"/>
    <w:uiPriority w:val="99"/>
    <w:unhideWhenUsed/>
    <w:rsid w:val="00B2741E"/>
    <w:rPr>
      <w:color w:val="0563C1" w:themeColor="hyperlink"/>
      <w:u w:val="single"/>
    </w:rPr>
  </w:style>
  <w:style w:type="paragraph" w:styleId="Tekstprzypisukocowego">
    <w:name w:val="endnote text"/>
    <w:basedOn w:val="Normalny"/>
    <w:link w:val="TekstprzypisukocowegoZnak"/>
    <w:uiPriority w:val="99"/>
    <w:semiHidden/>
    <w:unhideWhenUsed/>
    <w:rsid w:val="00AE1B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B63"/>
    <w:rPr>
      <w:sz w:val="20"/>
      <w:szCs w:val="20"/>
    </w:rPr>
  </w:style>
  <w:style w:type="character" w:styleId="Odwoanieprzypisukocowego">
    <w:name w:val="endnote reference"/>
    <w:basedOn w:val="Domylnaczcionkaakapitu"/>
    <w:uiPriority w:val="99"/>
    <w:semiHidden/>
    <w:unhideWhenUsed/>
    <w:rsid w:val="00AE1B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42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655</Words>
  <Characters>3936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Idzikowski Piotr</dc:creator>
  <cp:keywords/>
  <dc:description/>
  <cp:lastModifiedBy>Witkowska-Krzymowska Magdalena</cp:lastModifiedBy>
  <cp:revision>4</cp:revision>
  <dcterms:created xsi:type="dcterms:W3CDTF">2021-07-22T13:33:00Z</dcterms:created>
  <dcterms:modified xsi:type="dcterms:W3CDTF">2021-07-23T09:30:00Z</dcterms:modified>
</cp:coreProperties>
</file>