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F8" w:rsidRPr="00415DF0" w:rsidRDefault="00F0604C">
      <w:pPr>
        <w:pStyle w:val="TreA"/>
        <w:spacing w:after="10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15DF0">
        <w:rPr>
          <w:rFonts w:ascii="Calibri" w:hAnsi="Calibri"/>
          <w:b/>
          <w:bCs/>
          <w:sz w:val="28"/>
          <w:szCs w:val="28"/>
        </w:rPr>
        <w:t>Regulamin krajowej preselekcji Europejskich Hub</w:t>
      </w:r>
      <w:r w:rsidRPr="00415DF0">
        <w:rPr>
          <w:rFonts w:ascii="Calibri" w:hAnsi="Calibri"/>
          <w:b/>
          <w:bCs/>
          <w:sz w:val="28"/>
          <w:szCs w:val="28"/>
          <w:lang w:val="es-ES_tradnl"/>
        </w:rPr>
        <w:t>ó</w:t>
      </w:r>
      <w:r w:rsidRPr="00415DF0">
        <w:rPr>
          <w:rFonts w:ascii="Calibri" w:hAnsi="Calibri"/>
          <w:b/>
          <w:bCs/>
          <w:sz w:val="28"/>
          <w:szCs w:val="28"/>
        </w:rPr>
        <w:t>w Innowacji Cyfrowych.</w:t>
      </w:r>
    </w:p>
    <w:p w:rsidR="00B612F8" w:rsidRDefault="00F0604C">
      <w:pPr>
        <w:pStyle w:val="TreA"/>
        <w:numPr>
          <w:ilvl w:val="1"/>
          <w:numId w:val="2"/>
        </w:numPr>
        <w:spacing w:before="200" w:after="20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Czym jest Europejski Hub Innowacji Cyfrowych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Europejski Hub Innowacji Cyfrowych </w:t>
      </w:r>
      <w:r w:rsidRPr="00B535A4">
        <w:rPr>
          <w:rFonts w:ascii="Calibri" w:hAnsi="Calibri"/>
          <w:sz w:val="24"/>
          <w:szCs w:val="24"/>
        </w:rPr>
        <w:t>(</w:t>
      </w:r>
      <w:r w:rsidRPr="00B535A4">
        <w:rPr>
          <w:rFonts w:ascii="Calibri" w:hAnsi="Calibri"/>
          <w:i/>
          <w:iCs/>
          <w:sz w:val="24"/>
          <w:szCs w:val="24"/>
        </w:rPr>
        <w:t>European Digital Innovation Hubs - EDIHs</w:t>
      </w:r>
      <w:r w:rsidRPr="00B535A4">
        <w:rPr>
          <w:rFonts w:ascii="Calibri" w:hAnsi="Calibri"/>
          <w:sz w:val="24"/>
          <w:szCs w:val="24"/>
        </w:rPr>
        <w:t>) to o</w:t>
      </w:r>
      <w:r>
        <w:rPr>
          <w:rFonts w:ascii="Calibri" w:hAnsi="Calibri"/>
          <w:sz w:val="24"/>
          <w:szCs w:val="24"/>
        </w:rPr>
        <w:t xml:space="preserve">środek gromadzący wiedzę i kompetencje w dziedzinie cyfrowej transformacji działalności gospodarczej. </w:t>
      </w:r>
      <w:r>
        <w:rPr>
          <w:rFonts w:ascii="Calibri" w:hAnsi="Calibri"/>
          <w:sz w:val="24"/>
          <w:szCs w:val="24"/>
          <w:u w:val="single"/>
        </w:rPr>
        <w:t xml:space="preserve">EDIH prowadzi działalność na zasadzie </w:t>
      </w:r>
      <w:r>
        <w:rPr>
          <w:rFonts w:ascii="Calibri" w:hAnsi="Calibri"/>
          <w:i/>
          <w:iCs/>
          <w:sz w:val="24"/>
          <w:szCs w:val="24"/>
          <w:u w:val="single"/>
        </w:rPr>
        <w:t>not-for-profit</w:t>
      </w:r>
      <w:r>
        <w:rPr>
          <w:rFonts w:ascii="Calibri" w:hAnsi="Calibri"/>
          <w:sz w:val="24"/>
          <w:szCs w:val="24"/>
          <w:u w:val="single"/>
        </w:rPr>
        <w:t>, tzn. nie osiąga zysku</w:t>
      </w:r>
      <w:r>
        <w:rPr>
          <w:rFonts w:ascii="Calibri" w:hAnsi="Calibri"/>
          <w:sz w:val="24"/>
          <w:szCs w:val="24"/>
        </w:rPr>
        <w:t xml:space="preserve">, a wszelkie ewentualne dochody reinwestuje w zdolność </w:t>
      </w:r>
      <w:r>
        <w:rPr>
          <w:rFonts w:ascii="Calibri" w:hAnsi="Calibri"/>
          <w:sz w:val="24"/>
          <w:szCs w:val="24"/>
          <w:lang w:val="pt-PT"/>
        </w:rPr>
        <w:t xml:space="preserve">do </w:t>
      </w:r>
      <w:r>
        <w:rPr>
          <w:rFonts w:ascii="Calibri" w:hAnsi="Calibri"/>
          <w:sz w:val="24"/>
          <w:szCs w:val="24"/>
        </w:rPr>
        <w:t>świadczenia usług. Jego rolą jest pomoc przedsiębiorcom w zwiększaniu konkurencyjności ich działalności gospodarczej, poprzez wsparcie w procesie transformacji cyfrowej. Pomoc ta polega na udoskonalaniu, dzięki zastosowaniu najnowszych rozwiązań cyfrowych, ich aktualnego modelu biznesowego oraz produkt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i usług. EDIH świadczy także pomoc administracji państwowej w cyfryzacji jej działań oraz świadczonych przez nią usług public</w:t>
      </w: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 xml:space="preserve">nych. 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EDIH-y </w:t>
      </w:r>
      <w:r>
        <w:rPr>
          <w:rFonts w:ascii="Calibri" w:hAnsi="Calibri"/>
          <w:sz w:val="24"/>
          <w:szCs w:val="24"/>
          <w:u w:val="single"/>
        </w:rPr>
        <w:t xml:space="preserve">działają w modelu </w:t>
      </w:r>
      <w:r>
        <w:rPr>
          <w:rFonts w:ascii="Calibri" w:hAnsi="Calibri"/>
          <w:i/>
          <w:iCs/>
          <w:sz w:val="24"/>
          <w:szCs w:val="24"/>
          <w:u w:val="single"/>
        </w:rPr>
        <w:t>one-stop-shop</w:t>
      </w:r>
      <w:r>
        <w:rPr>
          <w:rFonts w:ascii="Calibri" w:hAnsi="Calibri"/>
          <w:sz w:val="24"/>
          <w:szCs w:val="24"/>
        </w:rPr>
        <w:t>, obsługując przedsiębiorc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w, chcących dokonać cyfrowej transformacji działalności gospodarczej. Usługi oferowane przez EDIH-y umożliwiają stworzenie planu transformacji cyfrowej, dostęp do aktualnej specjalistycznej wiedzy, a także testowanie rozwiązań lub eksperymentowanie z wykorzystaniem najnowszych technologii, mających potencjalnie kluczowe znaczenie dla wytwarzanych produkt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w, oferowanych usług, stosowanych proces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lub przyjętych modeli biznesowych. EDIH-y zapewniają r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wnież dostęp do kontakt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z młodymi fi</w:t>
      </w:r>
      <w:r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mami innowacyjnymi, ukierunkowują i ułatwiają dostęp do finansowania inwestycji w cyfrową transformację, świadczą pomoc w łączeniu użytkownik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i dostawc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 innowacyjnych rozwiązań cyfrowych w całym łańcuchu wartości, oraz tworzą synergię między EDIH-ami w kraju i za granicą w zakresie wybranych specjalizacji. 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Usługi świadczone przez Europejskie Huby Innowacji Cyfrowych są nieodpłatne albo częściowo odpłatne i </w:t>
      </w:r>
      <w:r>
        <w:rPr>
          <w:rFonts w:ascii="Calibri" w:hAnsi="Calibri"/>
          <w:sz w:val="24"/>
          <w:szCs w:val="24"/>
          <w:u w:val="single"/>
        </w:rPr>
        <w:t>nie powinny stanowić konkurencji wobec już istniejących komercyjnych dostawc</w:t>
      </w:r>
      <w:r>
        <w:rPr>
          <w:rFonts w:ascii="Calibri" w:hAnsi="Calibri"/>
          <w:sz w:val="24"/>
          <w:szCs w:val="24"/>
          <w:u w:val="single"/>
          <w:lang w:val="es-ES_tradnl"/>
        </w:rPr>
        <w:t>ó</w:t>
      </w:r>
      <w:r>
        <w:rPr>
          <w:rFonts w:ascii="Calibri" w:hAnsi="Calibri"/>
          <w:sz w:val="24"/>
          <w:szCs w:val="24"/>
          <w:u w:val="single"/>
        </w:rPr>
        <w:t>w w dziedzinie wsparcia cyfrowej transformacji przemysłu.</w:t>
      </w:r>
      <w:r>
        <w:rPr>
          <w:rFonts w:ascii="Calibri" w:hAnsi="Calibri"/>
          <w:sz w:val="24"/>
          <w:szCs w:val="24"/>
        </w:rPr>
        <w:t xml:space="preserve"> Mają one charakter komplementarny i są skierowane do segmentu małych i średnich przedsiębiorc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rzy z różnych powod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 (m.in. wysoka cena) nie korzystali jeszcze lub nie zamierzali korzystać z tego rodzaju usług. </w:t>
      </w:r>
      <w:r>
        <w:rPr>
          <w:rFonts w:ascii="Calibri" w:hAnsi="Calibri"/>
          <w:sz w:val="24"/>
          <w:szCs w:val="24"/>
          <w:u w:val="single"/>
        </w:rPr>
        <w:t>Odbiorcami nieodpłatnych usług świadczonych przez EDIH-y są r</w:t>
      </w:r>
      <w:r>
        <w:rPr>
          <w:rFonts w:ascii="Calibri" w:hAnsi="Calibri"/>
          <w:sz w:val="24"/>
          <w:szCs w:val="24"/>
          <w:u w:val="single"/>
          <w:lang w:val="es-ES_tradnl"/>
        </w:rPr>
        <w:t>ó</w:t>
      </w:r>
      <w:r>
        <w:rPr>
          <w:rFonts w:ascii="Calibri" w:hAnsi="Calibri"/>
          <w:sz w:val="24"/>
          <w:szCs w:val="24"/>
          <w:u w:val="single"/>
        </w:rPr>
        <w:t xml:space="preserve">wnież podmioty administracji publicznej. Duzi przedsiębiorcy mogą korzystać z usług świadczonych przez EDIH-y, jednak ma to miejsce po cenach rynkowych. 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Europejskie Huby Innowacji Cyfrowych prowadzą regularny scouting technologiczny, tak aby stale dysponować aktualną wiedzą w dziedzinie dostępnych najnowszych rozwiązań technologicznych. </w:t>
      </w:r>
      <w:r>
        <w:rPr>
          <w:rFonts w:ascii="Calibri" w:hAnsi="Calibri"/>
          <w:sz w:val="24"/>
          <w:szCs w:val="24"/>
        </w:rPr>
        <w:lastRenderedPageBreak/>
        <w:t>Dodatkowo EDIH-y legitymują się zorganizowanymi relacjami z władzami regionalnymi, akredyt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wanymi Krajowymi Klastrami Kluczowymi i Ośrodkami Innowacji, stowarzyszeniami przedsiębiorc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w, agencjami wspierającymi rozw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j przedsiębiorczości, inkubatorami przedsiębiorczości, Ce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trami Badawczo-Rozwojowymi, </w:t>
      </w:r>
      <w:proofErr w:type="spellStart"/>
      <w:r>
        <w:rPr>
          <w:rFonts w:ascii="Calibri" w:hAnsi="Calibri"/>
          <w:sz w:val="24"/>
          <w:szCs w:val="24"/>
        </w:rPr>
        <w:t>Scale-Up-ami</w:t>
      </w:r>
      <w:proofErr w:type="spellEnd"/>
      <w:r>
        <w:rPr>
          <w:rFonts w:ascii="Calibri" w:hAnsi="Calibri"/>
          <w:sz w:val="24"/>
          <w:szCs w:val="24"/>
        </w:rPr>
        <w:t>, izbami handlowymi</w:t>
      </w:r>
      <w:r w:rsidR="00172C0C">
        <w:rPr>
          <w:rFonts w:ascii="Calibri" w:hAnsi="Calibri"/>
          <w:sz w:val="24"/>
          <w:szCs w:val="24"/>
        </w:rPr>
        <w:t>, itp</w:t>
      </w:r>
      <w:r>
        <w:rPr>
          <w:rFonts w:ascii="Calibri" w:hAnsi="Calibri"/>
          <w:sz w:val="24"/>
          <w:szCs w:val="24"/>
        </w:rPr>
        <w:t xml:space="preserve">. 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Europejskie Huby Innowacji Cyfrowych są docelowo pomostem pomiędzy podmiotami tworzącymi popyt na usługi w dziedzinie cyfrowej transformacji (administracja publiczna oraz przedsiębiorcy,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rych działalność może odnieść korzyści z cyfrowej transformacji), a istniejącą ich podażą (start-upy, dostawcy gotowych do wdrożenia technologii, podmioty świadczą</w:t>
      </w:r>
      <w:r w:rsidRPr="00B535A4">
        <w:rPr>
          <w:rFonts w:ascii="Calibri" w:hAnsi="Calibri"/>
          <w:sz w:val="24"/>
          <w:szCs w:val="24"/>
        </w:rPr>
        <w:t>ce us</w:t>
      </w:r>
      <w:r>
        <w:rPr>
          <w:rFonts w:ascii="Calibri" w:hAnsi="Calibri"/>
          <w:sz w:val="24"/>
          <w:szCs w:val="24"/>
        </w:rPr>
        <w:t>ługi edukacyjne, szkoleniowe i wsparcia). EDIH-y, jako brokerzy łączący zainteresowane podmioty, tworzą innowacyjny ekosystem, w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rym istnieje efekt synergii pomiędzy rozproszonymi do tej pory kompetencjami, wiedzą, a także rozwiązaniami technologicznymi. Łączenie przedsiębiorc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z dostawcami techn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logii </w:t>
      </w:r>
      <w:r>
        <w:rPr>
          <w:rFonts w:ascii="Calibri" w:hAnsi="Calibri"/>
          <w:sz w:val="24"/>
          <w:szCs w:val="24"/>
          <w:u w:val="single"/>
        </w:rPr>
        <w:t>odbywa się przy zachowaniu zasady neutralności technologicznej,</w:t>
      </w:r>
      <w:r>
        <w:rPr>
          <w:rFonts w:ascii="Calibri" w:hAnsi="Calibri"/>
          <w:sz w:val="24"/>
          <w:szCs w:val="24"/>
        </w:rPr>
        <w:t xml:space="preserve"> tak aby przedsiębiorca będący klientem EDIH-a miał pewność, że oferowane mu usługi doradcze charakteryzują się bezstronnością i profesjonalizmem. EDIH-y w celu wspierania rozwoju potencjału lokalnej gospodarki </w:t>
      </w:r>
      <w:r>
        <w:rPr>
          <w:rFonts w:ascii="Calibri" w:hAnsi="Calibri"/>
          <w:sz w:val="24"/>
          <w:szCs w:val="24"/>
          <w:u w:val="single"/>
        </w:rPr>
        <w:t>w pierwszej kolejności proponują rozwiązania technologiczne oferowane przez lokalnych dostawc</w:t>
      </w:r>
      <w:r>
        <w:rPr>
          <w:rFonts w:ascii="Calibri" w:hAnsi="Calibri"/>
          <w:sz w:val="24"/>
          <w:szCs w:val="24"/>
          <w:u w:val="single"/>
          <w:lang w:val="es-ES_tradnl"/>
        </w:rPr>
        <w:t>ó</w:t>
      </w:r>
      <w:r>
        <w:rPr>
          <w:rFonts w:ascii="Calibri" w:hAnsi="Calibri"/>
          <w:sz w:val="24"/>
          <w:szCs w:val="24"/>
          <w:u w:val="single"/>
        </w:rPr>
        <w:t>w,</w:t>
      </w:r>
      <w:r>
        <w:rPr>
          <w:rFonts w:ascii="Calibri" w:hAnsi="Calibri"/>
          <w:sz w:val="24"/>
          <w:szCs w:val="24"/>
        </w:rPr>
        <w:t xml:space="preserve"> a tylko w przypadku niemożności znalezienia odpowiedniego partnera na poziomie lokalnym nawiązują współpracę z partnerami z innego regionu, bądź innego Państwa Członko</w:t>
      </w:r>
      <w:r>
        <w:rPr>
          <w:rFonts w:ascii="Calibri" w:hAnsi="Calibri"/>
          <w:sz w:val="24"/>
          <w:szCs w:val="24"/>
        </w:rPr>
        <w:t>w</w:t>
      </w:r>
      <w:r>
        <w:rPr>
          <w:rFonts w:ascii="Calibri" w:hAnsi="Calibri"/>
          <w:sz w:val="24"/>
          <w:szCs w:val="24"/>
        </w:rPr>
        <w:t>skiego.</w:t>
      </w:r>
    </w:p>
    <w:p w:rsidR="00B612F8" w:rsidRDefault="00F0604C">
      <w:pPr>
        <w:pStyle w:val="TreA"/>
        <w:numPr>
          <w:ilvl w:val="1"/>
          <w:numId w:val="2"/>
        </w:numPr>
        <w:spacing w:before="200" w:after="20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Usługi świadczone przez Europejskie Huby Innowacji Cyfrowych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ramach swojej działalności Europejskie Huby Innowacji Cyfrowych świadczą pakiet usług dla przedsiębiorc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w, składający się </w:t>
      </w:r>
      <w:r>
        <w:rPr>
          <w:rFonts w:ascii="Calibri" w:hAnsi="Calibri"/>
          <w:sz w:val="24"/>
          <w:szCs w:val="24"/>
          <w:u w:val="single"/>
        </w:rPr>
        <w:t>co najmniej</w:t>
      </w:r>
      <w:r>
        <w:rPr>
          <w:rFonts w:ascii="Calibri" w:hAnsi="Calibri"/>
          <w:sz w:val="24"/>
          <w:szCs w:val="24"/>
        </w:rPr>
        <w:t xml:space="preserve"> z działań w zakresie:</w:t>
      </w:r>
    </w:p>
    <w:p w:rsidR="00B612F8" w:rsidRDefault="00F0604C">
      <w:pPr>
        <w:pStyle w:val="TreA"/>
        <w:spacing w:after="10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a. informacyjno-promocyjnym,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rych celem jest skuteczne dotarcie do jak najszerszej grupy przedsiębiorc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 z informacjami o: </w:t>
      </w:r>
    </w:p>
    <w:p w:rsidR="00B612F8" w:rsidRDefault="00F0604C">
      <w:pPr>
        <w:pStyle w:val="TreA"/>
        <w:numPr>
          <w:ilvl w:val="2"/>
          <w:numId w:val="4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potencjale transformacji cyfrowej i jej skutkach dla modeli biznesowych, </w:t>
      </w:r>
    </w:p>
    <w:p w:rsidR="00B612F8" w:rsidRDefault="00F0604C">
      <w:pPr>
        <w:pStyle w:val="TreA"/>
        <w:numPr>
          <w:ilvl w:val="2"/>
          <w:numId w:val="4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stanie aktualnie zachodzących zmian technologicznych w ramach wytwarzania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produkt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i świadczenia usł</w:t>
      </w:r>
      <w:r w:rsidRPr="00B535A4">
        <w:rPr>
          <w:rFonts w:ascii="Calibri" w:hAnsi="Calibri"/>
          <w:sz w:val="24"/>
          <w:szCs w:val="24"/>
        </w:rPr>
        <w:t xml:space="preserve">ug, </w:t>
      </w:r>
    </w:p>
    <w:p w:rsidR="00B612F8" w:rsidRDefault="00F0604C">
      <w:pPr>
        <w:pStyle w:val="TreA"/>
        <w:numPr>
          <w:ilvl w:val="2"/>
          <w:numId w:val="4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potencjale najnowocześniejszych technologii cyfrowych, roli jaką odgrywają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i korzyści z ich zastosowania, </w:t>
      </w:r>
    </w:p>
    <w:p w:rsidR="00B612F8" w:rsidRDefault="00F0604C">
      <w:pPr>
        <w:pStyle w:val="TreA"/>
        <w:numPr>
          <w:ilvl w:val="2"/>
          <w:numId w:val="4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możliwości skorzystania z działań realizowanych przez dany EDIH. </w:t>
      </w:r>
    </w:p>
    <w:p w:rsidR="00B612F8" w:rsidRDefault="00F0604C">
      <w:pPr>
        <w:pStyle w:val="TreA"/>
        <w:spacing w:after="10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b. demonstracyjnym,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rych celem jest umożliwienie praktycznego zapoznania się prze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siębiorc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z procesami opartymi na najnowocześniejszych technologiach cyfrowych oraz możliwoś</w:t>
      </w:r>
      <w:r>
        <w:rPr>
          <w:rFonts w:ascii="Calibri" w:hAnsi="Calibri"/>
          <w:sz w:val="24"/>
          <w:szCs w:val="24"/>
          <w:lang w:val="it-IT"/>
        </w:rPr>
        <w:t>cia</w:t>
      </w:r>
      <w:r>
        <w:rPr>
          <w:rFonts w:ascii="Calibri" w:hAnsi="Calibri"/>
          <w:sz w:val="24"/>
          <w:szCs w:val="24"/>
        </w:rPr>
        <w:t>̨ ich wykorzystania w wytwarzaniu własnych produkt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lub świadczeniu własnych usł</w:t>
      </w:r>
      <w:r w:rsidRPr="00B535A4">
        <w:rPr>
          <w:rFonts w:ascii="Calibri" w:hAnsi="Calibri"/>
          <w:sz w:val="24"/>
          <w:szCs w:val="24"/>
        </w:rPr>
        <w:t>ug, w</w:t>
      </w:r>
      <w:r>
        <w:rPr>
          <w:rFonts w:ascii="Calibri" w:hAnsi="Calibri"/>
          <w:sz w:val="24"/>
          <w:szCs w:val="24"/>
        </w:rPr>
        <w:t>łącznie z możliwoś</w:t>
      </w:r>
      <w:r>
        <w:rPr>
          <w:rFonts w:ascii="Calibri" w:hAnsi="Calibri"/>
          <w:sz w:val="24"/>
          <w:szCs w:val="24"/>
          <w:lang w:val="it-IT"/>
        </w:rPr>
        <w:t>cia</w:t>
      </w:r>
      <w:r>
        <w:rPr>
          <w:rFonts w:ascii="Calibri" w:hAnsi="Calibri"/>
          <w:sz w:val="24"/>
          <w:szCs w:val="24"/>
        </w:rPr>
        <w:t>̨ symulacji wybranych proces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danego przedsiębiorcy, w tym także wykonania prototyp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w. </w:t>
      </w:r>
    </w:p>
    <w:p w:rsidR="00B612F8" w:rsidRDefault="00F0604C">
      <w:pPr>
        <w:pStyle w:val="TreA"/>
        <w:spacing w:after="10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c. edukacyjno-szkoleniowym,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rych celem jest przekazanie przedsiębiorcom i ich pracownikom wiedzy z zakresu najnowocześniejszych technologii cyfrowych i umiejętności stosowania ich do unowocześnienia sposobu wytwarzania produkt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lub świadczenia usług, ewentualnie do wytwarzania przez danego przedsiębiorcę nowych produkt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 lub świadczenia nowych usług. </w:t>
      </w:r>
    </w:p>
    <w:p w:rsidR="00B612F8" w:rsidRDefault="00F0604C">
      <w:pPr>
        <w:pStyle w:val="TreA"/>
        <w:spacing w:after="10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d. doradczym,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rych celem jest wskazanie przez EDIH możliwości wprowadzenia optymalizacji lub innowacji w istniejącym sposobie wytwarzania produkt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lub świadczenia usług, ewentualnie wytwarzania przez danego przedsiębiorcę nowych produkt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lub świadczenia nowych usług, opartych na najnowocześniejszych technologiach cyfrowych. Działania doradcze są zakończone przygotowaniem dla danego przedsiębiorcy dokumentu będącego szczegółowym planem transformacji cyfrowej jego działalności. Do działań doradczych należ</w:t>
      </w:r>
      <w:r w:rsidRPr="00B535A4">
        <w:rPr>
          <w:rFonts w:ascii="Calibri" w:hAnsi="Calibri"/>
          <w:sz w:val="24"/>
          <w:szCs w:val="24"/>
        </w:rPr>
        <w:t>y r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wnież kompleksowa pomoc świadczona przedsiębiorcy w wyborze optymalnego dla niego źr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dła finansowania transformacji. W przypadku sektora publicznego usługi doradcze świadczone przez EDIH-y obejmują r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wnież wsparcie w procesach zakupowych rozwiązań IT, aby poprzez innowacyjne zam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wienia sektor publiczny tworzył popyt na wysokiej jak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ści usługi i produkty informatyczne.</w:t>
      </w:r>
    </w:p>
    <w:p w:rsidR="00B612F8" w:rsidRDefault="00F0604C">
      <w:pPr>
        <w:pStyle w:val="TreA"/>
        <w:spacing w:after="10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e. wdrożeniowym,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rych celem jest wsparcie zastosowania w działalności przedsiębiorcy rozwiązań opartych na najnowocześniejszych technologiach cyfrowych, w formie pomocy przy integracji i uruchamianiu nowych: maszyn, urządzeń oraz oprogramowania.</w:t>
      </w:r>
    </w:p>
    <w:p w:rsidR="00B612F8" w:rsidRDefault="00F0604C">
      <w:pPr>
        <w:pStyle w:val="TreA"/>
        <w:spacing w:after="100"/>
        <w:jc w:val="both"/>
        <w:rPr>
          <w:rFonts w:hint="eastAsia"/>
        </w:rPr>
      </w:pPr>
      <w:r>
        <w:rPr>
          <w:rFonts w:ascii="Calibri" w:hAnsi="Calibri"/>
          <w:sz w:val="24"/>
          <w:szCs w:val="24"/>
        </w:rPr>
        <w:t>Szczeg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lny nacisk kładzie się na kluczowe technologie wspierane przez program Cyfrowa Europa tj. superkomputery, sztuczną inteligencję i cyberbezpieczeństwo.</w:t>
      </w:r>
    </w:p>
    <w:p w:rsidR="00B612F8" w:rsidRDefault="00F0604C">
      <w:pPr>
        <w:pStyle w:val="TreA"/>
        <w:numPr>
          <w:ilvl w:val="1"/>
          <w:numId w:val="2"/>
        </w:numPr>
        <w:spacing w:before="200" w:after="20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Warunki udziału w programie</w:t>
      </w:r>
    </w:p>
    <w:p w:rsidR="00B612F8" w:rsidRPr="007D47F5" w:rsidRDefault="00F0604C" w:rsidP="00152DAC">
      <w:pPr>
        <w:pStyle w:val="TreA"/>
        <w:spacing w:after="100"/>
        <w:jc w:val="both"/>
        <w:rPr>
          <w:rFonts w:hint="eastAsia"/>
        </w:rPr>
      </w:pPr>
      <w:r>
        <w:rPr>
          <w:rFonts w:ascii="Calibri" w:hAnsi="Calibri"/>
          <w:sz w:val="24"/>
          <w:szCs w:val="24"/>
        </w:rPr>
        <w:t xml:space="preserve">Warunki uczestnictwa w programie Europejskich </w:t>
      </w:r>
      <w:proofErr w:type="spellStart"/>
      <w:r>
        <w:rPr>
          <w:rFonts w:ascii="Calibri" w:hAnsi="Calibri"/>
          <w:sz w:val="24"/>
          <w:szCs w:val="24"/>
        </w:rPr>
        <w:t>Hubów</w:t>
      </w:r>
      <w:proofErr w:type="spellEnd"/>
      <w:r>
        <w:rPr>
          <w:rFonts w:ascii="Calibri" w:hAnsi="Calibri"/>
          <w:sz w:val="24"/>
          <w:szCs w:val="24"/>
        </w:rPr>
        <w:t xml:space="preserve"> Innowacji Cyfrowych, w tym informacje odnoszące się do możliwości udzielania pomocy publicznej oraz zasad finansowania zarówno przez Komisję Europejską</w:t>
      </w:r>
      <w:r w:rsidR="007D47F5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jak i Państwa Członkowskie zawarte są w dokumencie roboczym z dnia </w:t>
      </w:r>
      <w:r w:rsidR="007D47F5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lastRenderedPageBreak/>
        <w:t>2</w:t>
      </w:r>
      <w:r w:rsidR="00457EEC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</w:t>
      </w:r>
      <w:r w:rsidR="00457EEC">
        <w:rPr>
          <w:rFonts w:ascii="Calibri" w:hAnsi="Calibri"/>
          <w:sz w:val="24"/>
          <w:szCs w:val="24"/>
        </w:rPr>
        <w:t>stycznia</w:t>
      </w:r>
      <w:r>
        <w:rPr>
          <w:rFonts w:ascii="Calibri" w:hAnsi="Calibri"/>
          <w:sz w:val="24"/>
          <w:szCs w:val="24"/>
        </w:rPr>
        <w:t xml:space="preserve"> 202</w:t>
      </w:r>
      <w:r w:rsidR="00457EEC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 xml:space="preserve"> r. pt. </w:t>
      </w:r>
      <w:r w:rsidRPr="007D47F5">
        <w:rPr>
          <w:rFonts w:ascii="Calibri" w:hAnsi="Calibri"/>
          <w:sz w:val="24"/>
          <w:szCs w:val="24"/>
        </w:rPr>
        <w:t>„</w:t>
      </w:r>
      <w:proofErr w:type="spellStart"/>
      <w:r w:rsidRPr="007D47F5">
        <w:rPr>
          <w:rFonts w:ascii="Calibri" w:hAnsi="Calibri"/>
          <w:i/>
          <w:iCs/>
          <w:sz w:val="24"/>
          <w:szCs w:val="24"/>
        </w:rPr>
        <w:t>European</w:t>
      </w:r>
      <w:proofErr w:type="spellEnd"/>
      <w:r w:rsidRPr="007D47F5">
        <w:rPr>
          <w:rFonts w:ascii="Calibri" w:hAnsi="Calibri"/>
          <w:i/>
          <w:iCs/>
          <w:sz w:val="24"/>
          <w:szCs w:val="24"/>
        </w:rPr>
        <w:t xml:space="preserve"> Digital </w:t>
      </w:r>
      <w:proofErr w:type="spellStart"/>
      <w:r w:rsidRPr="007D47F5">
        <w:rPr>
          <w:rFonts w:ascii="Calibri" w:hAnsi="Calibri"/>
          <w:i/>
          <w:iCs/>
          <w:sz w:val="24"/>
          <w:szCs w:val="24"/>
        </w:rPr>
        <w:t>Innovation</w:t>
      </w:r>
      <w:proofErr w:type="spellEnd"/>
      <w:r w:rsidRPr="007D47F5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7D47F5">
        <w:rPr>
          <w:rFonts w:ascii="Calibri" w:hAnsi="Calibri"/>
          <w:i/>
          <w:iCs/>
          <w:sz w:val="24"/>
          <w:szCs w:val="24"/>
        </w:rPr>
        <w:t>Hubs</w:t>
      </w:r>
      <w:proofErr w:type="spellEnd"/>
      <w:r w:rsidRPr="007D47F5">
        <w:rPr>
          <w:rFonts w:ascii="Calibri" w:hAnsi="Calibri"/>
          <w:i/>
          <w:iCs/>
          <w:sz w:val="24"/>
          <w:szCs w:val="24"/>
        </w:rPr>
        <w:t xml:space="preserve"> in Digital Europe </w:t>
      </w:r>
      <w:proofErr w:type="spellStart"/>
      <w:r w:rsidRPr="007D47F5">
        <w:rPr>
          <w:rFonts w:ascii="Calibri" w:hAnsi="Calibri"/>
          <w:i/>
          <w:iCs/>
          <w:sz w:val="24"/>
          <w:szCs w:val="24"/>
        </w:rPr>
        <w:t>Programme</w:t>
      </w:r>
      <w:proofErr w:type="spellEnd"/>
      <w:r w:rsidRPr="007D47F5">
        <w:rPr>
          <w:rFonts w:ascii="Calibri" w:hAnsi="Calibri"/>
          <w:i/>
          <w:iCs/>
          <w:sz w:val="24"/>
          <w:szCs w:val="24"/>
        </w:rPr>
        <w:t xml:space="preserve">. Draft </w:t>
      </w:r>
      <w:proofErr w:type="spellStart"/>
      <w:r w:rsidRPr="007D47F5">
        <w:rPr>
          <w:rFonts w:ascii="Calibri" w:hAnsi="Calibri"/>
          <w:i/>
          <w:iCs/>
          <w:sz w:val="24"/>
          <w:szCs w:val="24"/>
        </w:rPr>
        <w:t>wo</w:t>
      </w:r>
      <w:r w:rsidRPr="007D47F5">
        <w:rPr>
          <w:rFonts w:ascii="Calibri" w:hAnsi="Calibri"/>
          <w:i/>
          <w:iCs/>
          <w:sz w:val="24"/>
          <w:szCs w:val="24"/>
        </w:rPr>
        <w:t>r</w:t>
      </w:r>
      <w:r w:rsidRPr="007D47F5">
        <w:rPr>
          <w:rFonts w:ascii="Calibri" w:hAnsi="Calibri"/>
          <w:i/>
          <w:iCs/>
          <w:sz w:val="24"/>
          <w:szCs w:val="24"/>
        </w:rPr>
        <w:t>king</w:t>
      </w:r>
      <w:proofErr w:type="spellEnd"/>
      <w:r w:rsidRPr="007D47F5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7D47F5">
        <w:rPr>
          <w:rFonts w:ascii="Calibri" w:hAnsi="Calibri"/>
          <w:i/>
          <w:iCs/>
          <w:sz w:val="24"/>
          <w:szCs w:val="24"/>
        </w:rPr>
        <w:t>document</w:t>
      </w:r>
      <w:proofErr w:type="spellEnd"/>
      <w:r w:rsidRPr="007D47F5">
        <w:rPr>
          <w:rFonts w:ascii="Calibri" w:hAnsi="Calibri"/>
          <w:i/>
          <w:iCs/>
          <w:sz w:val="24"/>
          <w:szCs w:val="24"/>
        </w:rPr>
        <w:t>”</w:t>
      </w:r>
      <w:r w:rsidR="00152DAC">
        <w:rPr>
          <w:rStyle w:val="Odwoanieprzypisudolnego"/>
          <w:rFonts w:ascii="Calibri" w:hAnsi="Calibri"/>
          <w:i/>
          <w:iCs/>
          <w:sz w:val="24"/>
          <w:szCs w:val="24"/>
        </w:rPr>
        <w:footnoteReference w:id="2"/>
      </w:r>
      <w:r w:rsidRPr="007D47F5">
        <w:rPr>
          <w:rFonts w:ascii="Calibri" w:hAnsi="Calibri"/>
          <w:i/>
          <w:iCs/>
          <w:sz w:val="24"/>
          <w:szCs w:val="24"/>
        </w:rPr>
        <w:t>.</w:t>
      </w:r>
      <w:r w:rsidR="00152DAC" w:rsidRPr="007D47F5">
        <w:t xml:space="preserve"> </w:t>
      </w:r>
    </w:p>
    <w:p w:rsidR="00B612F8" w:rsidRDefault="00F0604C">
      <w:pPr>
        <w:pStyle w:val="TreA"/>
        <w:numPr>
          <w:ilvl w:val="1"/>
          <w:numId w:val="2"/>
        </w:numPr>
        <w:spacing w:before="200" w:after="20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Model finansowania i koszty kwalifikowalne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  <w:u w:color="CC503E"/>
        </w:rPr>
      </w:pPr>
      <w:r>
        <w:rPr>
          <w:rFonts w:ascii="Calibri" w:hAnsi="Calibri"/>
          <w:sz w:val="24"/>
          <w:szCs w:val="24"/>
        </w:rPr>
        <w:t>Model finansowania Europejskich Hub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 Innowacji Cyfrowych opiera się na mechanizmie </w:t>
      </w:r>
      <w:r>
        <w:rPr>
          <w:rFonts w:ascii="Calibri" w:hAnsi="Calibri"/>
          <w:sz w:val="24"/>
          <w:szCs w:val="24"/>
          <w:u w:val="single"/>
        </w:rPr>
        <w:t>refinansowania koszt</w:t>
      </w:r>
      <w:r>
        <w:rPr>
          <w:rFonts w:ascii="Calibri" w:hAnsi="Calibri"/>
          <w:sz w:val="24"/>
          <w:szCs w:val="24"/>
          <w:u w:val="single"/>
          <w:lang w:val="es-ES_tradnl"/>
        </w:rPr>
        <w:t>ó</w:t>
      </w:r>
      <w:r>
        <w:rPr>
          <w:rFonts w:ascii="Calibri" w:hAnsi="Calibri"/>
          <w:sz w:val="24"/>
          <w:szCs w:val="24"/>
          <w:u w:val="single"/>
        </w:rPr>
        <w:t>w usług</w:t>
      </w:r>
      <w:r>
        <w:rPr>
          <w:rFonts w:ascii="Calibri" w:hAnsi="Calibri"/>
          <w:sz w:val="24"/>
          <w:szCs w:val="24"/>
        </w:rPr>
        <w:t xml:space="preserve"> świadczonych końcowym beneficjentom. </w:t>
      </w:r>
      <w:r>
        <w:rPr>
          <w:rFonts w:ascii="Calibri" w:hAnsi="Calibri"/>
          <w:sz w:val="24"/>
          <w:szCs w:val="24"/>
          <w:u w:val="single"/>
        </w:rPr>
        <w:t>Cała kwota udzielonego EDIH-om grantu stanowi wartość wyświadczonych usług.</w:t>
      </w:r>
      <w:r>
        <w:rPr>
          <w:rFonts w:ascii="Calibri" w:hAnsi="Calibri"/>
          <w:sz w:val="24"/>
          <w:szCs w:val="24"/>
        </w:rPr>
        <w:t xml:space="preserve"> </w:t>
      </w:r>
    </w:p>
    <w:p w:rsidR="00B612F8" w:rsidRDefault="00F0604C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Otrzymany z Programu Cyfrowa Europa i środków krajowych</w:t>
      </w:r>
      <w:r>
        <w:t xml:space="preserve"> </w:t>
      </w:r>
      <w:r>
        <w:rPr>
          <w:rFonts w:ascii="Calibri" w:hAnsi="Calibri"/>
        </w:rPr>
        <w:t xml:space="preserve">grant umożliwia </w:t>
      </w:r>
      <w:r>
        <w:rPr>
          <w:rFonts w:ascii="Calibri" w:hAnsi="Calibri"/>
          <w:u w:val="single"/>
        </w:rPr>
        <w:t>pokrycie całości koszt</w:t>
      </w:r>
      <w:r>
        <w:rPr>
          <w:rFonts w:ascii="Calibri" w:hAnsi="Calibri"/>
          <w:u w:val="single"/>
          <w:lang w:val="es-ES_tradnl"/>
        </w:rPr>
        <w:t>ó</w:t>
      </w:r>
      <w:r>
        <w:rPr>
          <w:rFonts w:ascii="Calibri" w:hAnsi="Calibri"/>
          <w:u w:val="single"/>
        </w:rPr>
        <w:t xml:space="preserve">w kwalifikowalnych związanych z </w:t>
      </w:r>
      <w:r w:rsidR="004C69F3">
        <w:rPr>
          <w:rFonts w:ascii="Calibri" w:hAnsi="Calibri"/>
          <w:u w:val="single"/>
        </w:rPr>
        <w:t>świadczeniem usług</w:t>
      </w:r>
      <w:r>
        <w:rPr>
          <w:rFonts w:ascii="Calibri" w:hAnsi="Calibri"/>
          <w:u w:val="single"/>
        </w:rPr>
        <w:t xml:space="preserve"> dla polskich małych i średnich przedsiębiorc</w:t>
      </w:r>
      <w:r>
        <w:rPr>
          <w:rFonts w:ascii="Calibri" w:hAnsi="Calibri"/>
          <w:u w:val="single"/>
          <w:lang w:val="es-ES_tradnl"/>
        </w:rPr>
        <w:t>ó</w:t>
      </w:r>
      <w:r w:rsidRPr="00B535A4">
        <w:rPr>
          <w:rFonts w:ascii="Calibri" w:hAnsi="Calibri"/>
          <w:u w:val="single"/>
        </w:rPr>
        <w:t>w</w:t>
      </w:r>
      <w:r>
        <w:rPr>
          <w:rFonts w:ascii="Calibri" w:hAnsi="Calibri"/>
          <w:u w:val="single"/>
        </w:rPr>
        <w:t xml:space="preserve"> oraz administracji publicznej</w:t>
      </w:r>
      <w:r>
        <w:rPr>
          <w:rFonts w:ascii="Calibri" w:hAnsi="Calibri"/>
        </w:rPr>
        <w:t>.</w:t>
      </w:r>
    </w:p>
    <w:p w:rsidR="00B612F8" w:rsidRDefault="00F0604C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Do 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kwalifikowalnych zalicza się</w:t>
      </w:r>
      <w:r w:rsidR="00152DAC">
        <w:rPr>
          <w:rFonts w:ascii="Calibri" w:hAnsi="Calibri"/>
        </w:rPr>
        <w:t>:</w:t>
      </w:r>
    </w:p>
    <w:p w:rsidR="00B612F8" w:rsidRDefault="00F0604C">
      <w:pPr>
        <w:pStyle w:val="TreB"/>
        <w:numPr>
          <w:ilvl w:val="0"/>
          <w:numId w:val="6"/>
        </w:numPr>
        <w:spacing w:before="120" w:line="360" w:lineRule="auto"/>
        <w:jc w:val="both"/>
      </w:pPr>
      <w:r>
        <w:rPr>
          <w:rFonts w:ascii="Calibri" w:hAnsi="Calibri"/>
        </w:rPr>
        <w:t>Koszty pośrednie w wysokości do 7% wysokości kwoty grantu</w:t>
      </w:r>
      <w:r w:rsidR="00152DAC">
        <w:rPr>
          <w:rFonts w:ascii="Calibri" w:hAnsi="Calibri"/>
        </w:rPr>
        <w:t>,</w:t>
      </w:r>
    </w:p>
    <w:p w:rsidR="00B612F8" w:rsidRDefault="0026444B">
      <w:pPr>
        <w:pStyle w:val="TreB"/>
        <w:numPr>
          <w:ilvl w:val="0"/>
          <w:numId w:val="6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Zakup i amortyzację</w:t>
      </w:r>
      <w:r w:rsidR="00F0604C">
        <w:rPr>
          <w:rFonts w:ascii="Calibri" w:hAnsi="Calibri"/>
        </w:rPr>
        <w:t xml:space="preserve"> wyposażenia i infrastruktury służącej do świadczenia usług (zar</w:t>
      </w:r>
      <w:r w:rsidR="00F0604C">
        <w:rPr>
          <w:rFonts w:ascii="Calibri" w:hAnsi="Calibri"/>
          <w:lang w:val="es-ES_tradnl"/>
        </w:rPr>
        <w:t>ó</w:t>
      </w:r>
      <w:r w:rsidR="00F0604C">
        <w:rPr>
          <w:rFonts w:ascii="Calibri" w:hAnsi="Calibri"/>
        </w:rPr>
        <w:t xml:space="preserve">wno </w:t>
      </w:r>
      <w:r w:rsidR="00F0604C">
        <w:rPr>
          <w:rFonts w:ascii="Calibri" w:hAnsi="Calibri"/>
          <w:i/>
          <w:iCs/>
          <w:lang w:val="nl-NL"/>
        </w:rPr>
        <w:t>hardware</w:t>
      </w:r>
      <w:r w:rsidR="00F0604C">
        <w:rPr>
          <w:rFonts w:ascii="Calibri" w:hAnsi="Calibri"/>
        </w:rPr>
        <w:t xml:space="preserve">, jak i </w:t>
      </w:r>
      <w:r w:rsidR="00F0604C" w:rsidRPr="00B535A4">
        <w:rPr>
          <w:rFonts w:ascii="Calibri" w:hAnsi="Calibri"/>
          <w:i/>
          <w:iCs/>
        </w:rPr>
        <w:t xml:space="preserve">software). </w:t>
      </w:r>
      <w:r w:rsidR="00F0604C">
        <w:rPr>
          <w:rFonts w:ascii="Calibri" w:hAnsi="Calibri"/>
        </w:rPr>
        <w:t>Nie przewiduje się zakupu zupełnie nowej infrastruktury, a jedynie doposażenie lub rozbudowę infrastruktury już istniejącej,</w:t>
      </w:r>
    </w:p>
    <w:p w:rsidR="00B612F8" w:rsidRDefault="00F0604C">
      <w:pPr>
        <w:pStyle w:val="TreB"/>
        <w:numPr>
          <w:ilvl w:val="0"/>
          <w:numId w:val="6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Wynagrodzenia zatrudnionych na umowę o pracę przez koordynatora oraz stałych partner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ekspert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w, bezpośrednio i trwale zaangażowanych w działalność EDIH-a, oraz wynagrodzenie za realizację usług dla ekspert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będących pracownikami partner</w:t>
      </w:r>
      <w:r>
        <w:rPr>
          <w:rFonts w:ascii="Calibri" w:hAnsi="Calibri"/>
          <w:lang w:val="es-ES_tradnl"/>
        </w:rPr>
        <w:t>ó</w:t>
      </w:r>
      <w:r w:rsidRPr="00B535A4">
        <w:rPr>
          <w:rFonts w:ascii="Calibri" w:hAnsi="Calibri"/>
        </w:rPr>
        <w:t>w ad hoc</w:t>
      </w:r>
      <w:r>
        <w:rPr>
          <w:rFonts w:ascii="Calibri" w:hAnsi="Calibri"/>
        </w:rPr>
        <w:t>,</w:t>
      </w:r>
    </w:p>
    <w:p w:rsidR="00B612F8" w:rsidRDefault="00F0604C">
      <w:pPr>
        <w:pStyle w:val="TreB"/>
        <w:numPr>
          <w:ilvl w:val="0"/>
          <w:numId w:val="6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Koszty delegacji ponoszone przez ekspert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EDIH-a.</w:t>
      </w:r>
    </w:p>
    <w:p w:rsidR="00B612F8" w:rsidRDefault="00F0604C">
      <w:pPr>
        <w:pStyle w:val="TreA"/>
        <w:numPr>
          <w:ilvl w:val="1"/>
          <w:numId w:val="7"/>
        </w:numPr>
        <w:spacing w:before="200" w:after="20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Warunki udziału w preselekcji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Warunkiem udziału w preselekcji jest złożenie przez koordynatora kandydata na EDIH-a wypełnionego formularza aplikacyjnego oraz </w:t>
      </w:r>
      <w:r>
        <w:rPr>
          <w:rFonts w:ascii="Calibri" w:hAnsi="Calibri"/>
          <w:sz w:val="24"/>
          <w:szCs w:val="24"/>
          <w:u w:val="single"/>
        </w:rPr>
        <w:t>deklaracji o spełnieniu wymog</w:t>
      </w:r>
      <w:r>
        <w:rPr>
          <w:rFonts w:ascii="Calibri" w:hAnsi="Calibri"/>
          <w:sz w:val="24"/>
          <w:szCs w:val="24"/>
          <w:u w:val="single"/>
          <w:lang w:val="es-ES_tradnl"/>
        </w:rPr>
        <w:t>ó</w:t>
      </w:r>
      <w:r>
        <w:rPr>
          <w:rFonts w:ascii="Calibri" w:hAnsi="Calibri"/>
          <w:sz w:val="24"/>
          <w:szCs w:val="24"/>
          <w:u w:val="single"/>
        </w:rPr>
        <w:t>w formalnych</w:t>
      </w:r>
      <w:r>
        <w:rPr>
          <w:rFonts w:ascii="Calibri" w:hAnsi="Calibri"/>
          <w:sz w:val="24"/>
          <w:szCs w:val="24"/>
        </w:rPr>
        <w:t xml:space="preserve"> opisanych w dokumencie roboczym Komisji Europejskiej z dnia 2</w:t>
      </w:r>
      <w:r w:rsidR="00457EEC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</w:t>
      </w:r>
      <w:r w:rsidR="00457EEC">
        <w:rPr>
          <w:rFonts w:ascii="Calibri" w:hAnsi="Calibri"/>
          <w:sz w:val="24"/>
          <w:szCs w:val="24"/>
        </w:rPr>
        <w:t>stycznia</w:t>
      </w:r>
      <w:r>
        <w:rPr>
          <w:rFonts w:ascii="Calibri" w:hAnsi="Calibri"/>
          <w:sz w:val="24"/>
          <w:szCs w:val="24"/>
        </w:rPr>
        <w:t xml:space="preserve"> 202</w:t>
      </w:r>
      <w:r w:rsidR="00457EEC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 xml:space="preserve"> r. pt. </w:t>
      </w:r>
      <w:r>
        <w:rPr>
          <w:rFonts w:ascii="Calibri" w:hAnsi="Calibri"/>
          <w:sz w:val="24"/>
          <w:szCs w:val="24"/>
          <w:lang w:val="en-US"/>
        </w:rPr>
        <w:t>„</w:t>
      </w:r>
      <w:r>
        <w:rPr>
          <w:rFonts w:ascii="Calibri" w:hAnsi="Calibri"/>
          <w:i/>
          <w:iCs/>
          <w:sz w:val="24"/>
          <w:szCs w:val="24"/>
          <w:lang w:val="en-US"/>
        </w:rPr>
        <w:t>European Digital Innovation Hubs in Digital Europe Programme. Draft working document”, (ANNEX – admissibility and el</w:t>
      </w:r>
      <w:r>
        <w:rPr>
          <w:rFonts w:ascii="Calibri" w:hAnsi="Calibri"/>
          <w:i/>
          <w:iCs/>
          <w:sz w:val="24"/>
          <w:szCs w:val="24"/>
          <w:lang w:val="en-US"/>
        </w:rPr>
        <w:t>i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gibility criteria for proposals in Digital Europe Programme, s. 44). </w:t>
      </w:r>
      <w:r>
        <w:rPr>
          <w:rFonts w:ascii="Calibri" w:hAnsi="Calibri"/>
          <w:sz w:val="24"/>
          <w:szCs w:val="24"/>
        </w:rPr>
        <w:t>Deklaracja musi zawierać oświadczenie o spełnianiu wskazanych tam kryteri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kwalifikowalności (</w:t>
      </w:r>
      <w:r w:rsidRPr="00B535A4">
        <w:rPr>
          <w:rFonts w:ascii="Calibri" w:hAnsi="Calibri"/>
          <w:i/>
          <w:iCs/>
          <w:sz w:val="24"/>
          <w:szCs w:val="24"/>
        </w:rPr>
        <w:t>eligibility criteria)</w:t>
      </w:r>
      <w:r>
        <w:rPr>
          <w:rFonts w:ascii="Calibri" w:hAnsi="Calibri"/>
          <w:sz w:val="24"/>
          <w:szCs w:val="24"/>
        </w:rPr>
        <w:t>, a także oświadczenie o niezaistnieniu kryteri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wykluczających (</w:t>
      </w:r>
      <w:r>
        <w:rPr>
          <w:rFonts w:ascii="Calibri" w:hAnsi="Calibri"/>
          <w:i/>
          <w:iCs/>
          <w:sz w:val="24"/>
          <w:szCs w:val="24"/>
          <w:lang w:val="fr-FR"/>
        </w:rPr>
        <w:t>exclusion criteria</w:t>
      </w:r>
      <w:r>
        <w:rPr>
          <w:rFonts w:ascii="Calibri" w:hAnsi="Calibri"/>
          <w:sz w:val="24"/>
          <w:szCs w:val="24"/>
        </w:rPr>
        <w:t>). Złożenie niezgodnego z prawdą oświadczenia będzie skutkowało wykluczeniem aplikującego podmiotu na etapie pó</w:t>
      </w:r>
      <w:r>
        <w:rPr>
          <w:rFonts w:ascii="Calibri" w:hAnsi="Calibri"/>
          <w:sz w:val="24"/>
          <w:szCs w:val="24"/>
        </w:rPr>
        <w:t>ź</w:t>
      </w:r>
      <w:r>
        <w:rPr>
          <w:rFonts w:ascii="Calibri" w:hAnsi="Calibri"/>
          <w:sz w:val="24"/>
          <w:szCs w:val="24"/>
        </w:rPr>
        <w:t>niejszej oceny wniosku przez Komisję Europejską.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Aplikację wraz z deklaracją </w:t>
      </w:r>
      <w:r>
        <w:rPr>
          <w:rFonts w:ascii="Calibri" w:hAnsi="Calibri"/>
          <w:sz w:val="24"/>
          <w:szCs w:val="24"/>
          <w:lang w:val="it-IT"/>
        </w:rPr>
        <w:t>o spe</w:t>
      </w:r>
      <w:r>
        <w:rPr>
          <w:rFonts w:ascii="Calibri" w:hAnsi="Calibri"/>
          <w:sz w:val="24"/>
          <w:szCs w:val="24"/>
        </w:rPr>
        <w:t>łnieniu wymog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 formalnych podpisaną elektronicznie przez osobę będącą prawnym reprezentantem aplikującego podmiotu należy przesłać </w:t>
      </w:r>
      <w:r>
        <w:rPr>
          <w:rFonts w:ascii="Calibri" w:hAnsi="Calibri"/>
          <w:sz w:val="24"/>
          <w:szCs w:val="24"/>
          <w:u w:val="single"/>
        </w:rPr>
        <w:t>do dnia 01.03.2021 r.</w:t>
      </w:r>
      <w:r>
        <w:rPr>
          <w:rFonts w:ascii="Calibri" w:hAnsi="Calibri"/>
          <w:sz w:val="24"/>
          <w:szCs w:val="24"/>
          <w:u w:color="89E268"/>
        </w:rPr>
        <w:t xml:space="preserve"> </w:t>
      </w:r>
      <w:r>
        <w:rPr>
          <w:rFonts w:ascii="Calibri" w:hAnsi="Calibri"/>
          <w:sz w:val="24"/>
          <w:szCs w:val="24"/>
        </w:rPr>
        <w:t>na adres poczty elektronicznej: konkursDIH[at]mrpit.gov.pl.</w:t>
      </w:r>
    </w:p>
    <w:p w:rsidR="00B612F8" w:rsidRDefault="00F0604C">
      <w:pPr>
        <w:pStyle w:val="TreA"/>
        <w:numPr>
          <w:ilvl w:val="1"/>
          <w:numId w:val="2"/>
        </w:numPr>
        <w:spacing w:before="200" w:after="20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Kryteria formalne</w:t>
      </w:r>
    </w:p>
    <w:p w:rsidR="00EF2B00" w:rsidRDefault="00EF2B00" w:rsidP="00EF2B00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 roli EDIH-a mogą aplikować ośrodki mające charakter EDIH-a regionalnego </w:t>
      </w:r>
      <w:r>
        <w:rPr>
          <w:rFonts w:ascii="Calibri" w:hAnsi="Calibri"/>
          <w:sz w:val="24"/>
          <w:szCs w:val="24"/>
          <w:u w:val="single"/>
        </w:rPr>
        <w:t>albo</w:t>
      </w:r>
      <w:r>
        <w:rPr>
          <w:rFonts w:ascii="Calibri" w:hAnsi="Calibri"/>
          <w:sz w:val="24"/>
          <w:szCs w:val="24"/>
        </w:rPr>
        <w:t xml:space="preserve"> tzw. EDIH-a specjalistycznego. Głównym modelem są EDIH-y regionalne,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re świadczą usługi przedsiębiorcom mającym przeważnie siedzibę na terenie jednego lub kilku sąsiadujących ze sobą wojew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dztw. EDIH-y specjalistyczne specjalizują się w konkretnej branży lub w jednej albo kilku </w:t>
      </w:r>
      <w:r w:rsidR="0026444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z wiodących technologii cyfrowych, integrując je w skali og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lnopolskiej. EDIH-y specjalistyczne pełnią funkcję komplementarną wobec EDIH-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 regionalnych, tzn. dostarczają wiedzę </w:t>
      </w:r>
      <w:r w:rsidR="0026444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i kompetencje na tyle rzadkie, że nieoptymalne byłoby dublowanie ich w każdym z EDIH-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regi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nalnych. Obejmą one zakresem swojej działalności docelowo cały kraj.</w:t>
      </w:r>
    </w:p>
    <w:p w:rsidR="00EF2B00" w:rsidRDefault="00EF2B00" w:rsidP="00EF2B00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EDIH posiada trzypoziomową strukturę organizacyjną. Poziom pierwszy stanowi podmiot będący koordynatorem EDIH-a. Koordynator pełni funkcję </w:t>
      </w:r>
      <w:r>
        <w:rPr>
          <w:rFonts w:ascii="Calibri" w:hAnsi="Calibri"/>
          <w:sz w:val="24"/>
          <w:szCs w:val="24"/>
          <w:lang w:val="it-IT"/>
        </w:rPr>
        <w:t xml:space="preserve">operatora i managera hubu. </w:t>
      </w:r>
      <w:r>
        <w:rPr>
          <w:rFonts w:ascii="Calibri" w:hAnsi="Calibri"/>
          <w:sz w:val="24"/>
          <w:szCs w:val="24"/>
          <w:u w:val="single"/>
        </w:rPr>
        <w:t>Stanowi pierwszy punkt kontaktu dla potencjalnego klienta</w:t>
      </w:r>
      <w:r>
        <w:rPr>
          <w:rFonts w:ascii="Calibri" w:hAnsi="Calibri"/>
          <w:sz w:val="24"/>
          <w:szCs w:val="24"/>
        </w:rPr>
        <w:t xml:space="preserve"> i jest jego „opiekunem” przez cały okres świadczenia usług. </w:t>
      </w:r>
      <w:r>
        <w:rPr>
          <w:rFonts w:ascii="Calibri" w:hAnsi="Calibri"/>
          <w:sz w:val="24"/>
          <w:szCs w:val="24"/>
          <w:u w:val="single"/>
        </w:rPr>
        <w:t>Koordynator odpowiada za działania informacyjno-promocyjne</w:t>
      </w:r>
      <w:r>
        <w:rPr>
          <w:rFonts w:ascii="Calibri" w:hAnsi="Calibri"/>
          <w:sz w:val="24"/>
          <w:szCs w:val="24"/>
        </w:rPr>
        <w:t xml:space="preserve">, aktywnie zabiega </w:t>
      </w:r>
      <w:r w:rsidR="0026444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o pozyskanie nowych klient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w, w spos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b wystandaryzowany dokonuje analizy dojrzałości techn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logicznej klienta aby następnie skierować go do odpowiednich partner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rzy świadczą mu szyty na miarę pakiet usług. Koordynator prowadzi dokumentację finansową EDIH-a i </w:t>
      </w:r>
      <w:r>
        <w:rPr>
          <w:rFonts w:ascii="Calibri" w:hAnsi="Calibri"/>
          <w:sz w:val="24"/>
          <w:szCs w:val="24"/>
          <w:u w:val="single"/>
        </w:rPr>
        <w:t>dysponuje kwotą grantu</w:t>
      </w:r>
      <w:r>
        <w:rPr>
          <w:rFonts w:ascii="Calibri" w:hAnsi="Calibri"/>
          <w:sz w:val="24"/>
          <w:szCs w:val="24"/>
        </w:rPr>
        <w:t xml:space="preserve">. Pracownicy koordynatora zaangażowani w działalność EDIH-a </w:t>
      </w:r>
      <w:r>
        <w:rPr>
          <w:rFonts w:ascii="Calibri" w:hAnsi="Calibri"/>
          <w:sz w:val="24"/>
          <w:szCs w:val="24"/>
          <w:u w:val="single"/>
        </w:rPr>
        <w:t>są zatrudnieni na umowę o pracę.</w:t>
      </w:r>
    </w:p>
    <w:p w:rsidR="00EF2B00" w:rsidRDefault="00EF2B00" w:rsidP="00EF2B00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Poziom drugi stanowią podmioty deklarowane jako stali partnerzy (w liczbie maksymalnie 7). Są oni w spos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b ciągły zaangażowani w działalność EDIH-a poprzez delegowanie na potrzeby jego funkcjonowania „</w:t>
      </w:r>
      <w:r>
        <w:rPr>
          <w:rFonts w:ascii="Calibri" w:hAnsi="Calibri"/>
          <w:sz w:val="24"/>
          <w:szCs w:val="24"/>
          <w:lang w:val="it-IT"/>
        </w:rPr>
        <w:t>na pe</w:t>
      </w:r>
      <w:r>
        <w:rPr>
          <w:rFonts w:ascii="Calibri" w:hAnsi="Calibri"/>
          <w:sz w:val="24"/>
          <w:szCs w:val="24"/>
        </w:rPr>
        <w:t>łen etat” części swoich zasob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(zar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wno ludzkich, jak i technicznych). Pracownicy stałych partner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 zaangażowani w działalność EDIH-a </w:t>
      </w:r>
      <w:r>
        <w:rPr>
          <w:rFonts w:ascii="Calibri" w:hAnsi="Calibri"/>
          <w:sz w:val="24"/>
          <w:szCs w:val="24"/>
          <w:u w:val="single"/>
        </w:rPr>
        <w:t xml:space="preserve">są zatrudnieni na umowę </w:t>
      </w:r>
      <w:r w:rsidR="0026444B">
        <w:rPr>
          <w:rFonts w:ascii="Calibri" w:hAnsi="Calibri"/>
          <w:sz w:val="24"/>
          <w:szCs w:val="24"/>
          <w:u w:val="single"/>
        </w:rPr>
        <w:br/>
      </w:r>
      <w:r>
        <w:rPr>
          <w:rFonts w:ascii="Calibri" w:hAnsi="Calibri"/>
          <w:sz w:val="24"/>
          <w:szCs w:val="24"/>
          <w:u w:val="single"/>
        </w:rPr>
        <w:t>o pracę</w:t>
      </w:r>
      <w:r>
        <w:rPr>
          <w:rFonts w:ascii="Calibri" w:hAnsi="Calibri"/>
          <w:sz w:val="24"/>
          <w:szCs w:val="24"/>
        </w:rPr>
        <w:t xml:space="preserve">. Stali partnerzy odpowiadają </w:t>
      </w:r>
      <w:r>
        <w:rPr>
          <w:rFonts w:ascii="Calibri" w:hAnsi="Calibri"/>
          <w:sz w:val="24"/>
          <w:szCs w:val="24"/>
          <w:lang w:val="it-IT"/>
        </w:rPr>
        <w:t xml:space="preserve">za </w:t>
      </w:r>
      <w:r>
        <w:rPr>
          <w:rFonts w:ascii="Calibri" w:hAnsi="Calibri"/>
          <w:sz w:val="24"/>
          <w:szCs w:val="24"/>
        </w:rPr>
        <w:t>świadczenie trzonu usług oferowanych przez EDIH-a, tzw. „bazę usług”, zaadresowanych do większości jego klient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w. </w:t>
      </w:r>
      <w:r w:rsidR="0026444B">
        <w:rPr>
          <w:rFonts w:ascii="Calibri" w:hAnsi="Calibri"/>
          <w:sz w:val="24"/>
          <w:szCs w:val="24"/>
        </w:rPr>
        <w:t>Ś</w:t>
      </w:r>
      <w:r>
        <w:rPr>
          <w:rFonts w:ascii="Calibri" w:hAnsi="Calibri"/>
          <w:sz w:val="24"/>
          <w:szCs w:val="24"/>
        </w:rPr>
        <w:t xml:space="preserve">wiadczą </w:t>
      </w:r>
      <w:r w:rsidR="0026444B">
        <w:rPr>
          <w:rFonts w:ascii="Calibri" w:hAnsi="Calibri"/>
          <w:sz w:val="24"/>
          <w:szCs w:val="24"/>
        </w:rPr>
        <w:t xml:space="preserve">oni </w:t>
      </w:r>
      <w:r>
        <w:rPr>
          <w:rFonts w:ascii="Calibri" w:hAnsi="Calibri"/>
          <w:sz w:val="24"/>
          <w:szCs w:val="24"/>
        </w:rPr>
        <w:t xml:space="preserve">usługi, </w:t>
      </w:r>
      <w:proofErr w:type="spellStart"/>
      <w:r>
        <w:rPr>
          <w:rFonts w:ascii="Calibri" w:hAnsi="Calibri"/>
          <w:sz w:val="24"/>
          <w:szCs w:val="24"/>
        </w:rPr>
        <w:t>kt</w:t>
      </w:r>
      <w:proofErr w:type="spellEnd"/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rych </w:t>
      </w:r>
      <w:r>
        <w:rPr>
          <w:rFonts w:ascii="Calibri" w:hAnsi="Calibri"/>
          <w:sz w:val="24"/>
          <w:szCs w:val="24"/>
          <w:u w:val="single"/>
        </w:rPr>
        <w:t>koszty</w:t>
      </w:r>
      <w:r>
        <w:rPr>
          <w:rFonts w:ascii="Calibri" w:hAnsi="Calibri"/>
          <w:sz w:val="24"/>
          <w:szCs w:val="24"/>
        </w:rPr>
        <w:t xml:space="preserve"> k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ordynator refinansuje z przyznanego EDIH-owi grantu. </w:t>
      </w:r>
    </w:p>
    <w:p w:rsidR="00EF2B00" w:rsidRDefault="00EF2B00" w:rsidP="00EF2B00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Poziom trzeci stanowią podmioty deklarowane jako partnerzy ad hoc (ich liczba nie jest ograniczona). Partnerzy ad hoc są zaangażowani w funkcjonowanie EDIH-a, gdy pojawi się taka potrzeba. Oznacza to sytuację, w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rej dany klient zgłasza zapotrzebowanie na konkretną usługę, </w:t>
      </w:r>
      <w:r>
        <w:rPr>
          <w:rFonts w:ascii="Calibri" w:hAnsi="Calibri"/>
          <w:sz w:val="24"/>
          <w:szCs w:val="24"/>
        </w:rPr>
        <w:lastRenderedPageBreak/>
        <w:t>a stali partnerzy nie są mu w stanie jej wyświadczyć</w:t>
      </w:r>
      <w:r w:rsidRPr="00B535A4">
        <w:rPr>
          <w:rFonts w:ascii="Calibri" w:hAnsi="Calibri"/>
          <w:sz w:val="24"/>
          <w:szCs w:val="24"/>
        </w:rPr>
        <w:t>. W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wczas koordynator kieruje klienta do o</w:t>
      </w:r>
      <w:r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powiedniego partnera ad hoc. Partnerzy ad hoc świadczą usługi,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rych </w:t>
      </w:r>
      <w:r>
        <w:rPr>
          <w:rFonts w:ascii="Calibri" w:hAnsi="Calibri"/>
          <w:sz w:val="24"/>
          <w:szCs w:val="24"/>
          <w:u w:val="single"/>
        </w:rPr>
        <w:t>koszty</w:t>
      </w:r>
      <w:r>
        <w:rPr>
          <w:rFonts w:ascii="Calibri" w:hAnsi="Calibri"/>
          <w:sz w:val="24"/>
          <w:szCs w:val="24"/>
        </w:rPr>
        <w:t xml:space="preserve"> koordynator refinansuje z przyznanego EDIH-owi grantu.</w:t>
      </w:r>
    </w:p>
    <w:p w:rsidR="00EF2B00" w:rsidRDefault="00EF2B00" w:rsidP="00EF2B00">
      <w:pPr>
        <w:pStyle w:val="Tr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aplikacji należy wskazać kwotę wnioskowanego grantu. W celu jej określenia należy oszacować całkowity koszt świadczenia przez EDIH usług w latach 2021-2023 (faza pierwsza). Przy szacowaniu wysokości kwoty wnioskowanego grantu należy uwzględnić </w:t>
      </w:r>
      <w:r>
        <w:rPr>
          <w:rFonts w:ascii="Calibri" w:hAnsi="Calibri"/>
          <w:u w:val="single"/>
        </w:rPr>
        <w:t>wyłącznie</w:t>
      </w:r>
      <w:r>
        <w:rPr>
          <w:rFonts w:ascii="Calibri" w:hAnsi="Calibri"/>
        </w:rPr>
        <w:t xml:space="preserve"> pozycje wskazują</w:t>
      </w:r>
      <w:r>
        <w:rPr>
          <w:rFonts w:ascii="Calibri" w:hAnsi="Calibri"/>
          <w:lang w:val="it-IT"/>
        </w:rPr>
        <w:t xml:space="preserve">ce: </w:t>
      </w:r>
    </w:p>
    <w:p w:rsidR="00EF2B00" w:rsidRDefault="00EF2B00" w:rsidP="00EF2B00">
      <w:pPr>
        <w:pStyle w:val="TreB"/>
        <w:numPr>
          <w:ilvl w:val="0"/>
          <w:numId w:val="6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Wysokość koszt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pośrednich,</w:t>
      </w:r>
    </w:p>
    <w:p w:rsidR="00EF2B00" w:rsidRDefault="00EF2B00" w:rsidP="00EF2B00">
      <w:pPr>
        <w:pStyle w:val="TreB"/>
        <w:numPr>
          <w:ilvl w:val="0"/>
          <w:numId w:val="6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Całkowity koszt świadczonych usług, na 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 składają się koszty wynagrodzenia ekspert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oraz amortyzacji infrastruktury technicznej. Należy wskazać koszt maksymalnej liczby danych usług możliwych do wyświadczenia przez EDIH,</w:t>
      </w:r>
    </w:p>
    <w:p w:rsidR="00EF2B00" w:rsidRDefault="00EF2B00" w:rsidP="00EF2B00">
      <w:pPr>
        <w:pStyle w:val="TreB"/>
        <w:numPr>
          <w:ilvl w:val="0"/>
          <w:numId w:val="6"/>
        </w:numPr>
        <w:spacing w:before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Koszty ewentualnych zakup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infrastruktury,</w:t>
      </w:r>
    </w:p>
    <w:p w:rsidR="00EF2B00" w:rsidRDefault="00EF2B00" w:rsidP="00EF2B00">
      <w:pPr>
        <w:pStyle w:val="TreB"/>
        <w:numPr>
          <w:ilvl w:val="0"/>
          <w:numId w:val="6"/>
        </w:numPr>
        <w:spacing w:before="120" w:after="10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Koszty delegacji.</w:t>
      </w:r>
    </w:p>
    <w:p w:rsidR="00EF2B00" w:rsidRDefault="00EF2B00" w:rsidP="00EF2B00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Suma powyższych koszt</w:t>
      </w:r>
      <w:r>
        <w:rPr>
          <w:rFonts w:ascii="Calibri" w:hAnsi="Calibri"/>
          <w:sz w:val="24"/>
          <w:szCs w:val="24"/>
          <w:u w:val="single"/>
          <w:lang w:val="es-ES_tradnl"/>
        </w:rPr>
        <w:t>ó</w:t>
      </w:r>
      <w:r>
        <w:rPr>
          <w:rFonts w:ascii="Calibri" w:hAnsi="Calibri"/>
          <w:sz w:val="24"/>
          <w:szCs w:val="24"/>
          <w:u w:val="single"/>
        </w:rPr>
        <w:t>w musi być r</w:t>
      </w:r>
      <w:r>
        <w:rPr>
          <w:rFonts w:ascii="Calibri" w:hAnsi="Calibri"/>
          <w:sz w:val="24"/>
          <w:szCs w:val="24"/>
          <w:u w:val="single"/>
          <w:lang w:val="es-ES_tradnl"/>
        </w:rPr>
        <w:t>ó</w:t>
      </w:r>
      <w:r>
        <w:rPr>
          <w:rFonts w:ascii="Calibri" w:hAnsi="Calibri"/>
          <w:sz w:val="24"/>
          <w:szCs w:val="24"/>
          <w:u w:val="single"/>
        </w:rPr>
        <w:t>wna kwocie wnioskowanego grantu.</w:t>
      </w:r>
      <w:r>
        <w:rPr>
          <w:rFonts w:ascii="Calibri" w:hAnsi="Calibri"/>
          <w:sz w:val="24"/>
          <w:szCs w:val="24"/>
        </w:rPr>
        <w:t xml:space="preserve"> Ostateczna wysokość przyznanego grantu będzie ustalona poprzez redukowanie liczby deklarowanych do wyświadczenia usług poszczeg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lnych rodzaj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przy zachowaniu ich jednostkowego kosztu. Liczba usług zostanie zredukowana w taki spos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b, aby kwota grantu nie przekroczyła wartości budżetu dostępnego dla jednego EDIH-a. Kwoty grantów przyznanych poszczególnym EDIH-om będą </w:t>
      </w:r>
      <w:proofErr w:type="spellStart"/>
      <w:r>
        <w:rPr>
          <w:rFonts w:ascii="Calibri" w:hAnsi="Calibri"/>
          <w:sz w:val="24"/>
          <w:szCs w:val="24"/>
        </w:rPr>
        <w:t>uzależ</w:t>
      </w:r>
      <w:proofErr w:type="spellEnd"/>
      <w:r>
        <w:rPr>
          <w:rFonts w:ascii="Calibri" w:hAnsi="Calibri"/>
          <w:sz w:val="24"/>
          <w:szCs w:val="24"/>
          <w:lang w:val="fr-FR"/>
        </w:rPr>
        <w:t>nion</w:t>
      </w:r>
      <w:r>
        <w:rPr>
          <w:rFonts w:ascii="Calibri" w:hAnsi="Calibri"/>
          <w:sz w:val="24"/>
          <w:szCs w:val="24"/>
        </w:rPr>
        <w:t xml:space="preserve">e od skali </w:t>
      </w:r>
      <w:r w:rsidR="0026444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i rodzaju prowadzonej działalności oraz ostatecznej liczby EDIH-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wyłonionych przez Komisję Europejską i</w:t>
      </w:r>
      <w:r w:rsidRPr="00544D8F">
        <w:rPr>
          <w:rFonts w:ascii="Calibri" w:hAnsi="Calibri"/>
          <w:sz w:val="24"/>
          <w:szCs w:val="24"/>
        </w:rPr>
        <w:t xml:space="preserve"> </w:t>
      </w:r>
      <w:r w:rsidRPr="004C69F3">
        <w:rPr>
          <w:rFonts w:ascii="Calibri" w:hAnsi="Calibri"/>
          <w:sz w:val="24"/>
          <w:szCs w:val="24"/>
          <w:u w:val="single"/>
        </w:rPr>
        <w:t>mogą nie być takie same</w:t>
      </w:r>
      <w:r>
        <w:rPr>
          <w:rFonts w:ascii="Calibri" w:hAnsi="Calibri"/>
          <w:sz w:val="24"/>
          <w:szCs w:val="24"/>
        </w:rPr>
        <w:t>.</w:t>
      </w:r>
    </w:p>
    <w:p w:rsidR="0079140B" w:rsidRDefault="00EF2B00" w:rsidP="0026444B">
      <w:pPr>
        <w:pStyle w:val="TreA"/>
        <w:spacing w:before="200" w:after="200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Ministerstwo Rozwoju, Pracy i Technologii zastrzega sobie możliwość niepoddania ocenie aplikacji,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ra w spos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b oczywisty nie dotyczy Europejskiego Hubu Innowacji Cyfrowej w rozumieniu pkt. 1. niniejszego Regulaminu, bądź jest sprzeczna z warunkami konkursu ogłoszonymi przez Komisję Europejską.</w:t>
      </w:r>
    </w:p>
    <w:p w:rsidR="0079140B" w:rsidRDefault="00EF2B00">
      <w:pPr>
        <w:pStyle w:val="TreA"/>
        <w:numPr>
          <w:ilvl w:val="1"/>
          <w:numId w:val="2"/>
        </w:numPr>
        <w:spacing w:before="200" w:after="200"/>
        <w:rPr>
          <w:rFonts w:ascii="Calibri" w:hAnsi="Calibri"/>
          <w:b/>
          <w:bCs/>
          <w:sz w:val="24"/>
          <w:szCs w:val="24"/>
        </w:rPr>
      </w:pPr>
      <w:r w:rsidRPr="004C69F3">
        <w:rPr>
          <w:rFonts w:ascii="Calibri" w:eastAsia="Calibri" w:hAnsi="Calibri" w:cs="Calibri"/>
          <w:b/>
          <w:iCs/>
          <w:sz w:val="24"/>
          <w:szCs w:val="24"/>
        </w:rPr>
        <w:t>Kryteria merytoryczne</w:t>
      </w:r>
    </w:p>
    <w:p w:rsidR="00B612F8" w:rsidRPr="004C69F3" w:rsidRDefault="00F0604C" w:rsidP="004C69F3">
      <w:pPr>
        <w:pStyle w:val="TreA"/>
        <w:spacing w:after="240"/>
        <w:jc w:val="both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Ministerstwo Rozwoju, Pracy i Technologii dokonując oceny złożonych aplikacji kieruje się </w:t>
      </w:r>
      <w:r w:rsidRPr="00B535A4">
        <w:rPr>
          <w:rFonts w:ascii="Calibri" w:hAnsi="Calibri"/>
          <w:sz w:val="24"/>
          <w:szCs w:val="24"/>
        </w:rPr>
        <w:t>w</w:t>
      </w:r>
      <w:r>
        <w:rPr>
          <w:rFonts w:ascii="Calibri" w:hAnsi="Calibri"/>
          <w:sz w:val="24"/>
          <w:szCs w:val="24"/>
        </w:rPr>
        <w:t>łasnymi kryteriami oceny, przy uwzględnieniu zgodności złożonej aplikacji z oczekiwaniami co do Europejskich Hub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 Innowacji Cyfrowych zdefiniowanymi przez Komisję Europejską. 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Dokładny opis zasad wyboru przyjętych przez Komisję Europejską znajduje się w dokumencie roboczym z dnia 2</w:t>
      </w:r>
      <w:r w:rsidR="00457EEC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</w:t>
      </w:r>
      <w:r w:rsidR="00457EEC">
        <w:rPr>
          <w:rFonts w:ascii="Calibri" w:hAnsi="Calibri"/>
          <w:sz w:val="24"/>
          <w:szCs w:val="24"/>
        </w:rPr>
        <w:t>stycznia</w:t>
      </w:r>
      <w:r>
        <w:rPr>
          <w:rFonts w:ascii="Calibri" w:hAnsi="Calibri"/>
          <w:sz w:val="24"/>
          <w:szCs w:val="24"/>
        </w:rPr>
        <w:t xml:space="preserve"> 202</w:t>
      </w:r>
      <w:r w:rsidR="00457EEC">
        <w:rPr>
          <w:rFonts w:ascii="Calibri" w:hAnsi="Calibri"/>
          <w:sz w:val="24"/>
          <w:szCs w:val="24"/>
        </w:rPr>
        <w:t>1</w:t>
      </w:r>
      <w:r>
        <w:rPr>
          <w:rFonts w:ascii="Calibri" w:hAnsi="Calibri"/>
          <w:sz w:val="24"/>
          <w:szCs w:val="24"/>
        </w:rPr>
        <w:t xml:space="preserve"> r. pt. </w:t>
      </w:r>
      <w:r>
        <w:rPr>
          <w:rFonts w:ascii="Calibri" w:hAnsi="Calibri"/>
          <w:sz w:val="24"/>
          <w:szCs w:val="24"/>
          <w:lang w:val="en-US"/>
        </w:rPr>
        <w:t>„</w:t>
      </w:r>
      <w:r>
        <w:rPr>
          <w:rFonts w:ascii="Calibri" w:hAnsi="Calibri"/>
          <w:i/>
          <w:iCs/>
          <w:sz w:val="24"/>
          <w:szCs w:val="24"/>
          <w:lang w:val="en-US"/>
        </w:rPr>
        <w:t xml:space="preserve">European Digital Innovation Hubs in Digital Europe </w:t>
      </w:r>
      <w:r>
        <w:rPr>
          <w:rFonts w:ascii="Calibri" w:hAnsi="Calibri"/>
          <w:i/>
          <w:iCs/>
          <w:sz w:val="24"/>
          <w:szCs w:val="24"/>
          <w:lang w:val="en-US"/>
        </w:rPr>
        <w:lastRenderedPageBreak/>
        <w:t xml:space="preserve">Programme. Draft working document” </w:t>
      </w:r>
      <w:r>
        <w:rPr>
          <w:rFonts w:ascii="Calibri" w:hAnsi="Calibri"/>
          <w:sz w:val="24"/>
          <w:szCs w:val="24"/>
          <w:lang w:val="en-US"/>
        </w:rPr>
        <w:t>m.in. pod numerem 3.3 (</w:t>
      </w:r>
      <w:r>
        <w:rPr>
          <w:rFonts w:ascii="Calibri" w:hAnsi="Calibri"/>
          <w:i/>
          <w:iCs/>
          <w:sz w:val="24"/>
          <w:szCs w:val="24"/>
          <w:lang w:val="en-US"/>
        </w:rPr>
        <w:t>Award criteria used for restricted call</w:t>
      </w:r>
      <w:r>
        <w:rPr>
          <w:rFonts w:ascii="Calibri" w:hAnsi="Calibri"/>
          <w:sz w:val="24"/>
          <w:szCs w:val="24"/>
          <w:lang w:val="en-US"/>
        </w:rPr>
        <w:t>) oraz 3.4 (</w:t>
      </w:r>
      <w:r>
        <w:rPr>
          <w:rFonts w:ascii="Calibri" w:hAnsi="Calibri"/>
          <w:i/>
          <w:iCs/>
          <w:sz w:val="24"/>
          <w:szCs w:val="24"/>
          <w:lang w:val="en-US"/>
        </w:rPr>
        <w:t>What is expected of the proposal?</w:t>
      </w:r>
      <w:r>
        <w:rPr>
          <w:rFonts w:ascii="Calibri" w:hAnsi="Calibri"/>
          <w:sz w:val="24"/>
          <w:szCs w:val="24"/>
          <w:lang w:val="en-US"/>
        </w:rPr>
        <w:t xml:space="preserve">). </w:t>
      </w:r>
      <w:r>
        <w:rPr>
          <w:rFonts w:ascii="Calibri" w:hAnsi="Calibri"/>
          <w:sz w:val="24"/>
          <w:szCs w:val="24"/>
        </w:rPr>
        <w:t xml:space="preserve">Treść zasad wyboru </w:t>
      </w:r>
      <w:r>
        <w:rPr>
          <w:rFonts w:ascii="Calibri" w:hAnsi="Calibri"/>
          <w:sz w:val="24"/>
          <w:szCs w:val="24"/>
          <w:u w:val="single"/>
        </w:rPr>
        <w:t xml:space="preserve">może ulec </w:t>
      </w:r>
      <w:r w:rsidR="00544D8F">
        <w:rPr>
          <w:rFonts w:ascii="Calibri" w:hAnsi="Calibri"/>
          <w:sz w:val="24"/>
          <w:szCs w:val="24"/>
          <w:u w:val="single"/>
        </w:rPr>
        <w:t xml:space="preserve">nieznacznej </w:t>
      </w:r>
      <w:r>
        <w:rPr>
          <w:rFonts w:ascii="Calibri" w:hAnsi="Calibri"/>
          <w:sz w:val="24"/>
          <w:szCs w:val="24"/>
          <w:u w:val="single"/>
        </w:rPr>
        <w:t>zmianie</w:t>
      </w:r>
      <w:r>
        <w:rPr>
          <w:rFonts w:ascii="Calibri" w:hAnsi="Calibri"/>
          <w:sz w:val="24"/>
          <w:szCs w:val="24"/>
        </w:rPr>
        <w:t xml:space="preserve"> po ogłoszeniu finalnej wersji Dokumentu Roboczego.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Ocena dotycząca koordynatora uwzględnia 7 kryteri</w:t>
      </w:r>
      <w:r>
        <w:rPr>
          <w:rFonts w:ascii="Calibri" w:hAnsi="Calibri"/>
          <w:b/>
          <w:bCs/>
          <w:sz w:val="24"/>
          <w:szCs w:val="24"/>
          <w:lang w:val="es-ES_tradnl"/>
        </w:rPr>
        <w:t>ó</w:t>
      </w:r>
      <w:r w:rsidRPr="00B535A4">
        <w:rPr>
          <w:rFonts w:ascii="Calibri" w:hAnsi="Calibri"/>
          <w:b/>
          <w:bCs/>
          <w:sz w:val="24"/>
          <w:szCs w:val="24"/>
        </w:rPr>
        <w:t>w: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Zaprezentowany model zarządzania EDIH-em gwarantujący skuteczną realizację jego zadań, w tym m.in. </w:t>
      </w:r>
      <w:r>
        <w:rPr>
          <w:rFonts w:ascii="Calibri" w:hAnsi="Calibri"/>
          <w:sz w:val="24"/>
          <w:szCs w:val="24"/>
          <w:u w:val="single"/>
        </w:rPr>
        <w:t>rodzaj przyjętej formy prawnej współpracy koordynatora z partnerami</w:t>
      </w:r>
      <w:r>
        <w:rPr>
          <w:rFonts w:ascii="Calibri" w:hAnsi="Calibri"/>
          <w:sz w:val="24"/>
          <w:szCs w:val="24"/>
        </w:rPr>
        <w:t xml:space="preserve"> (np. konso</w:t>
      </w:r>
      <w:r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cjum, bilateralne umowy o współpracę itp.),</w:t>
      </w:r>
    </w:p>
    <w:p w:rsidR="00B612F8" w:rsidRPr="00B535A4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 w:rsidRPr="00B535A4">
        <w:rPr>
          <w:rFonts w:ascii="Calibri" w:hAnsi="Calibri"/>
          <w:sz w:val="24"/>
          <w:szCs w:val="24"/>
        </w:rPr>
        <w:t>Do</w:t>
      </w:r>
      <w:r>
        <w:rPr>
          <w:rFonts w:ascii="Calibri" w:hAnsi="Calibri"/>
          <w:sz w:val="24"/>
          <w:szCs w:val="24"/>
        </w:rPr>
        <w:t>świadczenie koordynatora w realizacji złożonych projekt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w, w tym w rozliczaniu dotacji ze środk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europejskich i krajowych,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Dojrzałość usług i wiarygodność ich wyceny,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Kompetencje i doświadczenie pracownik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oddelegowanych do świadczenia usł</w:t>
      </w:r>
      <w:r w:rsidRPr="00B535A4">
        <w:rPr>
          <w:rFonts w:ascii="Calibri" w:hAnsi="Calibri"/>
          <w:sz w:val="24"/>
          <w:szCs w:val="24"/>
        </w:rPr>
        <w:t>ug,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Adekwatność i jakość będących w dyspozycji koordynatora zasob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technicznych i infrastrukt</w:t>
      </w:r>
      <w:r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>ralnych udostępnionych na potrzeby świadczonych usł</w:t>
      </w:r>
      <w:r w:rsidRPr="00B535A4">
        <w:rPr>
          <w:rFonts w:ascii="Calibri" w:hAnsi="Calibri"/>
          <w:sz w:val="24"/>
          <w:szCs w:val="24"/>
        </w:rPr>
        <w:t>ug,</w:t>
      </w:r>
    </w:p>
    <w:p w:rsidR="00B612F8" w:rsidRDefault="00352A50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Zaprezentowaną strategię marketingową</w:t>
      </w:r>
      <w:bookmarkStart w:id="0" w:name="_GoBack"/>
      <w:bookmarkEnd w:id="0"/>
      <w:r w:rsidR="00F0604C">
        <w:rPr>
          <w:rFonts w:ascii="Calibri" w:hAnsi="Calibri"/>
          <w:sz w:val="24"/>
          <w:szCs w:val="24"/>
        </w:rPr>
        <w:t xml:space="preserve"> EDIH-a oraz możliwość pozyskiwania nowych klient</w:t>
      </w:r>
      <w:r w:rsidR="00F0604C">
        <w:rPr>
          <w:rFonts w:ascii="Calibri" w:hAnsi="Calibri"/>
          <w:sz w:val="24"/>
          <w:szCs w:val="24"/>
          <w:lang w:val="es-ES_tradnl"/>
        </w:rPr>
        <w:t>ó</w:t>
      </w:r>
      <w:r w:rsidR="00F0604C">
        <w:rPr>
          <w:rFonts w:ascii="Calibri" w:hAnsi="Calibri"/>
          <w:sz w:val="24"/>
          <w:szCs w:val="24"/>
        </w:rPr>
        <w:t>w (np. zas</w:t>
      </w:r>
      <w:r w:rsidR="00F0604C">
        <w:rPr>
          <w:rFonts w:ascii="Calibri" w:hAnsi="Calibri"/>
          <w:sz w:val="24"/>
          <w:szCs w:val="24"/>
          <w:lang w:val="es-ES_tradnl"/>
        </w:rPr>
        <w:t>ó</w:t>
      </w:r>
      <w:r w:rsidR="00F0604C">
        <w:rPr>
          <w:rFonts w:ascii="Calibri" w:hAnsi="Calibri"/>
          <w:sz w:val="24"/>
          <w:szCs w:val="24"/>
        </w:rPr>
        <w:t>b kontakt</w:t>
      </w:r>
      <w:r w:rsidR="00F0604C">
        <w:rPr>
          <w:rFonts w:ascii="Calibri" w:hAnsi="Calibri"/>
          <w:sz w:val="24"/>
          <w:szCs w:val="24"/>
          <w:lang w:val="es-ES_tradnl"/>
        </w:rPr>
        <w:t>ó</w:t>
      </w:r>
      <w:r w:rsidR="00F0604C">
        <w:rPr>
          <w:rFonts w:ascii="Calibri" w:hAnsi="Calibri"/>
          <w:sz w:val="24"/>
          <w:szCs w:val="24"/>
        </w:rPr>
        <w:t>w z potencjalnymi klientami),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Zaplecze lokalowe.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Ocena dotyczą</w:t>
      </w:r>
      <w:r>
        <w:rPr>
          <w:rFonts w:ascii="Calibri" w:hAnsi="Calibri"/>
          <w:b/>
          <w:bCs/>
          <w:sz w:val="24"/>
          <w:szCs w:val="24"/>
          <w:lang w:val="it-IT"/>
        </w:rPr>
        <w:t>ca sta</w:t>
      </w:r>
      <w:r>
        <w:rPr>
          <w:rFonts w:ascii="Calibri" w:hAnsi="Calibri"/>
          <w:b/>
          <w:bCs/>
          <w:sz w:val="24"/>
          <w:szCs w:val="24"/>
        </w:rPr>
        <w:t>łych partner</w:t>
      </w:r>
      <w:r>
        <w:rPr>
          <w:rFonts w:ascii="Calibri" w:hAnsi="Calibri"/>
          <w:b/>
          <w:bCs/>
          <w:sz w:val="24"/>
          <w:szCs w:val="24"/>
          <w:lang w:val="es-ES_tradnl"/>
        </w:rPr>
        <w:t>ó</w:t>
      </w:r>
      <w:r>
        <w:rPr>
          <w:rFonts w:ascii="Calibri" w:hAnsi="Calibri"/>
          <w:b/>
          <w:bCs/>
          <w:sz w:val="24"/>
          <w:szCs w:val="24"/>
        </w:rPr>
        <w:t>w uwzględnia 4 kryteria: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Dojrzałość usług i wiarygodność ich wyceny,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Kompetencje i doświadczenie pracownik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oddelegowanych do świadczenia usł</w:t>
      </w:r>
      <w:r w:rsidRPr="00B535A4">
        <w:rPr>
          <w:rFonts w:ascii="Calibri" w:hAnsi="Calibri"/>
          <w:sz w:val="24"/>
          <w:szCs w:val="24"/>
        </w:rPr>
        <w:t>ug,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Adekwatność i jakość będących w dyspozycji stałego partnera zasob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technicznych i infrastru</w:t>
      </w:r>
      <w:r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z w:val="24"/>
          <w:szCs w:val="24"/>
        </w:rPr>
        <w:t>turalnych udostępnionych na potrzeby świadczonych usł</w:t>
      </w:r>
      <w:r w:rsidRPr="00B535A4">
        <w:rPr>
          <w:rFonts w:ascii="Calibri" w:hAnsi="Calibri"/>
          <w:sz w:val="24"/>
          <w:szCs w:val="24"/>
        </w:rPr>
        <w:t>ug,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Adekwatność wyboru stałych partner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w kontekście przyjętego modelu organizacyjnego i świadczonych usług.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Warunkiem poddania zgłaszanych stałych partner</w:t>
      </w:r>
      <w:r>
        <w:rPr>
          <w:rFonts w:ascii="Calibri" w:hAnsi="Calibri"/>
          <w:sz w:val="24"/>
          <w:szCs w:val="24"/>
          <w:u w:val="single"/>
          <w:lang w:val="es-ES_tradnl"/>
        </w:rPr>
        <w:t>ó</w:t>
      </w:r>
      <w:r>
        <w:rPr>
          <w:rFonts w:ascii="Calibri" w:hAnsi="Calibri"/>
          <w:sz w:val="24"/>
          <w:szCs w:val="24"/>
          <w:u w:val="single"/>
        </w:rPr>
        <w:t>w ocenie jest dołączenie do aplikacji listu inte</w:t>
      </w:r>
      <w:r>
        <w:rPr>
          <w:rFonts w:ascii="Calibri" w:hAnsi="Calibri"/>
          <w:sz w:val="24"/>
          <w:szCs w:val="24"/>
          <w:u w:val="single"/>
        </w:rPr>
        <w:t>n</w:t>
      </w:r>
      <w:r>
        <w:rPr>
          <w:rFonts w:ascii="Calibri" w:hAnsi="Calibri"/>
          <w:sz w:val="24"/>
          <w:szCs w:val="24"/>
          <w:u w:val="single"/>
        </w:rPr>
        <w:t>cyjnego</w:t>
      </w:r>
      <w:r>
        <w:rPr>
          <w:rFonts w:ascii="Calibri" w:hAnsi="Calibri"/>
          <w:sz w:val="24"/>
          <w:szCs w:val="24"/>
        </w:rPr>
        <w:t>, w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rym zawarte będą informacje o rodzaju oferowanych przez stałego partnera usług, deklaracja udostępnienia zasob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powiązanych z konkretnymi usługami, oraz potwierdzenie kos</w:t>
      </w: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>tu ich wyświadczenia.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Ocena dotyczą</w:t>
      </w:r>
      <w:r>
        <w:rPr>
          <w:rFonts w:ascii="Calibri" w:hAnsi="Calibri"/>
          <w:b/>
          <w:bCs/>
          <w:sz w:val="24"/>
          <w:szCs w:val="24"/>
          <w:lang w:val="pt-PT"/>
        </w:rPr>
        <w:t>ca partner</w:t>
      </w:r>
      <w:r>
        <w:rPr>
          <w:rFonts w:ascii="Calibri" w:hAnsi="Calibri"/>
          <w:b/>
          <w:bCs/>
          <w:sz w:val="24"/>
          <w:szCs w:val="24"/>
          <w:lang w:val="es-ES_tradnl"/>
        </w:rPr>
        <w:t>ó</w:t>
      </w:r>
      <w:r>
        <w:rPr>
          <w:rFonts w:ascii="Calibri" w:hAnsi="Calibri"/>
          <w:b/>
          <w:bCs/>
          <w:sz w:val="24"/>
          <w:szCs w:val="24"/>
        </w:rPr>
        <w:t>w ad hoc uwzględnia 4 kryteria: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Dojrzałość usług i wiarygodność ich wyceny,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Kompetencje i doświadczenie pracownik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oddelegowanych do świadczenia usł</w:t>
      </w:r>
      <w:r w:rsidRPr="00B535A4">
        <w:rPr>
          <w:rFonts w:ascii="Calibri" w:hAnsi="Calibri"/>
          <w:sz w:val="24"/>
          <w:szCs w:val="24"/>
        </w:rPr>
        <w:t>ug,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Adekwatność i jakość będących w dyspozycji partnera ad hoc zasob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technicznych i infrastru</w:t>
      </w:r>
      <w:r>
        <w:rPr>
          <w:rFonts w:ascii="Calibri" w:hAnsi="Calibri"/>
          <w:sz w:val="24"/>
          <w:szCs w:val="24"/>
        </w:rPr>
        <w:t>k</w:t>
      </w:r>
      <w:r>
        <w:rPr>
          <w:rFonts w:ascii="Calibri" w:hAnsi="Calibri"/>
          <w:sz w:val="24"/>
          <w:szCs w:val="24"/>
        </w:rPr>
        <w:t>turalnych udostępnionych na potrzeby świadczonych usł</w:t>
      </w:r>
      <w:r w:rsidRPr="00B535A4">
        <w:rPr>
          <w:rFonts w:ascii="Calibri" w:hAnsi="Calibri"/>
          <w:sz w:val="24"/>
          <w:szCs w:val="24"/>
        </w:rPr>
        <w:t>ug,</w:t>
      </w:r>
    </w:p>
    <w:p w:rsidR="00B612F8" w:rsidRDefault="00F0604C">
      <w:pPr>
        <w:pStyle w:val="TreA"/>
        <w:numPr>
          <w:ilvl w:val="0"/>
          <w:numId w:val="10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Adekwatność wyboru partner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ad hoc w kontekście przyjętego modelu organizacyjnego i świadczonych usług.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Warunkiem poddania zgłaszanych partner</w:t>
      </w:r>
      <w:r>
        <w:rPr>
          <w:rFonts w:ascii="Calibri" w:hAnsi="Calibri"/>
          <w:sz w:val="24"/>
          <w:szCs w:val="24"/>
          <w:u w:val="single"/>
          <w:lang w:val="es-ES_tradnl"/>
        </w:rPr>
        <w:t>ó</w:t>
      </w:r>
      <w:r>
        <w:rPr>
          <w:rFonts w:ascii="Calibri" w:hAnsi="Calibri"/>
          <w:sz w:val="24"/>
          <w:szCs w:val="24"/>
          <w:u w:val="single"/>
        </w:rPr>
        <w:t>w ad hoc ocenie jest dołączenie do aplikacji listu inte</w:t>
      </w:r>
      <w:r>
        <w:rPr>
          <w:rFonts w:ascii="Calibri" w:hAnsi="Calibri"/>
          <w:sz w:val="24"/>
          <w:szCs w:val="24"/>
          <w:u w:val="single"/>
        </w:rPr>
        <w:t>n</w:t>
      </w:r>
      <w:r>
        <w:rPr>
          <w:rFonts w:ascii="Calibri" w:hAnsi="Calibri"/>
          <w:sz w:val="24"/>
          <w:szCs w:val="24"/>
          <w:u w:val="single"/>
        </w:rPr>
        <w:t>cyjnego</w:t>
      </w:r>
      <w:r>
        <w:rPr>
          <w:rFonts w:ascii="Calibri" w:hAnsi="Calibri"/>
          <w:sz w:val="24"/>
          <w:szCs w:val="24"/>
        </w:rPr>
        <w:t>, w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rym zawarte będą informacje o rodzaju oferowanych przez partnera ad hoc usług, deklaracja udostępnienia zasob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powiązanych z konkretnymi usługami, oraz potwierdzenie kos</w:t>
      </w:r>
      <w:r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>tu ich wyświadczenia.</w:t>
      </w:r>
    </w:p>
    <w:p w:rsidR="00B612F8" w:rsidRDefault="00152DAC">
      <w:pPr>
        <w:pStyle w:val="TreA"/>
        <w:numPr>
          <w:ilvl w:val="1"/>
          <w:numId w:val="11"/>
        </w:numPr>
        <w:spacing w:before="200" w:after="20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Ocena aplikacji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Poziom spełnienia każdego z kryteri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zostanie oceniony poprzez przyporządkowanie mu okr</w:t>
      </w:r>
      <w:r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ślonej liczby punkt</w:t>
      </w:r>
      <w:r>
        <w:rPr>
          <w:rFonts w:ascii="Calibri" w:hAnsi="Calibri"/>
          <w:sz w:val="24"/>
          <w:szCs w:val="24"/>
          <w:lang w:val="es-ES_tradnl"/>
        </w:rPr>
        <w:t>ó</w:t>
      </w:r>
      <w:r w:rsidRPr="00B535A4">
        <w:rPr>
          <w:rFonts w:ascii="Calibri" w:hAnsi="Calibri"/>
          <w:sz w:val="24"/>
          <w:szCs w:val="24"/>
        </w:rPr>
        <w:t>w:</w:t>
      </w:r>
    </w:p>
    <w:p w:rsidR="00B612F8" w:rsidRDefault="00F0604C">
      <w:pPr>
        <w:pStyle w:val="TreA"/>
        <w:numPr>
          <w:ilvl w:val="0"/>
          <w:numId w:val="13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 pkt. - kryterium spełnione w pełnym zakresie,</w:t>
      </w:r>
    </w:p>
    <w:p w:rsidR="00B612F8" w:rsidRDefault="00F0604C">
      <w:pPr>
        <w:pStyle w:val="TreA"/>
        <w:numPr>
          <w:ilvl w:val="0"/>
          <w:numId w:val="13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 pkt. - kryterium spełnione w dopuszczającym zakresie,</w:t>
      </w:r>
    </w:p>
    <w:p w:rsidR="00B612F8" w:rsidRDefault="00F0604C">
      <w:pPr>
        <w:pStyle w:val="TreA"/>
        <w:numPr>
          <w:ilvl w:val="0"/>
          <w:numId w:val="13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0 pkt. - kryterium niespeł</w:t>
      </w:r>
      <w:r>
        <w:rPr>
          <w:rFonts w:ascii="Calibri" w:hAnsi="Calibri"/>
          <w:sz w:val="24"/>
          <w:szCs w:val="24"/>
          <w:lang w:val="it-IT"/>
        </w:rPr>
        <w:t>nione.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Aby aplikacja kwalifikowała się do pozytywnej oceny </w:t>
      </w:r>
      <w:r>
        <w:rPr>
          <w:rFonts w:ascii="Calibri" w:hAnsi="Calibri"/>
          <w:sz w:val="24"/>
          <w:szCs w:val="24"/>
          <w:u w:val="single"/>
        </w:rPr>
        <w:t>każde ze wskazanych kryteri</w:t>
      </w:r>
      <w:r>
        <w:rPr>
          <w:rFonts w:ascii="Calibri" w:hAnsi="Calibri"/>
          <w:sz w:val="24"/>
          <w:szCs w:val="24"/>
          <w:u w:val="single"/>
          <w:lang w:val="es-ES_tradnl"/>
        </w:rPr>
        <w:t>ó</w:t>
      </w:r>
      <w:r>
        <w:rPr>
          <w:rFonts w:ascii="Calibri" w:hAnsi="Calibri"/>
          <w:sz w:val="24"/>
          <w:szCs w:val="24"/>
          <w:u w:val="single"/>
        </w:rPr>
        <w:t>w musi zostać spełnione co najmniej w dopuszczającym zakresie</w:t>
      </w:r>
      <w:r>
        <w:rPr>
          <w:rFonts w:ascii="Calibri" w:hAnsi="Calibri"/>
          <w:sz w:val="24"/>
          <w:szCs w:val="24"/>
        </w:rPr>
        <w:t>.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Ocena aplikacji ma charakter oceny ważonej, obliczanej w następujący spos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b:</w:t>
      </w:r>
    </w:p>
    <w:p w:rsidR="00B612F8" w:rsidRDefault="00F0604C">
      <w:pPr>
        <w:pStyle w:val="TreA"/>
        <w:numPr>
          <w:ilvl w:val="0"/>
          <w:numId w:val="15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45% - ocena dotycząca koordynatora (0-14 pkt.),</w:t>
      </w:r>
    </w:p>
    <w:p w:rsidR="00B612F8" w:rsidRDefault="00F0604C">
      <w:pPr>
        <w:pStyle w:val="TreA"/>
        <w:numPr>
          <w:ilvl w:val="0"/>
          <w:numId w:val="15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45% - ocena dotyczą</w:t>
      </w:r>
      <w:r>
        <w:rPr>
          <w:rFonts w:ascii="Calibri" w:hAnsi="Calibri"/>
          <w:sz w:val="24"/>
          <w:szCs w:val="24"/>
          <w:lang w:val="it-IT"/>
        </w:rPr>
        <w:t>ca sta</w:t>
      </w:r>
      <w:r>
        <w:rPr>
          <w:rFonts w:ascii="Calibri" w:hAnsi="Calibri"/>
          <w:sz w:val="24"/>
          <w:szCs w:val="24"/>
        </w:rPr>
        <w:t>łych partner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(0-8 pkt.),</w:t>
      </w:r>
    </w:p>
    <w:p w:rsidR="00B612F8" w:rsidRDefault="00F0604C">
      <w:pPr>
        <w:pStyle w:val="TreA"/>
        <w:numPr>
          <w:ilvl w:val="0"/>
          <w:numId w:val="15"/>
        </w:numPr>
        <w:spacing w:after="1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10% - ocena dotyczą</w:t>
      </w:r>
      <w:r>
        <w:rPr>
          <w:rFonts w:ascii="Calibri" w:hAnsi="Calibri"/>
          <w:sz w:val="24"/>
          <w:szCs w:val="24"/>
          <w:lang w:val="pt-PT"/>
        </w:rPr>
        <w:t>ca partner</w:t>
      </w:r>
      <w:r>
        <w:rPr>
          <w:rFonts w:ascii="Calibri" w:hAnsi="Calibri"/>
          <w:sz w:val="24"/>
          <w:szCs w:val="24"/>
          <w:lang w:val="es-ES_tradnl"/>
        </w:rPr>
        <w:t>ó</w:t>
      </w:r>
      <w:r w:rsidR="00152DAC">
        <w:rPr>
          <w:rFonts w:ascii="Calibri" w:hAnsi="Calibri"/>
          <w:sz w:val="24"/>
          <w:szCs w:val="24"/>
        </w:rPr>
        <w:t>w ad hoc (0-8 pkt.).</w:t>
      </w:r>
    </w:p>
    <w:p w:rsidR="00B612F8" w:rsidRDefault="00F0604C">
      <w:pPr>
        <w:pStyle w:val="TreA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Rezultatem oceny będzie sporządzenie listy rankingowej </w:t>
      </w:r>
      <w:r>
        <w:rPr>
          <w:rFonts w:ascii="Calibri" w:hAnsi="Calibri"/>
          <w:sz w:val="24"/>
          <w:szCs w:val="24"/>
          <w:lang w:val="sv-SE"/>
        </w:rPr>
        <w:t>nades</w:t>
      </w:r>
      <w:r>
        <w:rPr>
          <w:rFonts w:ascii="Calibri" w:hAnsi="Calibri"/>
          <w:sz w:val="24"/>
          <w:szCs w:val="24"/>
        </w:rPr>
        <w:t>łanych aplikacji. Ośrodki,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rych aplikacja uzyska najwyższą ocenę (MRPiT podejmie decyzję o ostatecznej liczbie nominowanych do Komisji Europejskiej kandydat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w na polskie EDIH-y po rozpatrzeniu i ocenie nadesłanych aplikacji) zostaną nominowane do Komisji Europejskiej jako polscy kandydaci na Europejskie Huby Innowacji Cyfrowych. </w:t>
      </w:r>
    </w:p>
    <w:p w:rsidR="00B612F8" w:rsidRDefault="00F0604C">
      <w:pPr>
        <w:pStyle w:val="TreA"/>
        <w:spacing w:after="100"/>
        <w:jc w:val="both"/>
        <w:rPr>
          <w:rFonts w:hint="eastAsia"/>
        </w:rPr>
      </w:pPr>
      <w:r>
        <w:rPr>
          <w:rFonts w:ascii="Calibri" w:hAnsi="Calibri"/>
          <w:sz w:val="24"/>
          <w:szCs w:val="24"/>
        </w:rPr>
        <w:t>Jedynie kandydaci,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rzy zostaną pozytywnie ocenieni w konkursie organizowanym przez Komisję Europejską będą mieli możliwość przystąpienia do trzeciego etapu, kt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 xml:space="preserve">rego rezultatem będzie </w:t>
      </w:r>
      <w:r>
        <w:rPr>
          <w:rFonts w:ascii="Calibri" w:hAnsi="Calibri"/>
          <w:sz w:val="24"/>
          <w:szCs w:val="24"/>
        </w:rPr>
        <w:lastRenderedPageBreak/>
        <w:t>udzielenie dofinansowania w wysokości pozostałych 50% koszt</w:t>
      </w:r>
      <w:r>
        <w:rPr>
          <w:rFonts w:ascii="Calibri" w:hAnsi="Calibri"/>
          <w:sz w:val="24"/>
          <w:szCs w:val="24"/>
          <w:lang w:val="es-ES_tradnl"/>
        </w:rPr>
        <w:t>ó</w:t>
      </w:r>
      <w:r>
        <w:rPr>
          <w:rFonts w:ascii="Calibri" w:hAnsi="Calibri"/>
          <w:sz w:val="24"/>
          <w:szCs w:val="24"/>
        </w:rPr>
        <w:t>w kwalifikowalnych na okres pierwszej fazy programu w latach 2021-2023.</w:t>
      </w:r>
    </w:p>
    <w:sectPr w:rsidR="00B612F8">
      <w:pgSz w:w="11900" w:h="16840"/>
      <w:pgMar w:top="1134" w:right="1134" w:bottom="1134" w:left="1134" w:header="709" w:footer="850" w:gutter="0"/>
      <w:cols w:space="708"/>
    </w:sectPr>
  </w:body>
</w:document>
</file>

<file path=word/commentsExtended.xml><?xml version="1.0" encoding="utf-8"?>
<w15:commentsEx xmlns:w="http://schemas.openxmlformats.org/wordprocessingml/2006/main" xmlns:r="http://schemas.openxmlformats.org/officeDocument/2006/relationships" xmlns:wp="http://schemas.openxmlformats.org/drawingml/2006/wordprocessingDrawing" xmlns:w15="http://schemas.microsoft.com/office/word/2012/wordml">
  <w15:commentEx w15:paraId="11120000" w15:done="0"/>
  <w15:commentEx w15:paraId="11120002" w15:paraIdParent="11120000" w15:done="0"/>
  <w15:commentEx w15:paraId="11120005" w15:done="0"/>
  <w15:commentEx w15:paraId="11120007" w15:paraIdParent="11120005" w15:done="0"/>
  <w15:commentEx w15:paraId="11120009" w15:done="0"/>
  <w15:commentEx w15:paraId="1112000B" w15:paraIdParent="11120009" w15:done="0"/>
  <w15:commentEx w15:paraId="1112000D" w15:done="0"/>
  <w15:commentEx w15:paraId="1112000F" w15:paraIdParent="1112000D" w15:done="0"/>
  <w15:commentEx w15:paraId="11120011" w15:done="0"/>
  <w15:commentEx w15:paraId="11120015" w15:paraIdParent="11120011" w15:done="0"/>
  <w15:commentEx w15:paraId="11120017" w15:done="0"/>
  <w15:commentEx w15:paraId="11120019" w15:paraIdParent="11120017" w15:done="0"/>
  <w15:commentEx w15:paraId="1112001B" w15:done="0"/>
  <w15:commentEx w15:paraId="1112001D" w15:paraIdParent="1112001B" w15:done="0"/>
  <w15:commentEx w15:paraId="1112001F" w15:done="0"/>
  <w15:commentEx w15:paraId="11120021" w15:paraIdParent="1112001F" w15:done="0"/>
  <w15:commentEx w15:paraId="11120023" w15:done="0"/>
  <w15:commentEx w15:paraId="11120025" w15:paraIdParent="11120023" w15:done="0"/>
  <w15:commentEx w15:paraId="1112002B" w15:done="0"/>
  <w15:commentEx w15:paraId="1112002D" w15:paraIdParent="1112002B" w15:done="0"/>
  <w15:commentEx w15:paraId="1112002F" w15:done="0"/>
  <w15:commentEx w15:paraId="11120033" w15:done="0"/>
  <w15:commentEx w15:paraId="11120035" w15:done="0"/>
  <w15:commentEx w15:paraId="11120037" w15:paraIdParent="11120035" w15:done="0"/>
  <w15:commentEx w15:paraId="11120039" w15:done="0"/>
  <w15:commentEx w15:paraId="1112003B" w15:paraIdParent="11120039" w15:done="0"/>
  <w15:commentEx w15:paraId="1112003D" w15:done="0"/>
  <w15:commentEx w15:paraId="1112003F" w15:paraIdParent="1112003D" w15:done="0"/>
  <w15:commentEx w15:paraId="11120041" w15:done="0"/>
  <w15:commentEx w15:paraId="11120043" w15:paraIdParent="11120041" w15:done="0"/>
  <w15:commentEx w15:paraId="11120045" w15:done="0"/>
  <w15:commentEx w15:paraId="11120047" w15:paraIdParent="11120045" w15:done="0"/>
  <w15:commentEx w15:paraId="11120049" w15:done="0"/>
  <w15:commentEx w15:paraId="1112004B" w15:paraIdParent="11120049" w15:done="0"/>
  <w15:commentEx w15:paraId="11120051" w15:done="0"/>
  <w15:commentEx w15:paraId="11120053" w15:paraIdParent="11120051" w15:done="0"/>
  <w15:commentEx w15:paraId="11120055" w15:done="0"/>
  <w15:commentEx w15:paraId="1112005B" w15:paraIdParent="11120055" w15:done="0"/>
  <w15:commentEx w15:paraId="1112005D" w15:done="0"/>
  <w15:commentEx w15:paraId="1112005F" w15:paraIdParent="1112005D" w15:done="0"/>
  <w15:commentEx w15:paraId="11120062" w15:done="0"/>
  <w15:commentEx w15:paraId="11120064" w15:paraIdParent="11120062" w15:done="0"/>
  <w15:commentEx w15:paraId="11120066" w15:paraIdParent="11120062" w15:done="0"/>
  <w15:commentEx w15:paraId="11120068" w15:done="0"/>
  <w15:commentEx w15:paraId="1112006A" w15:paraIdParent="11120068" w15:done="0"/>
  <w15:commentEx w15:paraId="1112006C" w15:done="0"/>
  <w15:commentEx w15:paraId="1112006E" w15:paraIdParent="1112006C" w15:done="0"/>
  <w15:commentEx w15:paraId="11120070" w15:done="0"/>
  <w15:commentEx w15:paraId="11120072" w15:paraIdParent="11120070" w15:done="0"/>
  <w15:commentEx w15:paraId="111200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90" w:rsidRDefault="00251E90">
      <w:r>
        <w:separator/>
      </w:r>
    </w:p>
  </w:endnote>
  <w:endnote w:type="continuationSeparator" w:id="0">
    <w:p w:rsidR="00251E90" w:rsidRDefault="0025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90" w:rsidRDefault="00251E90">
      <w:r>
        <w:separator/>
      </w:r>
    </w:p>
  </w:footnote>
  <w:footnote w:type="continuationSeparator" w:id="0">
    <w:p w:rsidR="00251E90" w:rsidRDefault="00251E90">
      <w:r>
        <w:continuationSeparator/>
      </w:r>
    </w:p>
  </w:footnote>
  <w:footnote w:type="continuationNotice" w:id="1">
    <w:p w:rsidR="00251E90" w:rsidRDefault="00251E90"/>
  </w:footnote>
  <w:footnote w:id="2">
    <w:p w:rsidR="00152DAC" w:rsidRPr="00152DAC" w:rsidRDefault="00152DA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152DAC">
        <w:t>https://ec.europa.eu/newsroom/dae/document.cfm?doc_id=70324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ED"/>
    <w:multiLevelType w:val="hybridMultilevel"/>
    <w:tmpl w:val="FC12F294"/>
    <w:numStyleLink w:val="Numery"/>
  </w:abstractNum>
  <w:abstractNum w:abstractNumId="1">
    <w:nsid w:val="026508C2"/>
    <w:multiLevelType w:val="hybridMultilevel"/>
    <w:tmpl w:val="6366DE4A"/>
    <w:numStyleLink w:val="Zaimportowanystyl1"/>
  </w:abstractNum>
  <w:abstractNum w:abstractNumId="2">
    <w:nsid w:val="045B3E7B"/>
    <w:multiLevelType w:val="hybridMultilevel"/>
    <w:tmpl w:val="6366DE4A"/>
    <w:styleLink w:val="Zaimportowanystyl1"/>
    <w:lvl w:ilvl="0" w:tplc="8222C9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3" w:hanging="17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AED072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9" w:hanging="1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7812C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59" w:hanging="1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F066E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59" w:hanging="1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0F6D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9" w:hanging="1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14EA0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59" w:hanging="1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52A7D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59" w:hanging="1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AD6A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59" w:hanging="1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4D75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1" w:hanging="13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15936D6"/>
    <w:multiLevelType w:val="hybridMultilevel"/>
    <w:tmpl w:val="EBE0A368"/>
    <w:styleLink w:val="Kreski"/>
    <w:lvl w:ilvl="0" w:tplc="3C2EFE6C">
      <w:start w:val="1"/>
      <w:numFmt w:val="bullet"/>
      <w:lvlText w:val="-"/>
      <w:lvlJc w:val="left"/>
      <w:pPr>
        <w:ind w:left="220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2E1436">
      <w:start w:val="1"/>
      <w:numFmt w:val="bullet"/>
      <w:lvlText w:val="-"/>
      <w:lvlJc w:val="left"/>
      <w:pPr>
        <w:ind w:left="460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A81F96">
      <w:start w:val="1"/>
      <w:numFmt w:val="bullet"/>
      <w:lvlText w:val="-"/>
      <w:lvlJc w:val="left"/>
      <w:pPr>
        <w:ind w:left="700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61F0E">
      <w:start w:val="1"/>
      <w:numFmt w:val="bullet"/>
      <w:lvlText w:val="-"/>
      <w:lvlJc w:val="left"/>
      <w:pPr>
        <w:ind w:left="940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6D7CC">
      <w:start w:val="1"/>
      <w:numFmt w:val="bullet"/>
      <w:lvlText w:val="-"/>
      <w:lvlJc w:val="left"/>
      <w:pPr>
        <w:ind w:left="1180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0E8908">
      <w:start w:val="1"/>
      <w:numFmt w:val="bullet"/>
      <w:lvlText w:val="-"/>
      <w:lvlJc w:val="left"/>
      <w:pPr>
        <w:ind w:left="1420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D6D6BE">
      <w:start w:val="1"/>
      <w:numFmt w:val="bullet"/>
      <w:lvlText w:val="-"/>
      <w:lvlJc w:val="left"/>
      <w:pPr>
        <w:ind w:left="1660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004680">
      <w:start w:val="1"/>
      <w:numFmt w:val="bullet"/>
      <w:lvlText w:val="-"/>
      <w:lvlJc w:val="left"/>
      <w:pPr>
        <w:ind w:left="1900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BA55AA">
      <w:start w:val="1"/>
      <w:numFmt w:val="bullet"/>
      <w:lvlText w:val="-"/>
      <w:lvlJc w:val="left"/>
      <w:pPr>
        <w:ind w:left="2140" w:hanging="2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CA87E6D"/>
    <w:multiLevelType w:val="hybridMultilevel"/>
    <w:tmpl w:val="D806F630"/>
    <w:styleLink w:val="Harvard"/>
    <w:lvl w:ilvl="0" w:tplc="4906C642">
      <w:start w:val="1"/>
      <w:numFmt w:val="upperRoman"/>
      <w:lvlText w:val="%1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EC4194">
      <w:start w:val="1"/>
      <w:numFmt w:val="upperLetter"/>
      <w:lvlText w:val="%2."/>
      <w:lvlJc w:val="left"/>
      <w:pPr>
        <w:ind w:left="66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0A9820">
      <w:start w:val="1"/>
      <w:numFmt w:val="low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42F338">
      <w:start w:val="1"/>
      <w:numFmt w:val="lowerRoman"/>
      <w:lvlText w:val="%4."/>
      <w:lvlJc w:val="left"/>
      <w:pPr>
        <w:ind w:left="125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4E2356">
      <w:start w:val="1"/>
      <w:numFmt w:val="lowerRoman"/>
      <w:lvlText w:val="%5."/>
      <w:lvlJc w:val="left"/>
      <w:pPr>
        <w:ind w:left="147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283EDE">
      <w:start w:val="1"/>
      <w:numFmt w:val="lowerRoman"/>
      <w:lvlText w:val="%6."/>
      <w:lvlJc w:val="left"/>
      <w:pPr>
        <w:ind w:left="169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B0DB92">
      <w:start w:val="1"/>
      <w:numFmt w:val="lowerRoman"/>
      <w:lvlText w:val="%7."/>
      <w:lvlJc w:val="left"/>
      <w:pPr>
        <w:ind w:left="191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80AEC4">
      <w:start w:val="1"/>
      <w:numFmt w:val="lowerRoman"/>
      <w:lvlText w:val="%8."/>
      <w:lvlJc w:val="left"/>
      <w:pPr>
        <w:ind w:left="213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C4A68E">
      <w:start w:val="1"/>
      <w:numFmt w:val="lowerRoman"/>
      <w:lvlText w:val="%9."/>
      <w:lvlJc w:val="left"/>
      <w:pPr>
        <w:ind w:left="2355" w:hanging="3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45721C8"/>
    <w:multiLevelType w:val="hybridMultilevel"/>
    <w:tmpl w:val="4866E160"/>
    <w:styleLink w:val="Kreski0"/>
    <w:lvl w:ilvl="0" w:tplc="BC80289E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7910BC76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85602A0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F8F6A08A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478630FE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DCF65DAE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310D77A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F4286776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71C4C552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6">
    <w:nsid w:val="4EA55EF8"/>
    <w:multiLevelType w:val="hybridMultilevel"/>
    <w:tmpl w:val="3A46F772"/>
    <w:numStyleLink w:val="Punktory"/>
  </w:abstractNum>
  <w:abstractNum w:abstractNumId="7">
    <w:nsid w:val="549E740B"/>
    <w:multiLevelType w:val="hybridMultilevel"/>
    <w:tmpl w:val="3A46F772"/>
    <w:styleLink w:val="Punktory"/>
    <w:lvl w:ilvl="0" w:tplc="90768B50">
      <w:start w:val="1"/>
      <w:numFmt w:val="bullet"/>
      <w:lvlText w:val="•"/>
      <w:lvlJc w:val="left"/>
      <w:pPr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0090C">
      <w:start w:val="1"/>
      <w:numFmt w:val="bullet"/>
      <w:lvlText w:val="•"/>
      <w:lvlJc w:val="left"/>
      <w:pPr>
        <w:ind w:left="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68380">
      <w:start w:val="1"/>
      <w:numFmt w:val="bullet"/>
      <w:lvlText w:val="•"/>
      <w:lvlJc w:val="left"/>
      <w:pPr>
        <w:ind w:left="1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DC669E">
      <w:start w:val="1"/>
      <w:numFmt w:val="bullet"/>
      <w:lvlText w:val="•"/>
      <w:lvlJc w:val="left"/>
      <w:pPr>
        <w:ind w:left="1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EB594">
      <w:start w:val="1"/>
      <w:numFmt w:val="bullet"/>
      <w:lvlText w:val="•"/>
      <w:lvlJc w:val="left"/>
      <w:pPr>
        <w:ind w:left="25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B4EB00">
      <w:start w:val="1"/>
      <w:numFmt w:val="bullet"/>
      <w:lvlText w:val="•"/>
      <w:lvlJc w:val="left"/>
      <w:pPr>
        <w:ind w:left="3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DE8A08">
      <w:start w:val="1"/>
      <w:numFmt w:val="bullet"/>
      <w:lvlText w:val="•"/>
      <w:lvlJc w:val="left"/>
      <w:pPr>
        <w:ind w:left="3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7EB1FC">
      <w:start w:val="1"/>
      <w:numFmt w:val="bullet"/>
      <w:lvlText w:val="•"/>
      <w:lvlJc w:val="left"/>
      <w:pPr>
        <w:ind w:left="4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EF774">
      <w:start w:val="1"/>
      <w:numFmt w:val="bullet"/>
      <w:lvlText w:val="•"/>
      <w:lvlJc w:val="left"/>
      <w:pPr>
        <w:ind w:left="4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BB26CE0"/>
    <w:multiLevelType w:val="hybridMultilevel"/>
    <w:tmpl w:val="4866E160"/>
    <w:numStyleLink w:val="Kreski0"/>
  </w:abstractNum>
  <w:abstractNum w:abstractNumId="9">
    <w:nsid w:val="6F025C63"/>
    <w:multiLevelType w:val="hybridMultilevel"/>
    <w:tmpl w:val="EBE0A368"/>
    <w:numStyleLink w:val="Kreski"/>
  </w:abstractNum>
  <w:abstractNum w:abstractNumId="10">
    <w:nsid w:val="78505E7F"/>
    <w:multiLevelType w:val="hybridMultilevel"/>
    <w:tmpl w:val="FC12F294"/>
    <w:styleLink w:val="Numery"/>
    <w:lvl w:ilvl="0" w:tplc="D71E24E0">
      <w:start w:val="1"/>
      <w:numFmt w:val="decimal"/>
      <w:lvlText w:val="%1."/>
      <w:lvlJc w:val="left"/>
      <w:pPr>
        <w:ind w:left="30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835F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860A34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C58DC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E02C6C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9E00D6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E275E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226D28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5C8CEE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9784EAD"/>
    <w:multiLevelType w:val="hybridMultilevel"/>
    <w:tmpl w:val="D806F630"/>
    <w:numStyleLink w:val="Harvard"/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0"/>
    <w:lvlOverride w:ilvl="1">
      <w:startOverride w:val="5"/>
    </w:lvlOverride>
  </w:num>
  <w:num w:numId="8">
    <w:abstractNumId w:val="0"/>
    <w:lvlOverride w:ilvl="2">
      <w:startOverride w:val="7"/>
    </w:lvlOverride>
  </w:num>
  <w:num w:numId="9">
    <w:abstractNumId w:val="7"/>
  </w:num>
  <w:num w:numId="10">
    <w:abstractNumId w:val="6"/>
  </w:num>
  <w:num w:numId="11">
    <w:abstractNumId w:val="0"/>
    <w:lvlOverride w:ilvl="1">
      <w:startOverride w:val="8"/>
    </w:lvlOverride>
  </w:num>
  <w:num w:numId="12">
    <w:abstractNumId w:val="3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12F8"/>
    <w:rsid w:val="00152DAC"/>
    <w:rsid w:val="00172C0C"/>
    <w:rsid w:val="002077CE"/>
    <w:rsid w:val="00251E90"/>
    <w:rsid w:val="0026444B"/>
    <w:rsid w:val="00326796"/>
    <w:rsid w:val="00352A50"/>
    <w:rsid w:val="003875F8"/>
    <w:rsid w:val="003D44EF"/>
    <w:rsid w:val="003E0644"/>
    <w:rsid w:val="00415DF0"/>
    <w:rsid w:val="00457EEC"/>
    <w:rsid w:val="004C69F3"/>
    <w:rsid w:val="00544D8F"/>
    <w:rsid w:val="00653E72"/>
    <w:rsid w:val="0079140B"/>
    <w:rsid w:val="007D47F5"/>
    <w:rsid w:val="008A1372"/>
    <w:rsid w:val="008C5EEC"/>
    <w:rsid w:val="00A0631D"/>
    <w:rsid w:val="00A45713"/>
    <w:rsid w:val="00B535A4"/>
    <w:rsid w:val="00B612F8"/>
    <w:rsid w:val="00BB03EA"/>
    <w:rsid w:val="00EF2B00"/>
    <w:rsid w:val="00F0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pPr>
      <w:spacing w:line="360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Harvard">
    <w:name w:val="Harvard"/>
    <w:pPr>
      <w:numPr>
        <w:numId w:val="3"/>
      </w:numPr>
    </w:pPr>
  </w:style>
  <w:style w:type="paragraph" w:customStyle="1" w:styleId="Przypisdolny">
    <w:name w:val="Przypis doln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reB">
    <w:name w:val="Treść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5"/>
      </w:numPr>
    </w:pPr>
  </w:style>
  <w:style w:type="numbering" w:customStyle="1" w:styleId="Punktory">
    <w:name w:val="Punktory"/>
    <w:pPr>
      <w:numPr>
        <w:numId w:val="9"/>
      </w:numPr>
    </w:pPr>
  </w:style>
  <w:style w:type="numbering" w:customStyle="1" w:styleId="Kreski">
    <w:name w:val="Kreski"/>
    <w:pPr>
      <w:numPr>
        <w:numId w:val="12"/>
      </w:numPr>
    </w:pPr>
  </w:style>
  <w:style w:type="numbering" w:customStyle="1" w:styleId="Kreski0">
    <w:name w:val="Kreski.0"/>
    <w:pPr>
      <w:numPr>
        <w:numId w:val="1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5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A4"/>
    <w:rPr>
      <w:rFonts w:ascii="Tahoma" w:hAnsi="Tahoma" w:cs="Tahoma"/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D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2DAC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D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pPr>
      <w:spacing w:line="360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Harvard">
    <w:name w:val="Harvard"/>
    <w:pPr>
      <w:numPr>
        <w:numId w:val="3"/>
      </w:numPr>
    </w:pPr>
  </w:style>
  <w:style w:type="paragraph" w:customStyle="1" w:styleId="Przypisdolny">
    <w:name w:val="Przypis doln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reB">
    <w:name w:val="Treść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5"/>
      </w:numPr>
    </w:pPr>
  </w:style>
  <w:style w:type="numbering" w:customStyle="1" w:styleId="Punktory">
    <w:name w:val="Punktory"/>
    <w:pPr>
      <w:numPr>
        <w:numId w:val="9"/>
      </w:numPr>
    </w:pPr>
  </w:style>
  <w:style w:type="numbering" w:customStyle="1" w:styleId="Kreski">
    <w:name w:val="Kreski"/>
    <w:pPr>
      <w:numPr>
        <w:numId w:val="12"/>
      </w:numPr>
    </w:pPr>
  </w:style>
  <w:style w:type="numbering" w:customStyle="1" w:styleId="Kreski0">
    <w:name w:val="Kreski.0"/>
    <w:pPr>
      <w:numPr>
        <w:numId w:val="1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5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A4"/>
    <w:rPr>
      <w:rFonts w:ascii="Tahoma" w:hAnsi="Tahoma" w:cs="Tahoma"/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2D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2DAC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DA84-FA79-4DD9-878D-970C94E8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2567</Words>
  <Characters>15406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Pytko</dc:creator>
  <cp:lastModifiedBy>Krzysztof Zaręba</cp:lastModifiedBy>
  <cp:revision>2</cp:revision>
  <cp:lastPrinted>2021-01-25T12:54:00Z</cp:lastPrinted>
  <dcterms:created xsi:type="dcterms:W3CDTF">2021-01-28T10:01:00Z</dcterms:created>
  <dcterms:modified xsi:type="dcterms:W3CDTF">2021-01-28T10:01:00Z</dcterms:modified>
</cp:coreProperties>
</file>