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07558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C30E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grudnia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C30E1" w:rsidRDefault="00FC30E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DOOŚ-WDŚZOO.420.15.2022.MW.SK.</w:t>
      </w:r>
      <w:r w:rsidRPr="00FC30E1">
        <w:rPr>
          <w:rFonts w:asciiTheme="minorHAnsi" w:hAnsiTheme="minorHAnsi" w:cstheme="minorHAnsi"/>
          <w:bCs/>
          <w:sz w:val="24"/>
          <w:szCs w:val="24"/>
          <w:lang w:eastAsia="pl-PL"/>
        </w:rPr>
        <w:t>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C30E1" w:rsidRPr="00FC30E1" w:rsidRDefault="00FC30E1" w:rsidP="00FC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C30E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2022 r. poz. 2000), dalej k.p.a., w związku z art. 74 ust. 3 ustawy z dnia 3 października 2008 r. o udostępnianiu informacji o środowisku i jego ochronie, udziale społeczeństwa w ochronie środowiska oraz o ocenach oddziaływania na środowisko (Dz. U. z 2022 r. poz. 1029, ze zm.), dalej ustawa o.o.ś., zawiadamiam, że postępowanie w sprawie stwierdzenia nieważności decyzji Regionalnego Dyrektora Ochrony Środowiska w Opolu z 15 lutego 2012 r., znak: WOOŚ.4210.1.2011.IOC.14, o środowiskowych uwarunkowaniach dla przedsięwzięcia pod nazwą: Budowa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farmy wiatrowej Bąków 2E wraz z</w:t>
      </w:r>
      <w:r w:rsidRPr="00FC30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towarzyszącą w gminie Grodków woj. Opolskie nie mogło być zakończone w ustawowym terminie. Przyczyną zwłoki jest skomplikowany charakter sprawy.</w:t>
      </w:r>
    </w:p>
    <w:p w:rsidR="00FC30E1" w:rsidRPr="00FC30E1" w:rsidRDefault="00FC30E1" w:rsidP="00FC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C30E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stycznia 2023 r.</w:t>
      </w:r>
    </w:p>
    <w:p w:rsidR="00457259" w:rsidRDefault="00FC30E1" w:rsidP="00FC30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C30E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k.p.a. — stronie służy prawo do wniesienia ponaglenia.</w:t>
      </w:r>
    </w:p>
    <w:p w:rsidR="00FC30E1" w:rsidRDefault="00FC30E1" w:rsidP="00FC30E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FC30E1" w:rsidP="00FC30E1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C30E1" w:rsidRPr="00FC30E1" w:rsidRDefault="00FC30E1" w:rsidP="00FC30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30E1">
        <w:rPr>
          <w:rFonts w:asciiTheme="minorHAnsi" w:hAnsiTheme="minorHAnsi" w:cstheme="minorHAnsi"/>
          <w:bCs/>
        </w:rPr>
        <w:t>Art. 36 k.p.a</w:t>
      </w:r>
      <w:r>
        <w:rPr>
          <w:rFonts w:asciiTheme="minorHAnsi" w:hAnsiTheme="minorHAnsi" w:cstheme="minorHAnsi"/>
          <w:bCs/>
        </w:rPr>
        <w:t>. O każdym przypadku niezałatwie</w:t>
      </w:r>
      <w:r w:rsidRPr="00FC30E1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FC30E1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FC30E1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FC30E1" w:rsidRPr="00FC30E1" w:rsidRDefault="00FC30E1" w:rsidP="00FC30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30E1">
        <w:rPr>
          <w:rFonts w:asciiTheme="minorHAnsi" w:hAnsiTheme="minorHAnsi" w:cstheme="minorHAnsi"/>
          <w:bCs/>
        </w:rPr>
        <w:t>Art. 37 § 1 k.p.a.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FC30E1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FC30E1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FC30E1" w:rsidRPr="00FC30E1" w:rsidRDefault="00FC30E1" w:rsidP="00FC30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30E1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 w:rsidR="00351AEA">
        <w:rPr>
          <w:rFonts w:asciiTheme="minorHAnsi" w:hAnsiTheme="minorHAnsi" w:cstheme="minorHAnsi"/>
          <w:bCs/>
        </w:rPr>
        <w:t xml:space="preserve">nformacji Publicznej na stronie </w:t>
      </w:r>
      <w:r w:rsidRPr="00FC30E1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FC30E1" w:rsidP="00FC30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30E1">
        <w:rPr>
          <w:rFonts w:asciiTheme="minorHAnsi" w:hAnsiTheme="minorHAnsi" w:cstheme="minorHAnsi"/>
          <w:bCs/>
        </w:rPr>
        <w:t>Art. 74 ust. 3 ustawy 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9D" w:rsidRDefault="00F55C9D">
      <w:pPr>
        <w:spacing w:after="0" w:line="240" w:lineRule="auto"/>
      </w:pPr>
      <w:r>
        <w:separator/>
      </w:r>
    </w:p>
  </w:endnote>
  <w:endnote w:type="continuationSeparator" w:id="0">
    <w:p w:rsidR="00F55C9D" w:rsidRDefault="00F5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51AE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55C9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9D" w:rsidRDefault="00F55C9D">
      <w:pPr>
        <w:spacing w:after="0" w:line="240" w:lineRule="auto"/>
      </w:pPr>
      <w:r>
        <w:separator/>
      </w:r>
    </w:p>
  </w:footnote>
  <w:footnote w:type="continuationSeparator" w:id="0">
    <w:p w:rsidR="00F55C9D" w:rsidRDefault="00F5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55C9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55C9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55C9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51AEA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F2182"/>
    <w:rsid w:val="00F55C9D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B4B5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150A-7C61-4BD8-9A40-8E92C82D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2023-07-05T13:20:00Z</dcterms:created>
  <dcterms:modified xsi:type="dcterms:W3CDTF">2023-07-05T13:20:00Z</dcterms:modified>
</cp:coreProperties>
</file>