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A74801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51909186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7480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27 listopada 2020 r.</w:t>
      </w:r>
      <w:bookmarkEnd w:id="0"/>
    </w:p>
    <w:p w:rsidR="003B330C" w:rsidRDefault="00A74801" w:rsidP="003B330C"/>
    <w:p w:rsidR="003B330C" w:rsidRDefault="00A74801" w:rsidP="003B330C"/>
    <w:p w:rsidR="003B330C" w:rsidRDefault="00A74801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A74801" w:rsidP="003B330C">
      <w:pPr>
        <w:tabs>
          <w:tab w:val="left" w:pos="3735"/>
          <w:tab w:val="left" w:pos="4095"/>
        </w:tabs>
      </w:pPr>
    </w:p>
    <w:p w:rsidR="003B330C" w:rsidRDefault="00A74801" w:rsidP="003B330C">
      <w:pPr>
        <w:tabs>
          <w:tab w:val="left" w:pos="4095"/>
        </w:tabs>
        <w:rPr>
          <w:rFonts w:ascii="Calibri" w:hAnsi="Calibri"/>
        </w:rPr>
      </w:pPr>
      <w:bookmarkStart w:id="1" w:name="_GoBack"/>
      <w:r>
        <w:rPr>
          <w:rFonts w:ascii="Calibri" w:hAnsi="Calibri"/>
        </w:rPr>
        <w:t xml:space="preserve"> WNP-I.4131.207.2020</w:t>
      </w:r>
      <w:r>
        <w:rPr>
          <w:rFonts w:ascii="Calibri" w:hAnsi="Calibri"/>
        </w:rPr>
        <w:t>.MW</w:t>
      </w:r>
    </w:p>
    <w:bookmarkEnd w:id="1"/>
    <w:p w:rsidR="00DA0D2D" w:rsidRDefault="00A74801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</w:p>
    <w:p w:rsidR="00DA0D2D" w:rsidRDefault="00A74801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</w:p>
    <w:p w:rsidR="00DA0D2D" w:rsidRPr="00281F20" w:rsidRDefault="00A74801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  <w:r w:rsidRPr="00281F20">
        <w:rPr>
          <w:rFonts w:ascii="Calibri" w:hAnsi="Calibri" w:cs="Calibri"/>
          <w:b/>
          <w:sz w:val="28"/>
        </w:rPr>
        <w:t>Rada Gminy Pokrzywnica</w:t>
      </w:r>
    </w:p>
    <w:p w:rsidR="00DA0D2D" w:rsidRPr="00281F20" w:rsidRDefault="00A74801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  <w:r w:rsidRPr="00281F20">
        <w:rPr>
          <w:rFonts w:ascii="Calibri" w:hAnsi="Calibri" w:cs="Calibri"/>
          <w:b/>
          <w:sz w:val="28"/>
        </w:rPr>
        <w:t>Aleja Jana Pawła II nr 1</w:t>
      </w:r>
    </w:p>
    <w:p w:rsidR="00DA0D2D" w:rsidRPr="00B457B2" w:rsidRDefault="00A74801" w:rsidP="00DA0D2D">
      <w:pPr>
        <w:ind w:firstLine="4962"/>
        <w:rPr>
          <w:sz w:val="28"/>
          <w:szCs w:val="28"/>
        </w:rPr>
      </w:pPr>
      <w:r w:rsidRPr="00281F20">
        <w:rPr>
          <w:rFonts w:ascii="Calibri" w:hAnsi="Calibri" w:cs="Calibri"/>
          <w:b/>
          <w:sz w:val="28"/>
        </w:rPr>
        <w:t>06-121 Pokrzywnica</w:t>
      </w:r>
    </w:p>
    <w:p w:rsidR="00DA0D2D" w:rsidRPr="002E050E" w:rsidRDefault="00A74801" w:rsidP="00DA0D2D">
      <w:pPr>
        <w:ind w:firstLine="4962"/>
        <w:jc w:val="both"/>
        <w:rPr>
          <w:rFonts w:cstheme="minorHAnsi"/>
          <w:sz w:val="28"/>
          <w:szCs w:val="28"/>
        </w:rPr>
      </w:pPr>
    </w:p>
    <w:p w:rsidR="00DA0D2D" w:rsidRDefault="00A74801" w:rsidP="00DA0D2D">
      <w:pPr>
        <w:autoSpaceDE w:val="0"/>
        <w:autoSpaceDN w:val="0"/>
        <w:adjustRightInd w:val="0"/>
        <w:ind w:firstLine="4962"/>
        <w:rPr>
          <w:rFonts w:ascii="Calibri" w:hAnsi="Calibri" w:cs="Arial"/>
        </w:rPr>
      </w:pPr>
    </w:p>
    <w:p w:rsidR="00E8304C" w:rsidRPr="005560EE" w:rsidRDefault="00A74801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E8304C" w:rsidRPr="005560EE" w:rsidRDefault="00A74801" w:rsidP="00E8304C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E8304C" w:rsidRPr="005560EE" w:rsidRDefault="00A74801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670CA3" w:rsidRDefault="00A74801" w:rsidP="00670CA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załącznika do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 xml:space="preserve">y Rady Gminy Pokrzywnica Nr XIX/132/2020 z dnia 12 listopada </w:t>
      </w:r>
      <w:r>
        <w:rPr>
          <w:rFonts w:asciiTheme="minorHAnsi" w:hAnsiTheme="minorHAnsi" w:cstheme="minorHAnsi"/>
        </w:rPr>
        <w:t xml:space="preserve">2020 r. </w:t>
      </w:r>
      <w:r>
        <w:rPr>
          <w:rFonts w:asciiTheme="minorHAnsi" w:hAnsiTheme="minorHAnsi" w:cstheme="minorHAnsi"/>
          <w:i/>
        </w:rPr>
        <w:t>w </w:t>
      </w:r>
      <w:r w:rsidRPr="006F77EE">
        <w:rPr>
          <w:rFonts w:asciiTheme="minorHAnsi" w:hAnsiTheme="minorHAnsi" w:cstheme="minorHAnsi"/>
          <w:i/>
        </w:rPr>
        <w:t>sprawie</w:t>
      </w:r>
      <w:r>
        <w:rPr>
          <w:rFonts w:asciiTheme="minorHAnsi" w:hAnsiTheme="minorHAnsi" w:cstheme="minorHAnsi"/>
          <w:i/>
        </w:rPr>
        <w:t xml:space="preserve"> określenia szczegółowych warunków przyznawania i odpłatności za usługi opiekuńcze oraz specjalistyczne usługi opiekuńcze, z wyłączeniem specjalistycznych usług opiekuńczych dla osób z zaburzeniami psychicznymi, a także szczegółowych warun</w:t>
      </w:r>
      <w:r>
        <w:rPr>
          <w:rFonts w:asciiTheme="minorHAnsi" w:hAnsiTheme="minorHAnsi" w:cstheme="minorHAnsi"/>
          <w:i/>
        </w:rPr>
        <w:t xml:space="preserve">ków częściowego lub całkowitego zwolnienia od opłat, jak również trybu ich pobierania, </w:t>
      </w:r>
      <w:r w:rsidRPr="00836618">
        <w:rPr>
          <w:rFonts w:asciiTheme="minorHAnsi" w:hAnsiTheme="minorHAnsi" w:cstheme="minorHAnsi"/>
          <w:b/>
        </w:rPr>
        <w:t>w części</w:t>
      </w:r>
      <w:r w:rsidRPr="00836618">
        <w:rPr>
          <w:rFonts w:asciiTheme="minorHAnsi" w:hAnsiTheme="minorHAnsi" w:cstheme="minorHAnsi"/>
        </w:rPr>
        <w:t>, w zakresie ustaleń: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§ 2; </w:t>
      </w:r>
      <w:r>
        <w:rPr>
          <w:rFonts w:asciiTheme="minorHAnsi" w:hAnsiTheme="minorHAnsi" w:cstheme="minorHAnsi"/>
        </w:rPr>
        <w:t xml:space="preserve">§ 4,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 xml:space="preserve">odniesieniu do błędnej numeracji </w:t>
      </w:r>
      <w:r>
        <w:rPr>
          <w:rFonts w:asciiTheme="minorHAnsi" w:hAnsiTheme="minorHAnsi" w:cstheme="minorHAnsi"/>
        </w:rPr>
        <w:t>ustępów oraz</w:t>
      </w:r>
      <w:r w:rsidRPr="00EF33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§ 5 ust. 2.</w:t>
      </w:r>
    </w:p>
    <w:p w:rsidR="00670CA3" w:rsidRPr="00670CA3" w:rsidRDefault="00A74801" w:rsidP="00E8304C">
      <w:pPr>
        <w:spacing w:line="360" w:lineRule="auto"/>
        <w:jc w:val="both"/>
        <w:rPr>
          <w:rFonts w:asciiTheme="minorHAnsi" w:hAnsiTheme="minorHAnsi" w:cstheme="minorHAnsi"/>
        </w:rPr>
      </w:pPr>
    </w:p>
    <w:p w:rsidR="00E8304C" w:rsidRPr="00D7631A" w:rsidRDefault="00A74801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A46A0B" w:rsidRPr="00A46A0B" w:rsidRDefault="00A74801" w:rsidP="00A46A0B">
      <w:pPr>
        <w:spacing w:line="360" w:lineRule="auto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t xml:space="preserve">Jako podstawę prawną uchwały </w:t>
      </w:r>
      <w:r>
        <w:rPr>
          <w:rFonts w:asciiTheme="minorHAnsi" w:hAnsiTheme="minorHAnsi" w:cstheme="minorHAnsi"/>
        </w:rPr>
        <w:t xml:space="preserve">Rada Gminy wskazała, m.in. art. 50 ust. 6 ustawy z dnia 12 marca 2004 r. o pomocy społecznej (Dz. U. z 2020 r., poz. </w:t>
      </w:r>
      <w:r>
        <w:rPr>
          <w:rFonts w:asciiTheme="minorHAnsi" w:hAnsiTheme="minorHAnsi" w:cstheme="minorHAnsi"/>
        </w:rPr>
        <w:t>1876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zwanej dalej: „u.p.s.”, </w:t>
      </w:r>
      <w:r>
        <w:rPr>
          <w:rFonts w:asciiTheme="minorHAnsi" w:hAnsiTheme="minorHAnsi" w:cstheme="minorHAnsi"/>
        </w:rPr>
        <w:t xml:space="preserve">zgodnie z którym </w:t>
      </w:r>
      <w:r>
        <w:rPr>
          <w:rFonts w:asciiTheme="minorHAnsi" w:hAnsiTheme="minorHAnsi" w:cstheme="minorHAnsi"/>
        </w:rPr>
        <w:t>rada gminy określa, w </w:t>
      </w:r>
      <w:r w:rsidRPr="00A46A0B">
        <w:rPr>
          <w:rFonts w:asciiTheme="minorHAnsi" w:hAnsiTheme="minorHAnsi" w:cstheme="minorHAnsi"/>
        </w:rPr>
        <w:t>drodze uchwały, szczegółowe warunki przyznawania i odp</w:t>
      </w:r>
      <w:r>
        <w:rPr>
          <w:rFonts w:asciiTheme="minorHAnsi" w:hAnsiTheme="minorHAnsi" w:cstheme="minorHAnsi"/>
        </w:rPr>
        <w:t>łatności za usł</w:t>
      </w:r>
      <w:r>
        <w:rPr>
          <w:rFonts w:asciiTheme="minorHAnsi" w:hAnsiTheme="minorHAnsi" w:cstheme="minorHAnsi"/>
        </w:rPr>
        <w:t>ugi opiekuńcze i </w:t>
      </w:r>
      <w:r w:rsidRPr="00A46A0B">
        <w:rPr>
          <w:rFonts w:asciiTheme="minorHAnsi" w:hAnsiTheme="minorHAnsi" w:cstheme="minorHAnsi"/>
        </w:rPr>
        <w:t>specjalistyczne usługi opiekuńcze, z wyłączeniem specjalistycznyc</w:t>
      </w:r>
      <w:r>
        <w:rPr>
          <w:rFonts w:asciiTheme="minorHAnsi" w:hAnsiTheme="minorHAnsi" w:cstheme="minorHAnsi"/>
        </w:rPr>
        <w:t>h usług opiekuńczych dla osób z </w:t>
      </w:r>
      <w:r w:rsidRPr="00A46A0B">
        <w:rPr>
          <w:rFonts w:asciiTheme="minorHAnsi" w:hAnsiTheme="minorHAnsi" w:cstheme="minorHAnsi"/>
        </w:rPr>
        <w:t>zaburzeniami psychicznymi, oraz szczegółowe warunki częścioweg</w:t>
      </w:r>
      <w:r>
        <w:rPr>
          <w:rFonts w:asciiTheme="minorHAnsi" w:hAnsiTheme="minorHAnsi" w:cstheme="minorHAnsi"/>
        </w:rPr>
        <w:t>o lub całkowitego zwolnienia od </w:t>
      </w:r>
      <w:r w:rsidRPr="00A46A0B">
        <w:rPr>
          <w:rFonts w:asciiTheme="minorHAnsi" w:hAnsiTheme="minorHAnsi" w:cstheme="minorHAnsi"/>
        </w:rPr>
        <w:t>opłat, jak również tryb ich pobierania.</w:t>
      </w:r>
    </w:p>
    <w:p w:rsidR="00605431" w:rsidRPr="00605431" w:rsidRDefault="00A74801" w:rsidP="0014279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 2 za</w:t>
      </w:r>
      <w:r>
        <w:rPr>
          <w:rFonts w:asciiTheme="minorHAnsi" w:hAnsiTheme="minorHAnsi" w:cstheme="minorHAnsi"/>
        </w:rPr>
        <w:t>łączni</w:t>
      </w:r>
      <w:r>
        <w:rPr>
          <w:rFonts w:asciiTheme="minorHAnsi" w:hAnsiTheme="minorHAnsi" w:cstheme="minorHAnsi"/>
        </w:rPr>
        <w:t>ka do uchwały Rada ustaliła, że:</w:t>
      </w:r>
    </w:p>
    <w:p w:rsidR="00605431" w:rsidRPr="00142794" w:rsidRDefault="00A74801" w:rsidP="0060543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„</w:t>
      </w:r>
      <w:r w:rsidRPr="00142794">
        <w:rPr>
          <w:rFonts w:asciiTheme="minorHAnsi" w:hAnsiTheme="minorHAnsi" w:cstheme="minorHAnsi"/>
          <w:i/>
        </w:rPr>
        <w:t>1. Usługi przyznawane są na wniosek osoby zainteresowanej, jej przedstawiciela ustawowego albo innej osoby, za zgodą osoby zainteresowanej lub jej przedstawiciela ustawowego.</w:t>
      </w:r>
    </w:p>
    <w:p w:rsidR="00605431" w:rsidRPr="00142794" w:rsidRDefault="00A74801" w:rsidP="0060543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2. </w:t>
      </w:r>
      <w:r w:rsidRPr="00142794">
        <w:rPr>
          <w:rFonts w:asciiTheme="minorHAnsi" w:hAnsiTheme="minorHAnsi" w:cstheme="minorHAnsi"/>
          <w:i/>
        </w:rPr>
        <w:t xml:space="preserve">Przyznanie pomocy w formie usług </w:t>
      </w:r>
      <w:r w:rsidRPr="00142794">
        <w:rPr>
          <w:rFonts w:asciiTheme="minorHAnsi" w:hAnsiTheme="minorHAnsi" w:cstheme="minorHAnsi"/>
          <w:i/>
        </w:rPr>
        <w:t>następuje w drodze decyzji administracyjnej określającej: rodzaj, liczbę godzin w miesiącu, zakres usług, miejsce i termin świadczenia usług oraz wysokość odpłatności i termin płatności.</w:t>
      </w:r>
    </w:p>
    <w:p w:rsidR="00605431" w:rsidRPr="00605431" w:rsidRDefault="00A74801" w:rsidP="0060543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3. </w:t>
      </w:r>
      <w:r w:rsidRPr="00142794">
        <w:rPr>
          <w:rFonts w:asciiTheme="minorHAnsi" w:hAnsiTheme="minorHAnsi" w:cstheme="minorHAnsi"/>
          <w:i/>
        </w:rPr>
        <w:t xml:space="preserve">Wydanie decyzji administracyjnej poprzedzone jest przeprowadzeniem wywiadu środowiskowego, w wyniku którego ustalona zostaje sytuacja osobista, </w:t>
      </w:r>
      <w:r>
        <w:rPr>
          <w:rFonts w:asciiTheme="minorHAnsi" w:hAnsiTheme="minorHAnsi" w:cstheme="minorHAnsi"/>
          <w:i/>
        </w:rPr>
        <w:t>rodzinna, dochodowa i majątkowa.”</w:t>
      </w:r>
    </w:p>
    <w:p w:rsidR="00605431" w:rsidRDefault="00A74801" w:rsidP="0060543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powyższego organ nadzoru wskazuje, że brak jest delegacji dla Rady do re</w:t>
      </w:r>
      <w:r>
        <w:rPr>
          <w:rFonts w:asciiTheme="minorHAnsi" w:hAnsiTheme="minorHAnsi" w:cstheme="minorHAnsi"/>
        </w:rPr>
        <w:t xml:space="preserve">gulowania kwestii </w:t>
      </w:r>
      <w:r>
        <w:rPr>
          <w:rFonts w:asciiTheme="minorHAnsi" w:hAnsiTheme="minorHAnsi" w:cstheme="minorHAnsi"/>
        </w:rPr>
        <w:t xml:space="preserve">dotyczących: wskazania osób uprawnionych do złożenia wniosku, elementów decyzji administracyjnej oraz procedury administracyjnej. </w:t>
      </w:r>
    </w:p>
    <w:p w:rsidR="00AD29D9" w:rsidRDefault="00A74801" w:rsidP="009C42E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Kwestie dotyczące osób uprawnionych do </w:t>
      </w:r>
      <w:r>
        <w:rPr>
          <w:rFonts w:asciiTheme="minorHAnsi" w:hAnsiTheme="minorHAnsi" w:cstheme="minorHAnsi"/>
        </w:rPr>
        <w:t>złożenia wniosku</w:t>
      </w:r>
      <w:r>
        <w:rPr>
          <w:rFonts w:asciiTheme="minorHAnsi" w:hAnsiTheme="minorHAnsi" w:cstheme="minorHAnsi"/>
        </w:rPr>
        <w:t xml:space="preserve"> o przyznanie usług opiekuńczych i specjalistycznych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regulują przepisy u.p.s. </w:t>
      </w:r>
      <w:r w:rsidRPr="00670CA3">
        <w:rPr>
          <w:rFonts w:asciiTheme="minorHAnsi" w:hAnsiTheme="minorHAnsi" w:cstheme="minorHAnsi"/>
        </w:rPr>
        <w:t xml:space="preserve">Zauważyć należy, że ustawodawca w </w:t>
      </w:r>
      <w:hyperlink r:id="rId10" w:anchor="/document/17087802?unitId=art(50)ust(1)&amp;cm=DOCUMENT" w:tgtFrame="_blank" w:history="1">
        <w:r w:rsidRPr="00670CA3">
          <w:rPr>
            <w:rStyle w:val="Hipercze"/>
            <w:rFonts w:asciiTheme="minorHAnsi" w:hAnsiTheme="minorHAnsi" w:cstheme="minorHAnsi"/>
            <w:color w:val="auto"/>
            <w:u w:val="none"/>
          </w:rPr>
          <w:t>art. 50 ust. 1</w:t>
        </w:r>
      </w:hyperlink>
      <w:r w:rsidRPr="00670CA3">
        <w:rPr>
          <w:rFonts w:asciiTheme="minorHAnsi" w:hAnsiTheme="minorHAnsi" w:cstheme="minorHAnsi"/>
        </w:rPr>
        <w:t xml:space="preserve"> i </w:t>
      </w:r>
      <w:hyperlink r:id="rId11" w:anchor="/document/17087802?unitId=art(50)ust(2)&amp;cm=DOCUMENT" w:tgtFrame="_blank" w:history="1">
        <w:r w:rsidRPr="00670CA3">
          <w:rPr>
            <w:rStyle w:val="Hipercze"/>
            <w:rFonts w:asciiTheme="minorHAnsi" w:hAnsiTheme="minorHAnsi" w:cstheme="minorHAnsi"/>
            <w:color w:val="auto"/>
            <w:u w:val="none"/>
          </w:rPr>
          <w:t>2</w:t>
        </w:r>
      </w:hyperlink>
      <w:r w:rsidRPr="00670C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u.p.s.</w:t>
      </w:r>
      <w:r w:rsidRPr="00670CA3">
        <w:rPr>
          <w:rFonts w:asciiTheme="minorHAnsi" w:hAnsiTheme="minorHAnsi" w:cstheme="minorHAnsi"/>
        </w:rPr>
        <w:t xml:space="preserve"> w sposób arbitralny i wyczerpujący uregulował krąg osób mogąc</w:t>
      </w:r>
      <w:r>
        <w:rPr>
          <w:rFonts w:asciiTheme="minorHAnsi" w:hAnsiTheme="minorHAnsi" w:cstheme="minorHAnsi"/>
        </w:rPr>
        <w:t>ych się ubiegać o przyznanie tego rodzaju świadczeń. R</w:t>
      </w:r>
      <w:r w:rsidRPr="00670CA3">
        <w:rPr>
          <w:rFonts w:asciiTheme="minorHAnsi" w:hAnsiTheme="minorHAnsi" w:cstheme="minorHAnsi"/>
        </w:rPr>
        <w:t>ozpatrując powyższe prze</w:t>
      </w:r>
      <w:r>
        <w:rPr>
          <w:rFonts w:asciiTheme="minorHAnsi" w:hAnsiTheme="minorHAnsi" w:cstheme="minorHAnsi"/>
        </w:rPr>
        <w:t>z pryzmat normy kompetencyjnej (art. 50 ust. 6 u.p.s.</w:t>
      </w:r>
      <w:r w:rsidRPr="00670CA3">
        <w:rPr>
          <w:rFonts w:asciiTheme="minorHAnsi" w:hAnsiTheme="minorHAnsi" w:cstheme="minorHAnsi"/>
        </w:rPr>
        <w:t xml:space="preserve">), należy zauważyć, że </w:t>
      </w:r>
      <w:r w:rsidRPr="00670CA3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 xml:space="preserve">Gminy </w:t>
      </w:r>
      <w:r w:rsidRPr="00670CA3">
        <w:rPr>
          <w:rFonts w:asciiTheme="minorHAnsi" w:hAnsiTheme="minorHAnsi" w:cstheme="minorHAnsi"/>
        </w:rPr>
        <w:t xml:space="preserve">nie była upoważniona do </w:t>
      </w:r>
      <w:r>
        <w:rPr>
          <w:rFonts w:asciiTheme="minorHAnsi" w:hAnsiTheme="minorHAnsi" w:cstheme="minorHAnsi"/>
        </w:rPr>
        <w:t>regulowania w uchwale kwestii</w:t>
      </w:r>
      <w:r w:rsidRPr="00670CA3">
        <w:rPr>
          <w:rFonts w:asciiTheme="minorHAnsi" w:hAnsiTheme="minorHAnsi" w:cstheme="minorHAnsi"/>
        </w:rPr>
        <w:t xml:space="preserve"> osób uprawnionych do przyznania świadczenia w postaci usług opiekuńczych bądź specjalistycznych usług opiekuńczych. Tym samym Rada w sposób nieuprawniony postanowiła o kwestii stanowiącej już</w:t>
      </w:r>
      <w:r w:rsidRPr="00670CA3">
        <w:rPr>
          <w:rFonts w:asciiTheme="minorHAnsi" w:hAnsiTheme="minorHAnsi" w:cstheme="minorHAnsi"/>
        </w:rPr>
        <w:t xml:space="preserve"> przedmiot regulacji przepisu ustawowego</w:t>
      </w:r>
      <w:r>
        <w:rPr>
          <w:rFonts w:asciiTheme="minorHAnsi" w:hAnsiTheme="minorHAnsi" w:cstheme="minorHAnsi"/>
        </w:rPr>
        <w:t>.</w:t>
      </w:r>
    </w:p>
    <w:p w:rsidR="009B42E7" w:rsidRDefault="00A74801" w:rsidP="00AD29D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Ustalenie zawarte w § 2 ust. 1 załącznika do uchwały stanowi modyfikację art.</w:t>
      </w:r>
      <w:r>
        <w:rPr>
          <w:rFonts w:asciiTheme="minorHAnsi" w:hAnsiTheme="minorHAnsi" w:cstheme="minorHAnsi"/>
        </w:rPr>
        <w:t xml:space="preserve"> 102 u.p.s., który dotyczy wszczęcia postepowania w przedmiocie udzielenia świadczeń z pomocy społecznej. </w:t>
      </w:r>
      <w:r>
        <w:rPr>
          <w:rFonts w:asciiTheme="minorHAnsi" w:hAnsiTheme="minorHAnsi" w:cstheme="minorHAnsi"/>
        </w:rPr>
        <w:t xml:space="preserve">W świetle przywołanego </w:t>
      </w:r>
      <w:r>
        <w:rPr>
          <w:rFonts w:asciiTheme="minorHAnsi" w:hAnsiTheme="minorHAnsi" w:cstheme="minorHAnsi"/>
        </w:rPr>
        <w:t>artykułu</w:t>
      </w:r>
      <w:r>
        <w:rPr>
          <w:rFonts w:asciiTheme="minorHAnsi" w:hAnsiTheme="minorHAnsi" w:cstheme="minorHAnsi"/>
        </w:rPr>
        <w:t xml:space="preserve"> ś</w:t>
      </w:r>
      <w:r w:rsidRPr="009B42E7">
        <w:rPr>
          <w:rFonts w:asciiTheme="minorHAnsi" w:hAnsiTheme="minorHAnsi" w:cstheme="minorHAnsi"/>
        </w:rPr>
        <w:t>wiadczenia z pomocy społecz</w:t>
      </w:r>
      <w:r>
        <w:rPr>
          <w:rFonts w:asciiTheme="minorHAnsi" w:hAnsiTheme="minorHAnsi" w:cstheme="minorHAnsi"/>
        </w:rPr>
        <w:t>nej są udzielane na </w:t>
      </w:r>
      <w:r w:rsidRPr="009B42E7">
        <w:rPr>
          <w:rFonts w:asciiTheme="minorHAnsi" w:hAnsiTheme="minorHAnsi" w:cstheme="minorHAnsi"/>
        </w:rPr>
        <w:t xml:space="preserve">wniosek osoby zainteresowanej, jej przedstawiciela </w:t>
      </w:r>
      <w:r>
        <w:rPr>
          <w:rFonts w:asciiTheme="minorHAnsi" w:hAnsiTheme="minorHAnsi" w:cstheme="minorHAnsi"/>
        </w:rPr>
        <w:t>ustawowego albo innej osoby, za </w:t>
      </w:r>
      <w:r w:rsidRPr="009B42E7">
        <w:rPr>
          <w:rFonts w:asciiTheme="minorHAnsi" w:hAnsiTheme="minorHAnsi" w:cstheme="minorHAnsi"/>
        </w:rPr>
        <w:t>zgodą osoby zainteresowanej lub</w:t>
      </w:r>
      <w:r>
        <w:rPr>
          <w:rFonts w:asciiTheme="minorHAnsi" w:hAnsiTheme="minorHAnsi" w:cstheme="minorHAnsi"/>
        </w:rPr>
        <w:t xml:space="preserve"> jej przedstawiciela ustawowego (art. 102 § 1 u.p.s</w:t>
      </w:r>
      <w:r>
        <w:rPr>
          <w:rFonts w:asciiTheme="minorHAnsi" w:hAnsiTheme="minorHAnsi" w:cstheme="minorHAnsi"/>
        </w:rPr>
        <w:t xml:space="preserve">.). Ustawodawca przewiduje również możliwość przyznania pomocy społecznej z urzędu (art. 102 § 2 u.p.s.). </w:t>
      </w:r>
    </w:p>
    <w:p w:rsidR="00640ADD" w:rsidRPr="009B42E7" w:rsidRDefault="00A74801" w:rsidP="00955E4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kolei </w:t>
      </w:r>
      <w:r>
        <w:rPr>
          <w:rFonts w:asciiTheme="minorHAnsi" w:hAnsiTheme="minorHAnsi" w:cstheme="minorHAnsi"/>
        </w:rPr>
        <w:t xml:space="preserve">elementy </w:t>
      </w:r>
      <w:r>
        <w:rPr>
          <w:rFonts w:asciiTheme="minorHAnsi" w:hAnsiTheme="minorHAnsi" w:cstheme="minorHAnsi"/>
        </w:rPr>
        <w:t xml:space="preserve">składowe decyzji administracyjnej określają przepisy ustawy z dnia </w:t>
      </w:r>
      <w:r>
        <w:rPr>
          <w:rFonts w:asciiTheme="minorHAnsi" w:hAnsiTheme="minorHAnsi" w:cstheme="minorHAnsi"/>
        </w:rPr>
        <w:t xml:space="preserve">14 czerwca 1960 r. Kodeks postępowania administracyjnego (Dz. U. </w:t>
      </w:r>
      <w:r>
        <w:rPr>
          <w:rFonts w:asciiTheme="minorHAnsi" w:hAnsiTheme="minorHAnsi" w:cstheme="minorHAnsi"/>
        </w:rPr>
        <w:t xml:space="preserve">z 2020 r. poz. 256, z późn. zm.), zwanej dalej: „k.p.a.”. </w:t>
      </w:r>
    </w:p>
    <w:p w:rsidR="00D31995" w:rsidRPr="00F25F8C" w:rsidRDefault="00A74801" w:rsidP="00F25F8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zatem z dyspozycją art. 107 </w:t>
      </w:r>
      <w:r w:rsidRPr="00E400FC">
        <w:rPr>
          <w:rFonts w:asciiTheme="minorHAnsi" w:hAnsiTheme="minorHAnsi" w:cstheme="minorHAnsi"/>
        </w:rPr>
        <w:t>§  1</w:t>
      </w:r>
      <w:r>
        <w:rPr>
          <w:rFonts w:asciiTheme="minorHAnsi" w:hAnsiTheme="minorHAnsi" w:cstheme="minorHAnsi"/>
        </w:rPr>
        <w:t xml:space="preserve"> k.p.a. decyzja administracyjna zawiera: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„1)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oznaczenie organu administracji publicznej;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datę wydania;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oznaczenie strony lub stron;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4)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powołanie podsta</w:t>
      </w:r>
      <w:r w:rsidRPr="00896CC0">
        <w:rPr>
          <w:rFonts w:asciiTheme="minorHAnsi" w:hAnsiTheme="minorHAnsi" w:cstheme="minorHAnsi"/>
          <w:i/>
        </w:rPr>
        <w:t>wy prawnej;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5)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rozstrzygnięcie;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6)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uzasadnienie faktyczne i prawne;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7)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pouczenie, czy i w jakim trybie służy od niej odwołanie oraz o prawie do zrzeczenia się odwołania i skutkach zrzeczenia się odwołania;</w:t>
      </w:r>
    </w:p>
    <w:p w:rsidR="00896CC0" w:rsidRP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8)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>podpis z podaniem imienia i nazwiska oraz stano</w:t>
      </w:r>
      <w:r w:rsidRPr="00896CC0">
        <w:rPr>
          <w:rFonts w:asciiTheme="minorHAnsi" w:hAnsiTheme="minorHAnsi" w:cstheme="minorHAnsi"/>
          <w:i/>
        </w:rPr>
        <w:t>wiska służbowego pracownika organu upoważnionego do wydania decyzji, a jeżeli decyzja wydana została w formie dokumentu elektronicznego - kwalifikowany podpis elektroniczny;</w:t>
      </w:r>
    </w:p>
    <w:p w:rsidR="00896CC0" w:rsidRDefault="00A74801" w:rsidP="00E400FC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9)</w:t>
      </w:r>
      <w:r>
        <w:rPr>
          <w:rFonts w:asciiTheme="minorHAnsi" w:hAnsiTheme="minorHAnsi" w:cstheme="minorHAnsi"/>
          <w:i/>
        </w:rPr>
        <w:tab/>
      </w:r>
      <w:r w:rsidRPr="00896CC0">
        <w:rPr>
          <w:rFonts w:asciiTheme="minorHAnsi" w:hAnsiTheme="minorHAnsi" w:cstheme="minorHAnsi"/>
          <w:i/>
        </w:rPr>
        <w:t xml:space="preserve">w przypadku decyzji, w stosunku do której może być wniesione powództwo do sądu </w:t>
      </w:r>
      <w:r w:rsidRPr="00896CC0">
        <w:rPr>
          <w:rFonts w:asciiTheme="minorHAnsi" w:hAnsiTheme="minorHAnsi" w:cstheme="minorHAnsi"/>
          <w:i/>
        </w:rPr>
        <w:t xml:space="preserve">powszechnego, sprzeciw od decyzji lub skarga do sądu administracyjnego </w:t>
      </w:r>
      <w:r>
        <w:rPr>
          <w:rFonts w:asciiTheme="minorHAnsi" w:hAnsiTheme="minorHAnsi" w:cstheme="minorHAnsi"/>
          <w:i/>
        </w:rPr>
        <w:t>- pouczenie o </w:t>
      </w:r>
      <w:r w:rsidRPr="00896CC0">
        <w:rPr>
          <w:rFonts w:asciiTheme="minorHAnsi" w:hAnsiTheme="minorHAnsi" w:cstheme="minorHAnsi"/>
          <w:i/>
        </w:rPr>
        <w:t>dopuszczalności wniesienia powództwa, sprzeciwu od decyzji lub skargi oraz wysokości opłaty od powództwa lub wpisu od skargi lub sprzeciwu od decyzji, jeżeli mają one char</w:t>
      </w:r>
      <w:r w:rsidRPr="00896CC0">
        <w:rPr>
          <w:rFonts w:asciiTheme="minorHAnsi" w:hAnsiTheme="minorHAnsi" w:cstheme="minorHAnsi"/>
          <w:i/>
        </w:rPr>
        <w:t>akter stały, albo podstawie do wyliczenia opłaty lub wpisu o charakterze stosunkowym, a także możliwości ubiegania się przez stronę o zwolnienie od kosztów albo przyznanie prawa pomocy.</w:t>
      </w:r>
      <w:r>
        <w:rPr>
          <w:rFonts w:asciiTheme="minorHAnsi" w:hAnsiTheme="minorHAnsi" w:cstheme="minorHAnsi"/>
          <w:i/>
        </w:rPr>
        <w:t>”.</w:t>
      </w:r>
    </w:p>
    <w:p w:rsidR="007F5F99" w:rsidRPr="002A6C54" w:rsidRDefault="00A74801" w:rsidP="00BB613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Zaznaczyć nadto należy, że </w:t>
      </w: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rzepisy szczególne mogą określać inne składniki, które miałaby zawierać decyzja administracyjna (art. 107 § 2 k.p.a.). </w:t>
      </w:r>
      <w:r>
        <w:rPr>
          <w:rFonts w:asciiTheme="minorHAnsi" w:hAnsiTheme="minorHAnsi" w:cstheme="minorHAnsi"/>
        </w:rPr>
        <w:t>Na podstawie art. 107 § 4 k.p.a. możliwe jest odstąpienie</w:t>
      </w:r>
      <w:r w:rsidRPr="002A6C54">
        <w:rPr>
          <w:rFonts w:asciiTheme="minorHAnsi" w:hAnsiTheme="minorHAnsi" w:cstheme="minorHAnsi"/>
        </w:rPr>
        <w:t xml:space="preserve"> od uzasadnienia decyzji, </w:t>
      </w:r>
      <w:r>
        <w:rPr>
          <w:rFonts w:asciiTheme="minorHAnsi" w:hAnsiTheme="minorHAnsi" w:cstheme="minorHAnsi"/>
        </w:rPr>
        <w:t xml:space="preserve">w sytuacji, </w:t>
      </w:r>
      <w:r w:rsidRPr="002A6C54">
        <w:rPr>
          <w:rFonts w:asciiTheme="minorHAnsi" w:hAnsiTheme="minorHAnsi" w:cstheme="minorHAnsi"/>
        </w:rPr>
        <w:t>gdy</w:t>
      </w:r>
      <w:r>
        <w:rPr>
          <w:rFonts w:asciiTheme="minorHAnsi" w:hAnsiTheme="minorHAnsi" w:cstheme="minorHAnsi"/>
        </w:rPr>
        <w:t xml:space="preserve"> decyzja</w:t>
      </w:r>
      <w:r w:rsidRPr="002A6C54">
        <w:rPr>
          <w:rFonts w:asciiTheme="minorHAnsi" w:hAnsiTheme="minorHAnsi" w:cstheme="minorHAnsi"/>
        </w:rPr>
        <w:t xml:space="preserve"> uwzględnia w całości żądanie s</w:t>
      </w:r>
      <w:r w:rsidRPr="002A6C54">
        <w:rPr>
          <w:rFonts w:asciiTheme="minorHAnsi" w:hAnsiTheme="minorHAnsi" w:cstheme="minorHAnsi"/>
        </w:rPr>
        <w:t xml:space="preserve">trony; </w:t>
      </w:r>
      <w:r>
        <w:rPr>
          <w:rFonts w:asciiTheme="minorHAnsi" w:hAnsiTheme="minorHAnsi" w:cstheme="minorHAnsi"/>
        </w:rPr>
        <w:t xml:space="preserve">przy czym powyższe nie dotyczy </w:t>
      </w:r>
      <w:r w:rsidRPr="002A6C54">
        <w:rPr>
          <w:rFonts w:asciiTheme="minorHAnsi" w:hAnsiTheme="minorHAnsi" w:cstheme="minorHAnsi"/>
        </w:rPr>
        <w:t>decyzji rozstrzygających sporne interesy stron oraz decyzji wydanych na skutek odwołania.</w:t>
      </w:r>
      <w:r>
        <w:rPr>
          <w:rFonts w:asciiTheme="minorHAnsi" w:hAnsiTheme="minorHAnsi" w:cstheme="minorHAnsi"/>
        </w:rPr>
        <w:t xml:space="preserve"> Ponadto w świetle art. 107 § 5 k.p.a. o</w:t>
      </w:r>
      <w:r w:rsidRPr="002A6C54">
        <w:rPr>
          <w:rFonts w:asciiTheme="minorHAnsi" w:hAnsiTheme="minorHAnsi" w:cstheme="minorHAnsi"/>
        </w:rPr>
        <w:t xml:space="preserve">rgan </w:t>
      </w:r>
      <w:r>
        <w:rPr>
          <w:rFonts w:asciiTheme="minorHAnsi" w:hAnsiTheme="minorHAnsi" w:cstheme="minorHAnsi"/>
        </w:rPr>
        <w:t xml:space="preserve">wydający decyzję </w:t>
      </w:r>
      <w:r w:rsidRPr="002A6C54">
        <w:rPr>
          <w:rFonts w:asciiTheme="minorHAnsi" w:hAnsiTheme="minorHAnsi" w:cstheme="minorHAnsi"/>
        </w:rPr>
        <w:t xml:space="preserve">może odstąpić od </w:t>
      </w:r>
      <w:r>
        <w:rPr>
          <w:rFonts w:asciiTheme="minorHAnsi" w:hAnsiTheme="minorHAnsi" w:cstheme="minorHAnsi"/>
        </w:rPr>
        <w:t xml:space="preserve">jej </w:t>
      </w:r>
      <w:r w:rsidRPr="002A6C54">
        <w:rPr>
          <w:rFonts w:asciiTheme="minorHAnsi" w:hAnsiTheme="minorHAnsi" w:cstheme="minorHAnsi"/>
        </w:rPr>
        <w:t xml:space="preserve">uzasadnienia </w:t>
      </w:r>
      <w:r>
        <w:rPr>
          <w:rFonts w:asciiTheme="minorHAnsi" w:hAnsiTheme="minorHAnsi" w:cstheme="minorHAnsi"/>
        </w:rPr>
        <w:t>także</w:t>
      </w:r>
      <w:r w:rsidRPr="002A6C54">
        <w:rPr>
          <w:rFonts w:asciiTheme="minorHAnsi" w:hAnsiTheme="minorHAnsi" w:cstheme="minorHAnsi"/>
        </w:rPr>
        <w:t xml:space="preserve"> w przypadkach, w których z </w:t>
      </w:r>
      <w:r w:rsidRPr="002A6C54">
        <w:rPr>
          <w:rFonts w:asciiTheme="minorHAnsi" w:hAnsiTheme="minorHAnsi" w:cstheme="minorHAnsi"/>
        </w:rPr>
        <w:t>dotychczasowych przepisów ustawowych wynikała możliwość zaniechania lub ograniczenia uzasadnienia ze względu na interes bezpieczeństwa Państwa lub porządek publiczny.</w:t>
      </w:r>
    </w:p>
    <w:p w:rsidR="003A3DF9" w:rsidRDefault="00A74801" w:rsidP="00DB62D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50 ust. 6 u.p.s.</w:t>
      </w:r>
      <w:r w:rsidRPr="00DB62D5">
        <w:rPr>
          <w:rFonts w:asciiTheme="minorHAnsi" w:hAnsiTheme="minorHAnsi" w:cstheme="minorHAnsi"/>
        </w:rPr>
        <w:t xml:space="preserve"> Rada </w:t>
      </w:r>
      <w:r>
        <w:rPr>
          <w:rFonts w:asciiTheme="minorHAnsi" w:hAnsiTheme="minorHAnsi" w:cstheme="minorHAnsi"/>
        </w:rPr>
        <w:t>Gminy</w:t>
      </w:r>
      <w:r w:rsidRPr="00DB62D5">
        <w:rPr>
          <w:rFonts w:asciiTheme="minorHAnsi" w:hAnsiTheme="minorHAnsi" w:cstheme="minorHAnsi"/>
        </w:rPr>
        <w:t xml:space="preserve"> uprawniona jest do działania w ramach upowa</w:t>
      </w:r>
      <w:r w:rsidRPr="00DB62D5">
        <w:rPr>
          <w:rFonts w:asciiTheme="minorHAnsi" w:hAnsiTheme="minorHAnsi" w:cstheme="minorHAnsi"/>
        </w:rPr>
        <w:t xml:space="preserve">żnienia ustawowego. Przepis upoważniający wyznacza zakres kompetencji Rady. </w:t>
      </w:r>
    </w:p>
    <w:p w:rsidR="00AB7455" w:rsidRPr="00F6659F" w:rsidRDefault="00A74801" w:rsidP="00F6659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Przepis art. 50 ust. 6 u.p.s. </w:t>
      </w:r>
      <w:r>
        <w:rPr>
          <w:rFonts w:asciiTheme="minorHAnsi" w:hAnsiTheme="minorHAnsi" w:cstheme="minorHAnsi"/>
        </w:rPr>
        <w:t>upoważnia Radę</w:t>
      </w:r>
      <w:r>
        <w:rPr>
          <w:rFonts w:asciiTheme="minorHAnsi" w:hAnsiTheme="minorHAnsi" w:cstheme="minorHAnsi"/>
        </w:rPr>
        <w:t xml:space="preserve"> Gminy do określenia szczegółowych warunków </w:t>
      </w:r>
      <w:r w:rsidRPr="00F6659F">
        <w:rPr>
          <w:rFonts w:asciiTheme="minorHAnsi" w:hAnsiTheme="minorHAnsi" w:cstheme="minorHAnsi"/>
        </w:rPr>
        <w:t>przyznawania i odpłatności za usługi opiekuńcze i specjalistyczne usługi opiekuńcze, z wyłą</w:t>
      </w:r>
      <w:r w:rsidRPr="00F6659F">
        <w:rPr>
          <w:rFonts w:asciiTheme="minorHAnsi" w:hAnsiTheme="minorHAnsi" w:cstheme="minorHAnsi"/>
        </w:rPr>
        <w:t>czeniem specjalistycznych usług opiekuńczych dla osób z zaburzeniam</w:t>
      </w:r>
      <w:r>
        <w:rPr>
          <w:rFonts w:asciiTheme="minorHAnsi" w:hAnsiTheme="minorHAnsi" w:cstheme="minorHAnsi"/>
        </w:rPr>
        <w:t>i psychicznymi, oraz szczegółowych</w:t>
      </w:r>
      <w:r w:rsidRPr="00F6659F">
        <w:rPr>
          <w:rFonts w:asciiTheme="minorHAnsi" w:hAnsiTheme="minorHAnsi" w:cstheme="minorHAnsi"/>
        </w:rPr>
        <w:t xml:space="preserve"> warunki częściowego lub całkowitego zwolnienia od opłat, jak również tryb ich pobierania</w:t>
      </w:r>
      <w:r>
        <w:rPr>
          <w:rFonts w:asciiTheme="minorHAnsi" w:hAnsiTheme="minorHAnsi" w:cstheme="minorHAnsi"/>
        </w:rPr>
        <w:t xml:space="preserve">, nie zaś do określania elementów decyzji administracyjnej. </w:t>
      </w:r>
    </w:p>
    <w:p w:rsidR="00C033A5" w:rsidRPr="00670CA3" w:rsidRDefault="00A74801" w:rsidP="00C033A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t>W oce</w:t>
      </w:r>
      <w:r w:rsidRPr="00670CA3">
        <w:rPr>
          <w:rFonts w:asciiTheme="minorHAnsi" w:hAnsiTheme="minorHAnsi" w:cstheme="minorHAnsi"/>
        </w:rPr>
        <w:t>nie organu nadzoru brak jest podstaw dla organu stanowiącego gminy do regulowania w drodze uchwały kwestii związanych z wydawaniem decyzji administracyjnych, w tym określania elementów, które decyzja ma zawierać.</w:t>
      </w:r>
    </w:p>
    <w:p w:rsidR="00C033A5" w:rsidRPr="00670CA3" w:rsidRDefault="00A74801" w:rsidP="00C033A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t xml:space="preserve">Zauważyć bowiem należy, że zgodnie z </w:t>
      </w:r>
      <w:hyperlink r:id="rId12" w:anchor="/document/17087802?unitId=art(14)&amp;cm=DOCUMENT" w:tgtFrame="_blank" w:history="1">
        <w:r w:rsidRPr="00670CA3">
          <w:rPr>
            <w:rStyle w:val="Hipercze"/>
            <w:rFonts w:asciiTheme="minorHAnsi" w:hAnsiTheme="minorHAnsi" w:cstheme="minorHAnsi"/>
            <w:color w:val="auto"/>
            <w:u w:val="none"/>
          </w:rPr>
          <w:t>art. 14</w:t>
        </w:r>
      </w:hyperlink>
      <w:r w:rsidRPr="00670C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u.p.s. w sprawach nieuregulowanych w </w:t>
      </w:r>
      <w:r w:rsidRPr="00670CA3">
        <w:rPr>
          <w:rFonts w:asciiTheme="minorHAnsi" w:hAnsiTheme="minorHAnsi" w:cstheme="minorHAnsi"/>
        </w:rPr>
        <w:t xml:space="preserve">ustawie stosuje się odpowiednio przepisy </w:t>
      </w:r>
      <w:hyperlink r:id="rId13" w:anchor="/document/16784712?cm=DOCUMENT" w:tgtFrame="_blank" w:history="1">
        <w:r w:rsidRPr="00670CA3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670CA3">
        <w:rPr>
          <w:rFonts w:asciiTheme="minorHAnsi" w:hAnsiTheme="minorHAnsi" w:cstheme="minorHAnsi"/>
        </w:rPr>
        <w:t xml:space="preserve"> Kodeks postępowania administracyjnego, jeżeli ustawa nie stanowi inaczej.</w:t>
      </w:r>
    </w:p>
    <w:p w:rsidR="00566BB8" w:rsidRPr="00DB62D5" w:rsidRDefault="00A74801" w:rsidP="00566BB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62D5">
        <w:rPr>
          <w:rFonts w:asciiTheme="minorHAnsi" w:hAnsiTheme="minorHAnsi" w:cstheme="minorHAnsi"/>
        </w:rPr>
        <w:lastRenderedPageBreak/>
        <w:t>Regulacje w zakresie decyzji administracyjnej uzupełniają z kolei przep</w:t>
      </w:r>
      <w:r>
        <w:rPr>
          <w:rFonts w:asciiTheme="minorHAnsi" w:hAnsiTheme="minorHAnsi" w:cstheme="minorHAnsi"/>
        </w:rPr>
        <w:t>isy procedury administracyjnej, rozdział 7</w:t>
      </w:r>
      <w:r w:rsidRPr="00DB62D5">
        <w:rPr>
          <w:rFonts w:asciiTheme="minorHAnsi" w:hAnsiTheme="minorHAnsi" w:cstheme="minorHAnsi"/>
        </w:rPr>
        <w:t xml:space="preserve"> k.p.a. Należy więc stwierdzić, iż uchwała Rady n</w:t>
      </w:r>
      <w:r w:rsidRPr="00DB62D5">
        <w:rPr>
          <w:rFonts w:asciiTheme="minorHAnsi" w:hAnsiTheme="minorHAnsi" w:cstheme="minorHAnsi"/>
        </w:rPr>
        <w:t>ie może regulować kwestii związanych z wydaniem decyzji administracyjnej, gdy</w:t>
      </w:r>
      <w:r>
        <w:rPr>
          <w:rFonts w:asciiTheme="minorHAnsi" w:hAnsiTheme="minorHAnsi" w:cstheme="minorHAnsi"/>
        </w:rPr>
        <w:t>ż regulacje te wprowadzone są w </w:t>
      </w:r>
      <w:r w:rsidRPr="00DB62D5">
        <w:rPr>
          <w:rFonts w:asciiTheme="minorHAnsi" w:hAnsiTheme="minorHAnsi" w:cstheme="minorHAnsi"/>
        </w:rPr>
        <w:t xml:space="preserve">przepisach </w:t>
      </w:r>
      <w:r>
        <w:rPr>
          <w:rFonts w:asciiTheme="minorHAnsi" w:hAnsiTheme="minorHAnsi" w:cstheme="minorHAnsi"/>
        </w:rPr>
        <w:t>u.p.s.</w:t>
      </w:r>
      <w:r w:rsidRPr="00DB62D5">
        <w:rPr>
          <w:rFonts w:asciiTheme="minorHAnsi" w:hAnsiTheme="minorHAnsi" w:cstheme="minorHAnsi"/>
        </w:rPr>
        <w:t xml:space="preserve"> oraz w przepisach</w:t>
      </w:r>
      <w:r>
        <w:rPr>
          <w:rFonts w:asciiTheme="minorHAnsi" w:hAnsiTheme="minorHAnsi" w:cstheme="minorHAnsi"/>
        </w:rPr>
        <w:t xml:space="preserve"> k.p.a.</w:t>
      </w:r>
    </w:p>
    <w:p w:rsidR="00DB62D5" w:rsidRPr="00DB62D5" w:rsidRDefault="00A74801" w:rsidP="00DB62D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Reasumując, r</w:t>
      </w:r>
      <w:r w:rsidRPr="00DB62D5">
        <w:rPr>
          <w:rFonts w:asciiTheme="minorHAnsi" w:hAnsiTheme="minorHAnsi" w:cstheme="minorHAnsi"/>
        </w:rPr>
        <w:t xml:space="preserve">egulacje § 2 </w:t>
      </w:r>
      <w:r>
        <w:rPr>
          <w:rFonts w:asciiTheme="minorHAnsi" w:hAnsiTheme="minorHAnsi" w:cstheme="minorHAnsi"/>
        </w:rPr>
        <w:t xml:space="preserve">załącznika do </w:t>
      </w:r>
      <w:r w:rsidRPr="00DB62D5">
        <w:rPr>
          <w:rFonts w:asciiTheme="minorHAnsi" w:hAnsiTheme="minorHAnsi" w:cstheme="minorHAnsi"/>
        </w:rPr>
        <w:t xml:space="preserve">uchwały Rady </w:t>
      </w:r>
      <w:r>
        <w:rPr>
          <w:rFonts w:asciiTheme="minorHAnsi" w:hAnsiTheme="minorHAnsi" w:cstheme="minorHAnsi"/>
        </w:rPr>
        <w:t>należy uznać za wykraczające</w:t>
      </w:r>
      <w:r w:rsidRPr="00DB62D5">
        <w:rPr>
          <w:rFonts w:asciiTheme="minorHAnsi" w:hAnsiTheme="minorHAnsi" w:cstheme="minorHAnsi"/>
        </w:rPr>
        <w:t xml:space="preserve"> poza ramy upoważnienia</w:t>
      </w:r>
      <w:r w:rsidRPr="00DB62D5">
        <w:rPr>
          <w:rFonts w:asciiTheme="minorHAnsi" w:hAnsiTheme="minorHAnsi" w:cstheme="minorHAnsi"/>
        </w:rPr>
        <w:t xml:space="preserve"> ustawowego.</w:t>
      </w:r>
    </w:p>
    <w:p w:rsidR="0070705A" w:rsidRDefault="00A74801" w:rsidP="003A28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 4 załącznika do uchwały</w:t>
      </w:r>
      <w:r>
        <w:rPr>
          <w:rFonts w:asciiTheme="minorHAnsi" w:hAnsiTheme="minorHAnsi" w:cstheme="minorHAnsi"/>
        </w:rPr>
        <w:t xml:space="preserve"> przesłanego do organu nadzoru</w:t>
      </w:r>
      <w:r>
        <w:rPr>
          <w:rFonts w:asciiTheme="minorHAnsi" w:hAnsiTheme="minorHAnsi" w:cstheme="minorHAnsi"/>
        </w:rPr>
        <w:t xml:space="preserve"> Rada dokonała błędnej nu</w:t>
      </w:r>
      <w:r>
        <w:rPr>
          <w:rFonts w:asciiTheme="minorHAnsi" w:hAnsiTheme="minorHAnsi" w:cstheme="minorHAnsi"/>
        </w:rPr>
        <w:t>me</w:t>
      </w:r>
      <w:r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acji ustępów (po ust. 1 Rada wskazała ust. 1). </w:t>
      </w:r>
      <w:r w:rsidRPr="00DE437C">
        <w:rPr>
          <w:rFonts w:asciiTheme="minorHAnsi" w:hAnsiTheme="minorHAnsi" w:cstheme="minorHAnsi"/>
        </w:rPr>
        <w:t xml:space="preserve">W tym miejscu organ nadzoru wskazuje </w:t>
      </w:r>
      <w:r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>na obowiązek przestrzegania przez Radę zasad prawidłowej legislacji, prze</w:t>
      </w:r>
      <w:r w:rsidRPr="00DE437C">
        <w:rPr>
          <w:rFonts w:asciiTheme="minorHAnsi" w:hAnsiTheme="minorHAnsi" w:cstheme="minorHAnsi"/>
        </w:rPr>
        <w:t xml:space="preserve">widzianych </w:t>
      </w:r>
      <w:r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>w rozporządzeniu Prezesa Rady Ministrów z dnia 20 czerwca 2002 r. w sprawie „Zasad techniki prawodawczej” (Dz. U. z 2016 r. poz. 283).</w:t>
      </w:r>
    </w:p>
    <w:p w:rsidR="00DC0172" w:rsidRPr="00DE437C" w:rsidRDefault="00A74801" w:rsidP="00DC017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t xml:space="preserve">W tym kontekście należy stwierdzić, że redakcja </w:t>
      </w:r>
      <w:r>
        <w:rPr>
          <w:rFonts w:asciiTheme="minorHAnsi" w:hAnsiTheme="minorHAnsi" w:cstheme="minorHAnsi"/>
        </w:rPr>
        <w:t>kwestionowanej</w:t>
      </w:r>
      <w:r w:rsidRPr="00DE437C">
        <w:rPr>
          <w:rFonts w:asciiTheme="minorHAnsi" w:hAnsiTheme="minorHAnsi" w:cstheme="minorHAnsi"/>
        </w:rPr>
        <w:t xml:space="preserve"> uchwał</w:t>
      </w:r>
      <w:r>
        <w:rPr>
          <w:rFonts w:asciiTheme="minorHAnsi" w:hAnsiTheme="minorHAnsi" w:cstheme="minorHAnsi"/>
        </w:rPr>
        <w:t>y</w:t>
      </w:r>
      <w:r w:rsidRPr="00DE437C">
        <w:rPr>
          <w:rFonts w:asciiTheme="minorHAnsi" w:hAnsiTheme="minorHAnsi" w:cstheme="minorHAnsi"/>
        </w:rPr>
        <w:t xml:space="preserve"> Rady Gminy</w:t>
      </w:r>
      <w:r w:rsidRPr="00DE437C"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>nie odpowiada standardom dobrego prawodawstwa. Podstawową jednostką redakcyjną aktu normatywnego (z wyjątkiem ustawy) jest paragraf. Paragrafy można dzielić na ustępy, ustępy na punkty, punkty na litery a litery na tiret (-myślniki). Każdą oddzielną myśl u</w:t>
      </w:r>
      <w:r w:rsidRPr="00DE437C">
        <w:rPr>
          <w:rFonts w:asciiTheme="minorHAnsi" w:hAnsiTheme="minorHAnsi" w:cstheme="minorHAnsi"/>
        </w:rPr>
        <w:t>jmuje się w oddzielny paragraf, przy czym w miarę możliwości paragraf powinien być jednozdaniowy. Jeżeli samodzielną myśl wyraża zespół zdań - dokonuje się podziału paragrafu na ustępy. Na ustępy dzieli się paragraf także wówczas, gdy między zdaniami wyraż</w:t>
      </w:r>
      <w:r w:rsidRPr="00DE437C">
        <w:rPr>
          <w:rFonts w:asciiTheme="minorHAnsi" w:hAnsiTheme="minorHAnsi" w:cstheme="minorHAnsi"/>
        </w:rPr>
        <w:t>ającymi samodzielne myśli występują powiązania treściowe ale treść żadnego z nich nie jest na tyle istotna, aby wydzielić ją w odrębny paragraf. Jeżeli paragraf zawiera wyliczenia – wyróżnia się jego dwie części wprowadzenie do wyliczenia oraz punkty. Wyli</w:t>
      </w:r>
      <w:r w:rsidRPr="00DE437C">
        <w:rPr>
          <w:rFonts w:asciiTheme="minorHAnsi" w:hAnsiTheme="minorHAnsi" w:cstheme="minorHAnsi"/>
        </w:rPr>
        <w:t>czenie może kończyć się częścią wspólną odnoszą</w:t>
      </w:r>
      <w:r>
        <w:rPr>
          <w:rFonts w:asciiTheme="minorHAnsi" w:hAnsiTheme="minorHAnsi" w:cstheme="minorHAnsi"/>
        </w:rPr>
        <w:t>cą się do wszystkich punktów. W </w:t>
      </w:r>
      <w:r w:rsidRPr="00DE437C">
        <w:rPr>
          <w:rFonts w:asciiTheme="minorHAnsi" w:hAnsiTheme="minorHAnsi" w:cstheme="minorHAnsi"/>
        </w:rPr>
        <w:t>obrębie punktów można dokonywać dalszego wyliczenia wprowadzając litery a w obrębie liter dokonywać dalszego wyliczenia wprowadzając tiret. Punkty i litery są fragmentem zdania,</w:t>
      </w:r>
      <w:r w:rsidRPr="00DE437C">
        <w:rPr>
          <w:rFonts w:asciiTheme="minorHAnsi" w:hAnsiTheme="minorHAnsi" w:cstheme="minorHAnsi"/>
        </w:rPr>
        <w:t xml:space="preserve"> a nie samodzielnym zdaniem. Paragraf oznacza się skrótem § i cyfrą arabską z kropką, z zachowaniem ciągłości numeracji paragrafów w obrębie całego aktu, a przy powoływaniu oznacza się skrótem </w:t>
      </w:r>
      <w:r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 xml:space="preserve">§ i cyfrą arabską bez kropki. Ustęp oznacza się cyfrą arabską </w:t>
      </w:r>
      <w:r w:rsidRPr="00DE437C">
        <w:rPr>
          <w:rFonts w:asciiTheme="minorHAnsi" w:hAnsiTheme="minorHAnsi" w:cstheme="minorHAnsi"/>
        </w:rPr>
        <w:t>z kropką (bez nawiasu) z zachowaniem ciągłości numeracji w obrębie danego paragrafu (a przy powoływaniu oznacza się skrótem „ust.” bez względu na liczbę i przypadek) oraz cyfrą arabską bez kropki. Punkt oznacza się cyfrą arabsk</w:t>
      </w:r>
      <w:r>
        <w:rPr>
          <w:rFonts w:asciiTheme="minorHAnsi" w:hAnsiTheme="minorHAnsi" w:cstheme="minorHAnsi"/>
        </w:rPr>
        <w:t>ą z </w:t>
      </w:r>
      <w:r w:rsidRPr="00DE437C">
        <w:rPr>
          <w:rFonts w:asciiTheme="minorHAnsi" w:hAnsiTheme="minorHAnsi" w:cstheme="minorHAnsi"/>
        </w:rPr>
        <w:t>nawiasem z prawej strony,</w:t>
      </w:r>
      <w:r w:rsidRPr="00DE437C">
        <w:rPr>
          <w:rFonts w:asciiTheme="minorHAnsi" w:hAnsiTheme="minorHAnsi" w:cstheme="minorHAnsi"/>
        </w:rPr>
        <w:t xml:space="preserve"> z zachowaniem ciągłości numeracji w obrębie danego paragrafu lub ustępu (a przy powoływaniu skrótem pkt, bez kropki, bez względu na liczbę i przypadek oraz cyfrą arabską bez nawiasu). Każdy punkt kończy się średnikiem, a ostatni kropką chyba, że wyliczeni</w:t>
      </w:r>
      <w:r w:rsidRPr="00DE437C">
        <w:rPr>
          <w:rFonts w:asciiTheme="minorHAnsi" w:hAnsiTheme="minorHAnsi" w:cstheme="minorHAnsi"/>
        </w:rPr>
        <w:t>e kończy się częścią wspólną odnoszącą się do wszystkich punktów; w takim przypadku kropkę stawia się po części wspólnej.</w:t>
      </w:r>
    </w:p>
    <w:p w:rsidR="00DC0172" w:rsidRPr="00DE437C" w:rsidRDefault="00A74801" w:rsidP="00DC0172">
      <w:pPr>
        <w:spacing w:line="360" w:lineRule="auto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lastRenderedPageBreak/>
        <w:t>Wyliczenie w obrębie punktów (tzw. litery) oznacza się małymi literami alfabetu łacińskiego (ale bez ą, ć, ę, ł, ń, ó, ś, ż, ź) z nawi</w:t>
      </w:r>
      <w:r w:rsidRPr="00DE437C">
        <w:rPr>
          <w:rFonts w:asciiTheme="minorHAnsi" w:hAnsiTheme="minorHAnsi" w:cstheme="minorHAnsi"/>
        </w:rPr>
        <w:t>asem z prawej strony z zachowaniem ciągłości alfabetycznej w obrębie punktu (a przy powoływaniu skrótem „lit.” bez względu na liczbę i przypadek oraz literą alfabetu łacińskiego bez nawiasu). Każdą literę kończy się przecinkiem a ostatnią średnikiem albo k</w:t>
      </w:r>
      <w:r w:rsidRPr="00DE437C">
        <w:rPr>
          <w:rFonts w:asciiTheme="minorHAnsi" w:hAnsiTheme="minorHAnsi" w:cstheme="minorHAnsi"/>
        </w:rPr>
        <w:t>ropką, chyba że wyliczenie kończy się częścią wspólną odnoszącą się do wszystkich liter. W takim przypadku średnik lub kropkę stawia się po części wspólnej (w przypadku gdy zabraknie liter stosuje się oznaczenie najpierw dwuliterowe a następnie wielolitero</w:t>
      </w:r>
      <w:r w:rsidRPr="00DE437C">
        <w:rPr>
          <w:rFonts w:asciiTheme="minorHAnsi" w:hAnsiTheme="minorHAnsi" w:cstheme="minorHAnsi"/>
        </w:rPr>
        <w:t>we:  za),  zb) ....... zz); zza, zzb .... Każde tiret kończy się przecinkiem, a ostatnie przecinkiem, średnikiem lub kropką, chyba że wyliczenie kończy się częścią wspólną odnoszącą się do wszystkich liter. Przy powoływaniu tiret oznacza się wyrazem „tiret</w:t>
      </w:r>
      <w:r w:rsidRPr="00DE437C">
        <w:rPr>
          <w:rFonts w:asciiTheme="minorHAnsi" w:hAnsiTheme="minorHAnsi" w:cstheme="minorHAnsi"/>
        </w:rPr>
        <w:t>” i wyrażonym słownie numerem porządkowym tego tiret. Każdą jednostkę redakcyjną zapisuje się od nowego wiersza i poprzedza się jej oznaczeniem umieszczonym w tym samym wierszu. Paragraf i ustęp rozpoczyna się od akapitu.</w:t>
      </w:r>
    </w:p>
    <w:p w:rsidR="00334BD7" w:rsidRDefault="00A74801" w:rsidP="00075A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w</w:t>
      </w:r>
      <w:r w:rsidRPr="00075A9B">
        <w:rPr>
          <w:rFonts w:asciiTheme="minorHAnsi" w:hAnsiTheme="minorHAnsi" w:cstheme="minorHAnsi"/>
        </w:rPr>
        <w:t>adliwie skonstruowane nor</w:t>
      </w:r>
      <w:r w:rsidRPr="00075A9B">
        <w:rPr>
          <w:rFonts w:asciiTheme="minorHAnsi" w:hAnsiTheme="minorHAnsi" w:cstheme="minorHAnsi"/>
        </w:rPr>
        <w:t>my prawne we wskazanym zakresie budzą wątpl</w:t>
      </w:r>
      <w:r>
        <w:rPr>
          <w:rFonts w:asciiTheme="minorHAnsi" w:hAnsiTheme="minorHAnsi" w:cstheme="minorHAnsi"/>
        </w:rPr>
        <w:t>iwości organu nadzoru o tyle, że</w:t>
      </w:r>
      <w:r w:rsidRPr="00075A9B">
        <w:rPr>
          <w:rFonts w:asciiTheme="minorHAnsi" w:hAnsiTheme="minorHAnsi" w:cstheme="minorHAnsi"/>
        </w:rPr>
        <w:t xml:space="preserve"> w pozostałych jednostkach redakcyjnych przedmiotowej uchwały dokonano prawidłowej numeracji.</w:t>
      </w:r>
      <w:r>
        <w:rPr>
          <w:rFonts w:asciiTheme="minorHAnsi" w:hAnsiTheme="minorHAnsi" w:cstheme="minorHAnsi"/>
        </w:rPr>
        <w:t xml:space="preserve"> </w:t>
      </w:r>
    </w:p>
    <w:p w:rsidR="00075A9B" w:rsidRPr="00075A9B" w:rsidRDefault="00A74801" w:rsidP="00075A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Natomiast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§ 4 </w:t>
      </w:r>
      <w:r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załącznika do </w:t>
      </w:r>
      <w:r>
        <w:rPr>
          <w:rFonts w:asciiTheme="minorHAnsi" w:hAnsiTheme="minorHAnsi" w:cstheme="minorHAnsi"/>
        </w:rPr>
        <w:t>uchwały zamieszczonego na stronie</w:t>
      </w:r>
      <w:r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iuletynu</w:t>
      </w:r>
      <w:r>
        <w:rPr>
          <w:rFonts w:asciiTheme="minorHAnsi" w:hAnsiTheme="minorHAnsi" w:cstheme="minorHAnsi"/>
        </w:rPr>
        <w:t xml:space="preserve"> Infor</w:t>
      </w:r>
      <w:r>
        <w:rPr>
          <w:rFonts w:asciiTheme="minorHAnsi" w:hAnsiTheme="minorHAnsi" w:cstheme="minorHAnsi"/>
        </w:rPr>
        <w:t xml:space="preserve">macji Publicznej </w:t>
      </w:r>
      <w:r>
        <w:rPr>
          <w:rFonts w:asciiTheme="minorHAnsi" w:hAnsiTheme="minorHAnsi" w:cstheme="minorHAnsi"/>
        </w:rPr>
        <w:t>Gminy P</w:t>
      </w:r>
      <w:r>
        <w:rPr>
          <w:rFonts w:asciiTheme="minorHAnsi" w:hAnsiTheme="minorHAnsi" w:cstheme="minorHAnsi"/>
        </w:rPr>
        <w:t xml:space="preserve">okrzywnica </w:t>
      </w:r>
      <w:r>
        <w:rPr>
          <w:rFonts w:asciiTheme="minorHAnsi" w:hAnsiTheme="minorHAnsi" w:cstheme="minorHAnsi"/>
        </w:rPr>
        <w:t xml:space="preserve">oraz § 4 załącznika do uchwały opublikowanej </w:t>
      </w:r>
      <w:r>
        <w:rPr>
          <w:rFonts w:asciiTheme="minorHAnsi" w:hAnsiTheme="minorHAnsi" w:cstheme="minorHAnsi"/>
        </w:rPr>
        <w:t>w dniu 19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listopada 2020 r. </w:t>
      </w:r>
      <w:r>
        <w:rPr>
          <w:rFonts w:asciiTheme="minorHAnsi" w:hAnsiTheme="minorHAnsi" w:cstheme="minorHAnsi"/>
        </w:rPr>
        <w:t>w Dzienniku Urzędowym W</w:t>
      </w:r>
      <w:r>
        <w:rPr>
          <w:rFonts w:asciiTheme="minorHAnsi" w:hAnsiTheme="minorHAnsi" w:cstheme="minorHAnsi"/>
        </w:rPr>
        <w:t>ojewództwa M</w:t>
      </w:r>
      <w:r>
        <w:rPr>
          <w:rFonts w:asciiTheme="minorHAnsi" w:hAnsiTheme="minorHAnsi" w:cstheme="minorHAnsi"/>
        </w:rPr>
        <w:t xml:space="preserve">azowieckiego (Dz. Urz. </w:t>
      </w:r>
      <w:r>
        <w:rPr>
          <w:rFonts w:asciiTheme="minorHAnsi" w:hAnsiTheme="minorHAnsi" w:cstheme="minorHAnsi"/>
        </w:rPr>
        <w:t>Woj.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Maz. </w:t>
      </w:r>
      <w:r>
        <w:rPr>
          <w:rFonts w:asciiTheme="minorHAnsi" w:hAnsiTheme="minorHAnsi" w:cstheme="minorHAnsi"/>
        </w:rPr>
        <w:t>z </w:t>
      </w:r>
      <w:r>
        <w:rPr>
          <w:rFonts w:asciiTheme="minorHAnsi" w:hAnsiTheme="minorHAnsi" w:cstheme="minorHAnsi"/>
        </w:rPr>
        <w:t xml:space="preserve">2020 r. poz. </w:t>
      </w:r>
      <w:r>
        <w:rPr>
          <w:rFonts w:asciiTheme="minorHAnsi" w:hAnsiTheme="minorHAnsi" w:cstheme="minorHAnsi"/>
        </w:rPr>
        <w:t>11380</w:t>
      </w:r>
      <w:r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zawiera </w:t>
      </w:r>
      <w:r>
        <w:rPr>
          <w:rFonts w:asciiTheme="minorHAnsi" w:hAnsiTheme="minorHAnsi" w:cstheme="minorHAnsi"/>
        </w:rPr>
        <w:t xml:space="preserve">numerację zgodną z </w:t>
      </w:r>
      <w:r>
        <w:rPr>
          <w:rFonts w:asciiTheme="minorHAnsi" w:hAnsiTheme="minorHAnsi" w:cstheme="minorHAnsi"/>
        </w:rPr>
        <w:t>zasadami</w:t>
      </w:r>
      <w:r>
        <w:rPr>
          <w:rFonts w:asciiTheme="minorHAnsi" w:hAnsiTheme="minorHAnsi" w:cstheme="minorHAnsi"/>
        </w:rPr>
        <w:t xml:space="preserve"> prawidłowej legislacji. </w:t>
      </w:r>
    </w:p>
    <w:p w:rsidR="00045546" w:rsidRPr="00334BD7" w:rsidRDefault="00A74801" w:rsidP="00BC720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Wskazać w tym miejscu należy, że z</w:t>
      </w:r>
      <w:r w:rsidRPr="00334BD7">
        <w:rPr>
          <w:rFonts w:asciiTheme="minorHAnsi" w:hAnsiTheme="minorHAnsi" w:cstheme="minorHAnsi"/>
        </w:rPr>
        <w:t>asady ogłaszania aktów prawa miejscowego określa u</w:t>
      </w:r>
      <w:r w:rsidRPr="00334BD7">
        <w:rPr>
          <w:rFonts w:asciiTheme="minorHAnsi" w:hAnsiTheme="minorHAnsi" w:cstheme="minorHAnsi"/>
        </w:rPr>
        <w:t>stawa z dnia 20 lipca 2000 r. o </w:t>
      </w:r>
      <w:r w:rsidRPr="00334BD7">
        <w:rPr>
          <w:rFonts w:asciiTheme="minorHAnsi" w:hAnsiTheme="minorHAnsi" w:cstheme="minorHAnsi"/>
        </w:rPr>
        <w:t>ogłaszaniu aktów normatywnych i niektórych inny</w:t>
      </w:r>
      <w:r>
        <w:rPr>
          <w:rFonts w:asciiTheme="minorHAnsi" w:hAnsiTheme="minorHAnsi" w:cstheme="minorHAnsi"/>
        </w:rPr>
        <w:t>ch aktów prawnych (Dz. U. z 2019 r. poz. 1461</w:t>
      </w:r>
      <w:r w:rsidRPr="00334BD7">
        <w:rPr>
          <w:rFonts w:asciiTheme="minorHAnsi" w:hAnsiTheme="minorHAnsi" w:cstheme="minorHAnsi"/>
        </w:rPr>
        <w:t>). W myśl art. 13 pkt 2 tej ustawy w wojewódzkim dzienniku urzędowym ogłasza się akty prawa miejscowego stanowione przez sejmik województwa, organ powiatu oraz organ gminy, w tym statuty województwa, powiatu i gminy. Akt prawa miejscowego - a takim jest be</w:t>
      </w:r>
      <w:r w:rsidRPr="00334BD7">
        <w:rPr>
          <w:rFonts w:asciiTheme="minorHAnsi" w:hAnsiTheme="minorHAnsi" w:cstheme="minorHAnsi"/>
        </w:rPr>
        <w:t xml:space="preserve">z wątpienia </w:t>
      </w:r>
      <w:r>
        <w:rPr>
          <w:rFonts w:asciiTheme="minorHAnsi" w:hAnsiTheme="minorHAnsi" w:cstheme="minorHAnsi"/>
        </w:rPr>
        <w:t xml:space="preserve">przedmiotowa uchwała </w:t>
      </w:r>
      <w:r w:rsidRPr="00334BD7">
        <w:rPr>
          <w:rFonts w:asciiTheme="minorHAnsi" w:hAnsiTheme="minorHAnsi" w:cstheme="minorHAnsi"/>
        </w:rPr>
        <w:t xml:space="preserve">- przekazywany jest celem jego promulgacji właściwemu wojewodzie, który w myśl art. 23 </w:t>
      </w:r>
      <w:r>
        <w:rPr>
          <w:rFonts w:asciiTheme="minorHAnsi" w:hAnsiTheme="minorHAnsi" w:cstheme="minorHAnsi"/>
        </w:rPr>
        <w:t>tejże</w:t>
      </w:r>
      <w:r w:rsidRPr="00334BD7">
        <w:rPr>
          <w:rFonts w:asciiTheme="minorHAnsi" w:hAnsiTheme="minorHAnsi" w:cstheme="minorHAnsi"/>
        </w:rPr>
        <w:t xml:space="preserve"> ustawy wydaje wojewódzki dziennik urzędowy, przy czym bezspornym pozostaje fakt, że treść przekazanego do ogłoszenia aktu musi być</w:t>
      </w:r>
      <w:r w:rsidRPr="00334BD7">
        <w:rPr>
          <w:rFonts w:asciiTheme="minorHAnsi" w:hAnsiTheme="minorHAnsi" w:cstheme="minorHAnsi"/>
        </w:rPr>
        <w:t xml:space="preserve"> identyczna z treścią aktu uchwalonego przez organ gminy.</w:t>
      </w:r>
    </w:p>
    <w:p w:rsidR="00DE437C" w:rsidRPr="00DE437C" w:rsidRDefault="00A74801" w:rsidP="00075A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t xml:space="preserve">Rada Gminy przy opracowywaniu aktów prawa miejscowego powinna przestrzegać podstawowych zasad działalności organów administracji publicznej w tym zakresie tj.: akt prawny </w:t>
      </w:r>
      <w:r>
        <w:rPr>
          <w:rFonts w:asciiTheme="minorHAnsi" w:hAnsiTheme="minorHAnsi" w:cstheme="minorHAnsi"/>
        </w:rPr>
        <w:t xml:space="preserve">nie tylko </w:t>
      </w:r>
      <w:r w:rsidRPr="00DE437C">
        <w:rPr>
          <w:rFonts w:asciiTheme="minorHAnsi" w:hAnsiTheme="minorHAnsi" w:cstheme="minorHAnsi"/>
        </w:rPr>
        <w:t>nie może zawierać</w:t>
      </w:r>
      <w:r w:rsidRPr="00DE437C">
        <w:rPr>
          <w:rFonts w:asciiTheme="minorHAnsi" w:hAnsiTheme="minorHAnsi" w:cstheme="minorHAnsi"/>
        </w:rPr>
        <w:t xml:space="preserve"> postanowień wykraczających poza granice upoważnienia ustawowego, </w:t>
      </w:r>
      <w:r>
        <w:rPr>
          <w:rFonts w:asciiTheme="minorHAnsi" w:hAnsiTheme="minorHAnsi" w:cstheme="minorHAnsi"/>
        </w:rPr>
        <w:t xml:space="preserve">lecz </w:t>
      </w:r>
      <w:r w:rsidRPr="00DE437C">
        <w:rPr>
          <w:rFonts w:asciiTheme="minorHAnsi" w:hAnsiTheme="minorHAnsi" w:cstheme="minorHAnsi"/>
        </w:rPr>
        <w:t xml:space="preserve">także nie może wkraczać w sferę spraw zastrzeżonych do kompetencji innych organów, układ aktu powinien być przejrzysty, przy czym dla oznaczenia jednostkowych pojęć należy używać </w:t>
      </w:r>
      <w:r w:rsidRPr="00DE437C">
        <w:rPr>
          <w:rFonts w:asciiTheme="minorHAnsi" w:hAnsiTheme="minorHAnsi" w:cstheme="minorHAnsi"/>
        </w:rPr>
        <w:lastRenderedPageBreak/>
        <w:t>określ</w:t>
      </w:r>
      <w:r w:rsidRPr="00DE437C">
        <w:rPr>
          <w:rFonts w:asciiTheme="minorHAnsi" w:hAnsiTheme="minorHAnsi" w:cstheme="minorHAnsi"/>
        </w:rPr>
        <w:t>eń stosowanych w obowiązującym ustawodawstwie, zaś redakcja aktu prawnego powinna odpowiadać zasadom legislacji.</w:t>
      </w:r>
    </w:p>
    <w:p w:rsidR="00DF0EA4" w:rsidRDefault="00A74801" w:rsidP="00DF0EA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istotnie naruszające prawo uznać należy ustalenie Rady zawarte w § 5 ust. 2 załącznika do uchwały, w którym Rada wskazała, że w decyzji admi</w:t>
      </w:r>
      <w:r>
        <w:rPr>
          <w:rFonts w:asciiTheme="minorHAnsi" w:hAnsiTheme="minorHAnsi" w:cstheme="minorHAnsi"/>
        </w:rPr>
        <w:t xml:space="preserve">nistracyjnej określa się warunki odpłatności za świadczenie w formie usług opiekuńczych, w tym specjalistycznych usług opiekuńczych, z wyłączeniem specjalistycznych usług opiekuńczych dla osób z zaburzeniami psychicznymi. </w:t>
      </w:r>
    </w:p>
    <w:p w:rsidR="00DF0EA4" w:rsidRPr="00EE003D" w:rsidRDefault="00A74801" w:rsidP="00DF0EA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obec przywołanego wyżej ustaleni</w:t>
      </w:r>
      <w:r>
        <w:rPr>
          <w:rFonts w:asciiTheme="minorHAnsi" w:hAnsiTheme="minorHAnsi" w:cstheme="minorHAnsi"/>
        </w:rPr>
        <w:t xml:space="preserve">a Rady Gminy organ nadzoru wskazuje, że </w:t>
      </w:r>
      <w:r w:rsidRPr="00EE003D">
        <w:rPr>
          <w:rFonts w:asciiTheme="minorHAnsi" w:hAnsiTheme="minorHAnsi" w:cstheme="minorHAnsi"/>
        </w:rPr>
        <w:t xml:space="preserve">z delegacji ustawowej nie wynika upoważnienie </w:t>
      </w:r>
      <w:r>
        <w:rPr>
          <w:rFonts w:asciiTheme="minorHAnsi" w:hAnsiTheme="minorHAnsi" w:cstheme="minorHAnsi"/>
        </w:rPr>
        <w:t xml:space="preserve">dla </w:t>
      </w:r>
      <w:r w:rsidRPr="00EE003D">
        <w:rPr>
          <w:rFonts w:asciiTheme="minorHAnsi" w:hAnsiTheme="minorHAnsi" w:cstheme="minorHAnsi"/>
        </w:rPr>
        <w:t>Rady Gminy do ustalenia ele</w:t>
      </w:r>
      <w:r>
        <w:rPr>
          <w:rFonts w:asciiTheme="minorHAnsi" w:hAnsiTheme="minorHAnsi" w:cstheme="minorHAnsi"/>
        </w:rPr>
        <w:t xml:space="preserve">mentów decyzji administracyjnej w drodze uchwały. Nie </w:t>
      </w:r>
      <w:r w:rsidRPr="00EE003D">
        <w:rPr>
          <w:rFonts w:asciiTheme="minorHAnsi" w:hAnsiTheme="minorHAnsi" w:cstheme="minorHAnsi"/>
        </w:rPr>
        <w:t xml:space="preserve">stanowią one </w:t>
      </w:r>
      <w:r>
        <w:rPr>
          <w:rFonts w:asciiTheme="minorHAnsi" w:hAnsiTheme="minorHAnsi" w:cstheme="minorHAnsi"/>
        </w:rPr>
        <w:t xml:space="preserve">bowiem </w:t>
      </w:r>
      <w:r w:rsidRPr="00EE003D">
        <w:rPr>
          <w:rFonts w:asciiTheme="minorHAnsi" w:hAnsiTheme="minorHAnsi" w:cstheme="minorHAnsi"/>
        </w:rPr>
        <w:t>warunków, o jaki</w:t>
      </w:r>
      <w:r>
        <w:rPr>
          <w:rFonts w:asciiTheme="minorHAnsi" w:hAnsiTheme="minorHAnsi" w:cstheme="minorHAnsi"/>
        </w:rPr>
        <w:t xml:space="preserve">ch mowa w art. 50 ust. 6 u.p.s. Kwestia </w:t>
      </w:r>
      <w:r>
        <w:rPr>
          <w:rFonts w:asciiTheme="minorHAnsi" w:hAnsiTheme="minorHAnsi" w:cstheme="minorHAnsi"/>
        </w:rPr>
        <w:t>określenia elementów składowych decyzji administracyjnej pozostaje w gestii ustawodawcy.</w:t>
      </w:r>
    </w:p>
    <w:p w:rsidR="00A11105" w:rsidRDefault="00A74801" w:rsidP="00A11105">
      <w:pPr>
        <w:spacing w:line="324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Dochodząc do konkluzji, wobec podniesionych wyżej zarzutów uznać należy, </w:t>
      </w:r>
      <w:r>
        <w:rPr>
          <w:rFonts w:ascii="Calibri" w:hAnsi="Calibri" w:cs="Calibri"/>
        </w:rPr>
        <w:t>że zgodnie z </w:t>
      </w:r>
      <w:r w:rsidRPr="00F82005">
        <w:rPr>
          <w:rFonts w:ascii="Calibri" w:hAnsi="Calibri" w:cs="Calibri"/>
        </w:rPr>
        <w:t>art. 94 Konstytucji RP organy samorządu terytorialnego wydają akty prawa miejscow</w:t>
      </w:r>
      <w:r w:rsidRPr="00F82005">
        <w:rPr>
          <w:rFonts w:ascii="Calibri" w:hAnsi="Calibri" w:cs="Calibri"/>
        </w:rPr>
        <w:t>ego obowiązujące na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obszarze działania tych organów, na podstawie i w g</w:t>
      </w:r>
      <w:r>
        <w:rPr>
          <w:rFonts w:ascii="Calibri" w:hAnsi="Calibri" w:cs="Calibri"/>
        </w:rPr>
        <w:t>ranicach upoważnień zawartych w </w:t>
      </w:r>
      <w:r w:rsidRPr="00F82005">
        <w:rPr>
          <w:rFonts w:ascii="Calibri" w:hAnsi="Calibri" w:cs="Calibri"/>
        </w:rPr>
        <w:t xml:space="preserve">ustawie. </w:t>
      </w:r>
      <w:r>
        <w:rPr>
          <w:rFonts w:ascii="Calibri" w:hAnsi="Calibri" w:cs="Calibri"/>
        </w:rPr>
        <w:t>Innymi słowy</w:t>
      </w:r>
      <w:r w:rsidRPr="00F82005">
        <w:rPr>
          <w:rFonts w:ascii="Calibri" w:hAnsi="Calibri" w:cs="Calibri"/>
        </w:rPr>
        <w:t xml:space="preserve"> do wydania aktu prawa miej</w:t>
      </w:r>
      <w:r>
        <w:rPr>
          <w:rFonts w:ascii="Calibri" w:hAnsi="Calibri" w:cs="Calibri"/>
        </w:rPr>
        <w:t>scowego wymagane jest zawarte w </w:t>
      </w:r>
      <w:r w:rsidRPr="00F82005">
        <w:rPr>
          <w:rFonts w:ascii="Calibri" w:hAnsi="Calibri" w:cs="Calibri"/>
        </w:rPr>
        <w:t>ustawie odrębne upoważnienie ko</w:t>
      </w:r>
      <w:r>
        <w:rPr>
          <w:rFonts w:ascii="Calibri" w:hAnsi="Calibri" w:cs="Calibri"/>
        </w:rPr>
        <w:t>nkretnego organu do </w:t>
      </w:r>
      <w:r w:rsidRPr="00F82005">
        <w:rPr>
          <w:rFonts w:ascii="Calibri" w:hAnsi="Calibri" w:cs="Calibri"/>
        </w:rPr>
        <w:t>uregulowania w określo</w:t>
      </w:r>
      <w:r w:rsidRPr="00F82005">
        <w:rPr>
          <w:rFonts w:ascii="Calibri" w:hAnsi="Calibri" w:cs="Calibri"/>
        </w:rPr>
        <w:t>nej formie danego zakresu spraw. Jednocześnie konstytucyjna zasada</w:t>
      </w:r>
      <w:r>
        <w:rPr>
          <w:rFonts w:ascii="Calibri" w:hAnsi="Calibri" w:cs="Calibri"/>
        </w:rPr>
        <w:t xml:space="preserve"> praworządności wyrażona w art. </w:t>
      </w:r>
      <w:r w:rsidRPr="00F82005">
        <w:rPr>
          <w:rFonts w:ascii="Calibri" w:hAnsi="Calibri" w:cs="Calibri"/>
        </w:rPr>
        <w:t>7 Konstytucji RP wymaga, żeby materia regulowana wydanym aktem normatywnym wynikała z</w:t>
      </w:r>
      <w:r>
        <w:rPr>
          <w:rFonts w:ascii="Calibri" w:hAnsi="Calibri" w:cs="Calibri"/>
        </w:rPr>
        <w:t xml:space="preserve">  </w:t>
      </w:r>
      <w:r w:rsidRPr="00F82005">
        <w:rPr>
          <w:rFonts w:ascii="Calibri" w:hAnsi="Calibri" w:cs="Calibri"/>
        </w:rPr>
        <w:t>poważnie</w:t>
      </w:r>
      <w:r>
        <w:rPr>
          <w:rFonts w:ascii="Calibri" w:hAnsi="Calibri" w:cs="Calibri"/>
        </w:rPr>
        <w:t>nia ustawowego i mieściła się w </w:t>
      </w:r>
      <w:r w:rsidRPr="00F82005">
        <w:rPr>
          <w:rFonts w:ascii="Calibri" w:hAnsi="Calibri" w:cs="Calibri"/>
        </w:rPr>
        <w:t>granicach prawa. Wynika to równ</w:t>
      </w:r>
      <w:r w:rsidRPr="00F82005">
        <w:rPr>
          <w:rFonts w:ascii="Calibri" w:hAnsi="Calibri" w:cs="Calibri"/>
        </w:rPr>
        <w:t>ież wprost z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przepisów ustawy o samorządzie gminnym,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>a zwłaszcza z art. 40 tej ustawy, zgodnie z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>którym gminie przysługuje prawo stanowienia aktów prawa miejscowego obow</w:t>
      </w:r>
      <w:r>
        <w:rPr>
          <w:rFonts w:ascii="Calibri" w:hAnsi="Calibri" w:cs="Calibri"/>
        </w:rPr>
        <w:t>iązujących na obszarze gminy na </w:t>
      </w:r>
      <w:r w:rsidRPr="00F82005">
        <w:rPr>
          <w:rFonts w:ascii="Calibri" w:hAnsi="Calibri" w:cs="Calibri"/>
        </w:rPr>
        <w:t xml:space="preserve">podstawie upoważnień ustawowych. </w:t>
      </w:r>
      <w:r>
        <w:rPr>
          <w:rFonts w:ascii="Calibri" w:hAnsi="Calibri" w:cs="Calibri"/>
        </w:rPr>
        <w:t>W</w:t>
      </w:r>
      <w:r w:rsidRPr="00F82005">
        <w:rPr>
          <w:rFonts w:ascii="Calibri" w:hAnsi="Calibri" w:cs="Calibri"/>
        </w:rPr>
        <w:t xml:space="preserve">szelkie </w:t>
      </w:r>
      <w:r>
        <w:rPr>
          <w:rFonts w:ascii="Calibri" w:hAnsi="Calibri" w:cs="Calibri"/>
        </w:rPr>
        <w:t xml:space="preserve">zatem </w:t>
      </w:r>
      <w:r w:rsidRPr="00F82005">
        <w:rPr>
          <w:rFonts w:ascii="Calibri" w:hAnsi="Calibri" w:cs="Calibri"/>
        </w:rPr>
        <w:t>uchwały</w:t>
      </w:r>
      <w:r w:rsidRPr="00F82005">
        <w:rPr>
          <w:rFonts w:ascii="Calibri" w:hAnsi="Calibri" w:cs="Calibri"/>
        </w:rPr>
        <w:t xml:space="preserve"> podejmowane przez </w:t>
      </w:r>
      <w:r w:rsidRPr="00F82005">
        <w:rPr>
          <w:rFonts w:ascii="Calibri" w:hAnsi="Calibri" w:cs="Calibri"/>
        </w:rPr>
        <w:t xml:space="preserve">Radę Gminy </w:t>
      </w:r>
      <w:r w:rsidRPr="00F82005">
        <w:rPr>
          <w:rFonts w:ascii="Calibri" w:hAnsi="Calibri" w:cs="Calibri"/>
        </w:rPr>
        <w:t>muszą nie tylko mieć umocowanie w</w:t>
      </w:r>
      <w:r>
        <w:rPr>
          <w:rFonts w:ascii="Calibri" w:hAnsi="Calibri" w:cs="Calibri"/>
        </w:rPr>
        <w:t> </w:t>
      </w:r>
      <w:r w:rsidRPr="00F82005">
        <w:rPr>
          <w:rFonts w:ascii="Calibri" w:hAnsi="Calibri" w:cs="Calibri"/>
        </w:rPr>
        <w:t xml:space="preserve">obowiązujących przepisach </w:t>
      </w:r>
      <w:r>
        <w:rPr>
          <w:rFonts w:ascii="Calibri" w:hAnsi="Calibri" w:cs="Calibri"/>
        </w:rPr>
        <w:t>prawa, ale też zapisy zawarte w </w:t>
      </w:r>
      <w:r w:rsidRPr="00F82005">
        <w:rPr>
          <w:rFonts w:ascii="Calibri" w:hAnsi="Calibri" w:cs="Calibri"/>
        </w:rPr>
        <w:t>uchwałach nie mogą przepisów tych naruszać. Ustawodawca, fo</w:t>
      </w:r>
      <w:r>
        <w:rPr>
          <w:rFonts w:ascii="Calibri" w:hAnsi="Calibri" w:cs="Calibri"/>
        </w:rPr>
        <w:t>rmułując określoną delegację do </w:t>
      </w:r>
      <w:r w:rsidRPr="00F82005">
        <w:rPr>
          <w:rFonts w:ascii="Calibri" w:hAnsi="Calibri" w:cs="Calibri"/>
        </w:rPr>
        <w:t>wydania aktu wykonawczego, przekazuje upowa</w:t>
      </w:r>
      <w:r w:rsidRPr="00F82005">
        <w:rPr>
          <w:rFonts w:ascii="Calibri" w:hAnsi="Calibri" w:cs="Calibri"/>
        </w:rPr>
        <w:t>żnienie do uregulowania w</w:t>
      </w:r>
      <w:r>
        <w:rPr>
          <w:rFonts w:ascii="Calibri" w:hAnsi="Calibri" w:cs="Calibri"/>
        </w:rPr>
        <w:t xml:space="preserve">yłącznie kwestii wynikających z </w:t>
      </w:r>
      <w:r w:rsidRPr="00F82005">
        <w:rPr>
          <w:rFonts w:ascii="Calibri" w:hAnsi="Calibri" w:cs="Calibri"/>
        </w:rPr>
        <w:t>upoważnienia. Niedopuszczalna jest zatem realizacja upoważnienia ustawowego regulująca kwestie nie przekazane do uregulowania w upoważnieniu. Takie działanie Rady n</w:t>
      </w:r>
      <w:r>
        <w:rPr>
          <w:rFonts w:ascii="Calibri" w:hAnsi="Calibri" w:cs="Calibri"/>
        </w:rPr>
        <w:t>ależy rozumieć jako działanie z </w:t>
      </w:r>
      <w:r w:rsidRPr="00F82005">
        <w:rPr>
          <w:rFonts w:ascii="Calibri" w:hAnsi="Calibri" w:cs="Calibri"/>
        </w:rPr>
        <w:t>prz</w:t>
      </w:r>
      <w:r w:rsidRPr="00F82005">
        <w:rPr>
          <w:rFonts w:ascii="Calibri" w:hAnsi="Calibri" w:cs="Calibri"/>
        </w:rPr>
        <w:t>ekrocze</w:t>
      </w:r>
      <w:r>
        <w:rPr>
          <w:rFonts w:ascii="Calibri" w:hAnsi="Calibri" w:cs="Calibri"/>
        </w:rPr>
        <w:t>niem upoważnienia ustawowego, a </w:t>
      </w:r>
      <w:r w:rsidRPr="00F82005">
        <w:rPr>
          <w:rFonts w:ascii="Calibri" w:hAnsi="Calibri" w:cs="Calibri"/>
        </w:rPr>
        <w:t>w konsekwencji, wobec zawarcia w uchwale przepisów wykraczających poza delegację ustawową, powoduje konieczność przywrócenia stanu zgodnego z prawem</w:t>
      </w:r>
      <w:r>
        <w:rPr>
          <w:rFonts w:ascii="Calibri" w:hAnsi="Calibri" w:cs="Calibri"/>
        </w:rPr>
        <w:t xml:space="preserve"> (</w:t>
      </w:r>
      <w:r w:rsidRPr="00F82005">
        <w:rPr>
          <w:rFonts w:ascii="Calibri" w:hAnsi="Calibri" w:cs="Calibri"/>
        </w:rPr>
        <w:t>por. u</w:t>
      </w:r>
      <w:r>
        <w:rPr>
          <w:rFonts w:ascii="Calibri" w:hAnsi="Calibri" w:cs="Calibri"/>
        </w:rPr>
        <w:t>zasadnienie do Wyroku WSA w </w:t>
      </w:r>
      <w:r w:rsidRPr="00F82005">
        <w:rPr>
          <w:rFonts w:ascii="Calibri" w:hAnsi="Calibri" w:cs="Calibri"/>
        </w:rPr>
        <w:t xml:space="preserve">Olsztynie </w:t>
      </w:r>
      <w:r>
        <w:rPr>
          <w:rFonts w:ascii="Calibri" w:hAnsi="Calibri" w:cs="Calibri"/>
        </w:rPr>
        <w:br/>
      </w:r>
      <w:r w:rsidRPr="00F82005">
        <w:rPr>
          <w:rFonts w:ascii="Calibri" w:hAnsi="Calibri" w:cs="Calibri"/>
        </w:rPr>
        <w:t>z 12 st</w:t>
      </w:r>
      <w:r>
        <w:rPr>
          <w:rFonts w:ascii="Calibri" w:hAnsi="Calibri" w:cs="Calibri"/>
        </w:rPr>
        <w:t>ycznia 2016 </w:t>
      </w:r>
      <w:r>
        <w:rPr>
          <w:rFonts w:ascii="Calibri" w:hAnsi="Calibri" w:cs="Calibri"/>
        </w:rPr>
        <w:t>r.,</w:t>
      </w:r>
      <w:r>
        <w:rPr>
          <w:rFonts w:ascii="Calibri" w:hAnsi="Calibri" w:cs="Calibri"/>
        </w:rPr>
        <w:t xml:space="preserve"> sygn. akt II </w:t>
      </w:r>
      <w:r w:rsidRPr="00F82005">
        <w:rPr>
          <w:rFonts w:ascii="Calibri" w:hAnsi="Calibri" w:cs="Calibri"/>
        </w:rPr>
        <w:t>SA/OI 1269/15).</w:t>
      </w:r>
    </w:p>
    <w:p w:rsidR="00327C7D" w:rsidRDefault="00A74801" w:rsidP="009E24E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Ponadto w</w:t>
      </w:r>
      <w:r w:rsidRPr="002F0DED">
        <w:rPr>
          <w:rFonts w:ascii="Calibri" w:hAnsi="Calibri" w:cs="Calibri"/>
        </w:rPr>
        <w:t xml:space="preserve"> wyroku z 11 kwietnia 2018 r. sygn. akt IV SA/Po 166/18Z </w:t>
      </w:r>
      <w:r>
        <w:rPr>
          <w:rFonts w:ascii="Calibri" w:hAnsi="Calibri" w:cs="Calibri"/>
        </w:rPr>
        <w:t>WSA</w:t>
      </w:r>
      <w:r w:rsidRPr="002F0DED">
        <w:rPr>
          <w:rFonts w:ascii="Calibri" w:hAnsi="Calibri" w:cs="Calibri"/>
        </w:rPr>
        <w:t xml:space="preserve"> w Poznaniu wskazał, że „</w:t>
      </w:r>
      <w:r w:rsidRPr="002F0DED">
        <w:rPr>
          <w:rFonts w:ascii="Calibri" w:hAnsi="Calibri" w:cs="Calibri"/>
          <w:i/>
        </w:rPr>
        <w:t xml:space="preserve">przekroczenie upoważnienia ustawowego stanowi istotne naruszenie prawa, stanowiące podstawę do stwierdzenia nieważności podjętego aktu. Zgodnie bowiem z art. 91 ust. 1 zdanie 1 </w:t>
      </w:r>
      <w:r w:rsidRPr="002F0DED">
        <w:rPr>
          <w:rFonts w:ascii="Calibri" w:hAnsi="Calibri" w:cs="Calibri"/>
          <w:i/>
        </w:rPr>
        <w:lastRenderedPageBreak/>
        <w:t xml:space="preserve">ustawy z dnia 8 marca 1990 r. o samorządzie gminnym (t.j. Dz.U. z 2017 r. poz. </w:t>
      </w:r>
      <w:r w:rsidRPr="002F0DED">
        <w:rPr>
          <w:rFonts w:ascii="Calibri" w:hAnsi="Calibri" w:cs="Calibri"/>
          <w:i/>
        </w:rPr>
        <w:t>1875 ze zm.), uchwała lub zarządzenie organu gminy sprzeczne z prawem są nieważne</w:t>
      </w:r>
      <w:r w:rsidRPr="002F0DED">
        <w:rPr>
          <w:rFonts w:ascii="Calibri" w:hAnsi="Calibri" w:cs="Calibri"/>
        </w:rPr>
        <w:t>.”</w:t>
      </w:r>
    </w:p>
    <w:p w:rsidR="002B0751" w:rsidRPr="00473F8B" w:rsidRDefault="00A74801" w:rsidP="002B0751">
      <w:pPr>
        <w:spacing w:line="360" w:lineRule="auto"/>
        <w:ind w:firstLine="709"/>
        <w:jc w:val="both"/>
      </w:pPr>
      <w:r w:rsidRPr="008271DB">
        <w:rPr>
          <w:rFonts w:asciiTheme="minorHAnsi" w:hAnsiTheme="minorHAnsi" w:cstheme="minorHAnsi"/>
        </w:rPr>
        <w:t>Mając na uwadze powyższe, stwierdzenie nieważności przedmiotowej uchwały</w:t>
      </w:r>
      <w:r>
        <w:rPr>
          <w:rFonts w:asciiTheme="minorHAnsi" w:hAnsiTheme="minorHAnsi" w:cstheme="minorHAnsi"/>
        </w:rPr>
        <w:t>, we </w:t>
      </w:r>
      <w:r w:rsidRPr="008271DB">
        <w:rPr>
          <w:rFonts w:asciiTheme="minorHAnsi" w:hAnsiTheme="minorHAnsi" w:cstheme="minorHAnsi"/>
        </w:rPr>
        <w:t>wskazanej w petitum części, jest w pełni uzasadnione.</w:t>
      </w:r>
    </w:p>
    <w:p w:rsidR="002B0751" w:rsidRPr="00C17B48" w:rsidRDefault="00A74801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</w:t>
      </w:r>
      <w:r>
        <w:rPr>
          <w:rFonts w:asciiTheme="minorHAnsi" w:hAnsiTheme="minorHAnsi" w:cstheme="minorHAnsi"/>
        </w:rPr>
        <w:t>inie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2B0751" w:rsidRDefault="00A74801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Informuję, że rozstrzygnięcie nadzorcze wstrzymuje wykonanie uchwał</w:t>
      </w:r>
      <w:r>
        <w:rPr>
          <w:rFonts w:asciiTheme="minorHAnsi" w:hAnsiTheme="minorHAnsi" w:cstheme="minorHAnsi"/>
        </w:rPr>
        <w:t>y z mocy</w:t>
      </w:r>
      <w:r>
        <w:rPr>
          <w:rFonts w:asciiTheme="minorHAnsi" w:hAnsiTheme="minorHAnsi" w:cstheme="minorHAnsi"/>
        </w:rPr>
        <w:t xml:space="preserve"> prawa, w zakresie objętym orzeczeniem, z </w:t>
      </w:r>
      <w:r w:rsidRPr="00C17B48">
        <w:rPr>
          <w:rFonts w:asciiTheme="minorHAnsi" w:hAnsiTheme="minorHAnsi" w:cstheme="minorHAnsi"/>
        </w:rPr>
        <w:t>dniem jego doręczenia.</w:t>
      </w:r>
    </w:p>
    <w:p w:rsidR="00DC5208" w:rsidRDefault="00A74801" w:rsidP="008D41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1EA5" w:rsidTr="004C48E4">
        <w:tc>
          <w:tcPr>
            <w:tcW w:w="4814" w:type="dxa"/>
          </w:tcPr>
          <w:p w:rsidR="009D50A1" w:rsidRDefault="00A74801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A74801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A74801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A74801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A74801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096F3B" w:rsidRDefault="00A74801" w:rsidP="00E414CC">
      <w:pPr>
        <w:pStyle w:val="Teksttreci40"/>
        <w:shd w:val="clear" w:color="auto" w:fill="auto"/>
        <w:spacing w:line="360" w:lineRule="auto"/>
        <w:ind w:right="-2"/>
        <w:rPr>
          <w:b w:val="0"/>
          <w:sz w:val="24"/>
          <w:szCs w:val="24"/>
        </w:rPr>
      </w:pPr>
    </w:p>
    <w:sectPr w:rsidR="002960B0" w:rsidRPr="00096F3B" w:rsidSect="00AA77C0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01" w:rsidRDefault="00A74801">
      <w:r>
        <w:separator/>
      </w:r>
    </w:p>
  </w:endnote>
  <w:endnote w:type="continuationSeparator" w:id="0">
    <w:p w:rsidR="00A74801" w:rsidRDefault="00A7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949310"/>
      <w:docPartObj>
        <w:docPartGallery w:val="Page Numbers (Bottom of Page)"/>
        <w:docPartUnique/>
      </w:docPartObj>
    </w:sdtPr>
    <w:sdtEndPr/>
    <w:sdtContent>
      <w:p w:rsidR="00AA77C0" w:rsidRDefault="00A748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A77C0" w:rsidRDefault="00A7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01" w:rsidRDefault="00A74801">
      <w:r>
        <w:separator/>
      </w:r>
    </w:p>
  </w:footnote>
  <w:footnote w:type="continuationSeparator" w:id="0">
    <w:p w:rsidR="00A74801" w:rsidRDefault="00A7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10C"/>
    <w:multiLevelType w:val="hybridMultilevel"/>
    <w:tmpl w:val="A4EEB186"/>
    <w:lvl w:ilvl="0" w:tplc="0D76B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8BC2E" w:tentative="1">
      <w:start w:val="1"/>
      <w:numFmt w:val="lowerLetter"/>
      <w:lvlText w:val="%2."/>
      <w:lvlJc w:val="left"/>
      <w:pPr>
        <w:ind w:left="1440" w:hanging="360"/>
      </w:pPr>
    </w:lvl>
    <w:lvl w:ilvl="2" w:tplc="CE369854" w:tentative="1">
      <w:start w:val="1"/>
      <w:numFmt w:val="lowerRoman"/>
      <w:lvlText w:val="%3."/>
      <w:lvlJc w:val="right"/>
      <w:pPr>
        <w:ind w:left="2160" w:hanging="180"/>
      </w:pPr>
    </w:lvl>
    <w:lvl w:ilvl="3" w:tplc="73363E70" w:tentative="1">
      <w:start w:val="1"/>
      <w:numFmt w:val="decimal"/>
      <w:lvlText w:val="%4."/>
      <w:lvlJc w:val="left"/>
      <w:pPr>
        <w:ind w:left="2880" w:hanging="360"/>
      </w:pPr>
    </w:lvl>
    <w:lvl w:ilvl="4" w:tplc="E3802B8E" w:tentative="1">
      <w:start w:val="1"/>
      <w:numFmt w:val="lowerLetter"/>
      <w:lvlText w:val="%5."/>
      <w:lvlJc w:val="left"/>
      <w:pPr>
        <w:ind w:left="3600" w:hanging="360"/>
      </w:pPr>
    </w:lvl>
    <w:lvl w:ilvl="5" w:tplc="6F00D9B2" w:tentative="1">
      <w:start w:val="1"/>
      <w:numFmt w:val="lowerRoman"/>
      <w:lvlText w:val="%6."/>
      <w:lvlJc w:val="right"/>
      <w:pPr>
        <w:ind w:left="4320" w:hanging="180"/>
      </w:pPr>
    </w:lvl>
    <w:lvl w:ilvl="6" w:tplc="3B301CA2" w:tentative="1">
      <w:start w:val="1"/>
      <w:numFmt w:val="decimal"/>
      <w:lvlText w:val="%7."/>
      <w:lvlJc w:val="left"/>
      <w:pPr>
        <w:ind w:left="5040" w:hanging="360"/>
      </w:pPr>
    </w:lvl>
    <w:lvl w:ilvl="7" w:tplc="FCCE083E" w:tentative="1">
      <w:start w:val="1"/>
      <w:numFmt w:val="lowerLetter"/>
      <w:lvlText w:val="%8."/>
      <w:lvlJc w:val="left"/>
      <w:pPr>
        <w:ind w:left="5760" w:hanging="360"/>
      </w:pPr>
    </w:lvl>
    <w:lvl w:ilvl="8" w:tplc="6CF09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A5"/>
    <w:rsid w:val="0080128C"/>
    <w:rsid w:val="00891EA5"/>
    <w:rsid w:val="00A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0E90D-A401-4D52-87ED-74D7C275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E494-CA64-4E31-BD9C-C8EB1F01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2020-11-30T11:21:00Z</dcterms:created>
  <dcterms:modified xsi:type="dcterms:W3CDTF">2020-11-30T11:21:00Z</dcterms:modified>
</cp:coreProperties>
</file>