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942C" w14:textId="77777777" w:rsidR="00461A92" w:rsidRPr="009A67F5" w:rsidRDefault="00461A92" w:rsidP="009A67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67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88BD1C" wp14:editId="20CB9206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644F6" w14:textId="77777777" w:rsidR="00461A92" w:rsidRPr="009A67F5" w:rsidRDefault="00461A92" w:rsidP="009A67F5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9A67F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005747" w14:textId="77777777" w:rsidR="00461A92" w:rsidRPr="009A67F5" w:rsidRDefault="00461A92" w:rsidP="009A67F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A67F5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9DD3DAE" w14:textId="77777777" w:rsidR="00461A92" w:rsidRPr="00461A92" w:rsidRDefault="00461A92" w:rsidP="009A67F5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461A92">
        <w:rPr>
          <w:rFonts w:ascii="Arial" w:eastAsia="Times New Roman" w:hAnsi="Arial" w:cs="Arial"/>
          <w:sz w:val="24"/>
          <w:szCs w:val="24"/>
        </w:rPr>
        <w:t>Warszawa, dnia 13 października 2021 r.</w:t>
      </w:r>
    </w:p>
    <w:p w14:paraId="3AD13FB0" w14:textId="4BA32157" w:rsidR="00461A92" w:rsidRPr="009A67F5" w:rsidRDefault="00461A92" w:rsidP="009A67F5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A67F5">
        <w:rPr>
          <w:rFonts w:ascii="Arial" w:eastAsia="Times New Roman" w:hAnsi="Arial" w:cs="Arial"/>
          <w:sz w:val="24"/>
          <w:szCs w:val="24"/>
        </w:rPr>
        <w:t xml:space="preserve">Sygn. akt KR III R 7 ukośnik </w:t>
      </w:r>
      <w:r w:rsidR="006D1CAB" w:rsidRPr="009A67F5">
        <w:rPr>
          <w:rFonts w:ascii="Arial" w:eastAsia="Times New Roman" w:hAnsi="Arial" w:cs="Arial"/>
          <w:sz w:val="24"/>
          <w:szCs w:val="24"/>
        </w:rPr>
        <w:t>21</w:t>
      </w:r>
    </w:p>
    <w:p w14:paraId="2CD0B2C0" w14:textId="77777777" w:rsidR="006D1CAB" w:rsidRPr="009A67F5" w:rsidRDefault="00461A92" w:rsidP="009A67F5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67F5">
        <w:rPr>
          <w:rFonts w:ascii="Arial" w:eastAsia="Times New Roman" w:hAnsi="Arial" w:cs="Arial"/>
          <w:sz w:val="24"/>
          <w:szCs w:val="24"/>
        </w:rPr>
        <w:t>DPA myślnik III.</w:t>
      </w:r>
      <w:r w:rsidR="006D1CAB" w:rsidRPr="009A67F5">
        <w:rPr>
          <w:rFonts w:ascii="Arial" w:hAnsi="Arial" w:cs="Arial"/>
          <w:sz w:val="20"/>
          <w:szCs w:val="20"/>
        </w:rPr>
        <w:t xml:space="preserve"> </w:t>
      </w:r>
      <w:r w:rsidR="006D1CAB" w:rsidRPr="009A67F5">
        <w:rPr>
          <w:rFonts w:ascii="Arial" w:eastAsia="Times New Roman" w:hAnsi="Arial" w:cs="Arial"/>
          <w:sz w:val="24"/>
          <w:szCs w:val="24"/>
        </w:rPr>
        <w:t>9130.10.2021</w:t>
      </w:r>
      <w:r w:rsidR="006D1CAB" w:rsidRPr="009A67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23E3789" w14:textId="666CD130" w:rsidR="00461A92" w:rsidRPr="009A67F5" w:rsidRDefault="00461A92" w:rsidP="009A67F5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A67F5">
        <w:rPr>
          <w:rFonts w:ascii="Arial" w:eastAsia="Times New Roman" w:hAnsi="Arial" w:cs="Arial"/>
          <w:sz w:val="24"/>
          <w:szCs w:val="24"/>
        </w:rPr>
        <w:t xml:space="preserve">I K: </w:t>
      </w:r>
      <w:r w:rsidR="006D1CAB" w:rsidRPr="009A67F5">
        <w:rPr>
          <w:rFonts w:ascii="Arial" w:eastAsia="Times New Roman" w:hAnsi="Arial" w:cs="Arial"/>
          <w:sz w:val="24"/>
          <w:szCs w:val="24"/>
        </w:rPr>
        <w:t>2618786</w:t>
      </w:r>
    </w:p>
    <w:p w14:paraId="0ED58919" w14:textId="4CAAB664" w:rsidR="0063661C" w:rsidRDefault="0063661C" w:rsidP="00026150">
      <w:pPr>
        <w:pStyle w:val="Nagwek1"/>
        <w:rPr>
          <w:rFonts w:ascii="Arial" w:eastAsia="Calibri" w:hAnsi="Arial" w:cs="Arial"/>
          <w:b/>
          <w:bCs/>
          <w:color w:val="auto"/>
          <w:lang w:eastAsia="en-US"/>
        </w:rPr>
      </w:pPr>
      <w:r w:rsidRPr="00026150">
        <w:rPr>
          <w:rFonts w:ascii="Arial" w:eastAsia="Calibri" w:hAnsi="Arial" w:cs="Arial"/>
          <w:b/>
          <w:bCs/>
          <w:color w:val="auto"/>
          <w:lang w:eastAsia="en-US"/>
        </w:rPr>
        <w:t>Postanowienie</w:t>
      </w:r>
    </w:p>
    <w:p w14:paraId="4C2404F3" w14:textId="77777777" w:rsidR="00026150" w:rsidRPr="00026150" w:rsidRDefault="00026150" w:rsidP="00026150">
      <w:pPr>
        <w:rPr>
          <w:lang w:eastAsia="en-US"/>
        </w:rPr>
      </w:pPr>
    </w:p>
    <w:p w14:paraId="30F92A39" w14:textId="77777777" w:rsidR="0063661C" w:rsidRPr="0063661C" w:rsidRDefault="0063661C" w:rsidP="009A67F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61D591A4" w14:textId="77777777" w:rsidR="0063661C" w:rsidRPr="0063661C" w:rsidRDefault="0063661C" w:rsidP="009A67F5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Przewodniczący Komisji: </w:t>
      </w:r>
    </w:p>
    <w:p w14:paraId="59411E9D" w14:textId="77777777" w:rsidR="0063661C" w:rsidRPr="0063661C" w:rsidRDefault="0063661C" w:rsidP="009A67F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  <w:r w:rsidRPr="0063661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7DE053C9" w14:textId="4E6896E1" w:rsidR="0063661C" w:rsidRPr="009A67F5" w:rsidRDefault="0063661C" w:rsidP="009A67F5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Członkowie Komisji: </w:t>
      </w:r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Wiktor </w:t>
      </w:r>
      <w:proofErr w:type="spellStart"/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Klimiuk</w:t>
      </w:r>
      <w:proofErr w:type="spellEnd"/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Łukasz </w:t>
      </w:r>
      <w:proofErr w:type="spellStart"/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Kondratko</w:t>
      </w:r>
      <w:proofErr w:type="spellEnd"/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, Paweł Lisiecki, Jan Mosiński, Bartłomiej Opaliński, Adam Zieliński</w:t>
      </w:r>
    </w:p>
    <w:p w14:paraId="00E7F1ED" w14:textId="77777777" w:rsidR="0063661C" w:rsidRPr="009A67F5" w:rsidRDefault="0063661C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607B538C" w14:textId="439687E3" w:rsidR="0063661C" w:rsidRPr="009A67F5" w:rsidRDefault="0063661C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po rozpoznaniu w dniu 13 października 2021 r. na posiedzeniu niejawnym</w:t>
      </w:r>
    </w:p>
    <w:p w14:paraId="551E2D89" w14:textId="77777777" w:rsidR="0063661C" w:rsidRPr="0063661C" w:rsidRDefault="0063661C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wniosku  Miasta  Stołecznego  Warszawy  reprezentowanego  przez  Prezydenta Miasta</w:t>
      </w:r>
    </w:p>
    <w:p w14:paraId="01C5C8D9" w14:textId="77777777" w:rsidR="0063661C" w:rsidRPr="0063661C" w:rsidRDefault="0063661C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Stołecznego   Warszawy   o uzupełnienie   decyzji   Komisji   do   spraw reprywatyzacji</w:t>
      </w:r>
    </w:p>
    <w:p w14:paraId="1BB6EBC6" w14:textId="66F910DE" w:rsidR="0063661C" w:rsidRPr="009A67F5" w:rsidRDefault="0063661C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nieruchomości warszawskich nr KR II R 7</w:t>
      </w:r>
      <w:r w:rsidR="000F6C5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ukośnik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21 z dnia 31 sierpnia 2021 r.</w:t>
      </w:r>
    </w:p>
    <w:p w14:paraId="63FCE28B" w14:textId="778BCCE7" w:rsidR="0063661C" w:rsidRPr="009A67F5" w:rsidRDefault="0063661C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7ADD8134" w14:textId="77777777" w:rsidR="0063661C" w:rsidRPr="0063661C" w:rsidRDefault="0063661C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z udziałem stron: Miasta Stołecznego Warszawy, Prokuratora Prokuratury Regionalnej</w:t>
      </w:r>
    </w:p>
    <w:p w14:paraId="45D6EE7D" w14:textId="22A85A50" w:rsidR="0063661C" w:rsidRPr="009A67F5" w:rsidRDefault="0063661C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w Warszawie, K</w:t>
      </w:r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proofErr w:type="spellEnd"/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–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S</w:t>
      </w:r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F</w:t>
      </w:r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sp.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o.o., W R sp. z o.o.,</w:t>
      </w:r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M </w:t>
      </w:r>
      <w:proofErr w:type="spellStart"/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proofErr w:type="spellEnd"/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T M,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A N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ab/>
        <w:t>, A M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ab/>
        <w:t>M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H,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T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H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 S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D, G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P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–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A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S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B, R M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J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P-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P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E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P,  M </w:t>
      </w:r>
      <w:r w:rsidR="00C5030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,  A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A</w:t>
      </w:r>
      <w:proofErr w:type="spellEnd"/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, T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C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G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C,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A 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, K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J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K, A K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–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="00C703ED" w:rsidRPr="009A67F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 U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-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P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-P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Z H, 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K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C703ED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H</w:t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S, J </w:t>
      </w:r>
      <w:proofErr w:type="spellStart"/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J</w:t>
      </w:r>
      <w:proofErr w:type="spellEnd"/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H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</w:t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M</w:t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K,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ab/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J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K</w:t>
      </w:r>
      <w:r w:rsidR="00C943F5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J </w:t>
      </w:r>
      <w:proofErr w:type="spellStart"/>
      <w:r w:rsidRPr="0063661C">
        <w:rPr>
          <w:rFonts w:ascii="Arial" w:eastAsia="Times New Roman" w:hAnsi="Arial" w:cs="Arial"/>
          <w:bCs/>
          <w:sz w:val="24"/>
          <w:szCs w:val="24"/>
          <w:lang w:eastAsia="zh-CN"/>
        </w:rPr>
        <w:t>J</w:t>
      </w:r>
      <w:proofErr w:type="spellEnd"/>
    </w:p>
    <w:p w14:paraId="464D5889" w14:textId="77777777" w:rsidR="002A31BB" w:rsidRPr="009A67F5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6B789C23" w14:textId="4586252F" w:rsidR="002A31BB" w:rsidRPr="009A67F5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na podstawie art. 10 i 38 ust. 1 ustawy z dnia 9 marca 2017 r. o szczególnych zasadach</w:t>
      </w:r>
    </w:p>
    <w:p w14:paraId="04B1FE30" w14:textId="4618E2DF" w:rsidR="002A31BB" w:rsidRPr="002A31BB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usuwania skutków prawnych decyzji reprywatyzacyjnych dotyczących nieruchomości</w:t>
      </w:r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warszawskich, wydanych z naruszeniem prawa (Dz. U. z 2021 r. poz. 795; dalej: ustawa z 9 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marca 2017 r.) w związku z art. 111 </w:t>
      </w:r>
      <w:r w:rsidR="00973FA9">
        <w:rPr>
          <w:rFonts w:ascii="Arial" w:eastAsia="Times New Roman" w:hAnsi="Arial" w:cs="Arial"/>
          <w:bCs/>
          <w:sz w:val="24"/>
          <w:szCs w:val="24"/>
          <w:lang w:eastAsia="zh-CN"/>
        </w:rPr>
        <w:t>paragraf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 i </w:t>
      </w:r>
      <w:r w:rsidR="00973FA9">
        <w:rPr>
          <w:rFonts w:ascii="Arial" w:eastAsia="Times New Roman" w:hAnsi="Arial" w:cs="Arial"/>
          <w:bCs/>
          <w:sz w:val="24"/>
          <w:szCs w:val="24"/>
          <w:lang w:eastAsia="zh-CN"/>
        </w:rPr>
        <w:t>paragraf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0F6C5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1 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b ustawy z dnia 14 ustawy z dnia 14 czerwca</w:t>
      </w:r>
    </w:p>
    <w:p w14:paraId="3B7131CF" w14:textId="588DB093" w:rsidR="002A31BB" w:rsidRPr="009A67F5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1960 r. - Kodeks postępowania administracyjnego (Dz. U. z 2021 r. poz. 735 i 1491 dalej: k.p.a.)</w:t>
      </w:r>
    </w:p>
    <w:p w14:paraId="4EBBE70C" w14:textId="199B8390" w:rsidR="002A31BB" w:rsidRPr="009A67F5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1612531B" w14:textId="77777777" w:rsidR="002A31BB" w:rsidRPr="002A31BB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A31B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postanawia:</w:t>
      </w:r>
    </w:p>
    <w:p w14:paraId="7E12FABC" w14:textId="37E34B7A" w:rsidR="002A31BB" w:rsidRPr="009A67F5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21D93F14" w14:textId="761841AC" w:rsidR="002A31BB" w:rsidRPr="002A31BB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1.</w:t>
      </w:r>
      <w:r w:rsidR="0056776A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odmówić uzupełnienia decyzji Komisji do spraw reprywatyzacji nieruchomości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br/>
        <w:t>warszawskich nr KR II R 7</w:t>
      </w:r>
      <w:r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ukośnik 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21 z dnia 31 sierpnia 2021 r.;</w:t>
      </w:r>
    </w:p>
    <w:p w14:paraId="2655940F" w14:textId="56A6CB58" w:rsidR="002A31BB" w:rsidRPr="002A31BB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2.</w:t>
      </w:r>
      <w:r w:rsidR="0056776A" w:rsidRPr="009A67F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t>na podstawie art. 16 ust. 3 i ust. 4 ustawy z 9 marca 2017 r., zawiadomić o wydaniu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br/>
        <w:t>niniejszego postanowienia poprzez ogłoszenie w Biuletynie Informacji Publicznej, na stronie</w:t>
      </w:r>
      <w:r w:rsidRPr="002A31BB">
        <w:rPr>
          <w:rFonts w:ascii="Arial" w:eastAsia="Times New Roman" w:hAnsi="Arial" w:cs="Arial"/>
          <w:bCs/>
          <w:sz w:val="24"/>
          <w:szCs w:val="24"/>
          <w:lang w:eastAsia="zh-CN"/>
        </w:rPr>
        <w:br/>
        <w:t>podmiotowej urzędu obsługującego Ministra Sprawiedliwości.</w:t>
      </w:r>
    </w:p>
    <w:p w14:paraId="25D35313" w14:textId="193429D5" w:rsidR="002A31BB" w:rsidRPr="009A67F5" w:rsidRDefault="002A31BB" w:rsidP="009A67F5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4C29BABC" w14:textId="720CAA56" w:rsidR="002A31BB" w:rsidRPr="00026150" w:rsidRDefault="002A31BB" w:rsidP="00026150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026150">
        <w:rPr>
          <w:rFonts w:ascii="Arial" w:hAnsi="Arial" w:cs="Arial"/>
          <w:b/>
          <w:bCs/>
          <w:color w:val="auto"/>
          <w:sz w:val="28"/>
          <w:szCs w:val="28"/>
        </w:rPr>
        <w:t>UZASADNIENIE</w:t>
      </w:r>
    </w:p>
    <w:p w14:paraId="7B63625A" w14:textId="77777777" w:rsidR="00362782" w:rsidRPr="009A67F5" w:rsidRDefault="00362782" w:rsidP="009A67F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0DE3139" w14:textId="67744221" w:rsidR="00362782" w:rsidRPr="009A67F5" w:rsidRDefault="000F6C54" w:rsidP="009A67F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2643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Punkt </w:t>
      </w:r>
      <w:r w:rsidR="00A2643A" w:rsidRPr="00A2643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pierwszy</w:t>
      </w:r>
      <w:r w:rsidR="0056776A" w:rsidRPr="00A2643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  <w:r w:rsidR="0056776A" w:rsidRPr="009A67F5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362782" w:rsidRPr="009A67F5">
        <w:rPr>
          <w:rFonts w:ascii="Arial" w:eastAsia="Times New Roman" w:hAnsi="Arial" w:cs="Arial"/>
          <w:sz w:val="24"/>
          <w:szCs w:val="24"/>
          <w:lang w:eastAsia="zh-CN"/>
        </w:rPr>
        <w:t xml:space="preserve">Strona (Miasto Stołeczne Warszawa reprezentowane przez Prezydenta m.st. Warszawy) pismem z 17 września 2021 r. (data wpływu do Komisji: 23 września 2021 r.) wniosła o uzupełnienie decyzji Komisji do spraw reprywatyzacji nieruchomości </w:t>
      </w:r>
      <w:r w:rsidR="00362782" w:rsidRPr="009A67F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warszawskich nr KR II R 7/21 z dnia 31 sierpnia 2021 r. (ogłoszonej w Biuletynie Informacji Publicznej na stronie podmiotowej urzędu obsługującego Ministra Sprawiedliwości w dniu 2 wrześnią 2021 r.) co do rozstrzygnięcia o obowiązku zwrotu równowartości nienależnego świadczenia, o którym mowa w przepisie art. 31 ust. 1 ustawy z 9 marca 2017 r.</w:t>
      </w:r>
    </w:p>
    <w:p w14:paraId="2A46FA59" w14:textId="77777777" w:rsidR="007056DD" w:rsidRPr="009A67F5" w:rsidRDefault="007056DD" w:rsidP="009A67F5">
      <w:pPr>
        <w:pStyle w:val="Akapitzlist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F81E2B" w14:textId="143FE9D5" w:rsidR="007056DD" w:rsidRPr="007056DD" w:rsidRDefault="007056DD" w:rsidP="009A67F5">
      <w:pPr>
        <w:pStyle w:val="Style11"/>
        <w:tabs>
          <w:tab w:val="left" w:pos="6792"/>
          <w:tab w:val="left" w:pos="8501"/>
        </w:tabs>
        <w:spacing w:line="394" w:lineRule="exact"/>
        <w:ind w:firstLine="0"/>
        <w:jc w:val="left"/>
        <w:rPr>
          <w:rFonts w:ascii="Arial" w:hAnsi="Arial" w:cs="Arial"/>
        </w:rPr>
      </w:pPr>
      <w:r w:rsidRPr="009A67F5">
        <w:rPr>
          <w:rStyle w:val="FontStyle21"/>
          <w:rFonts w:ascii="Arial" w:hAnsi="Arial" w:cs="Arial"/>
          <w:sz w:val="24"/>
          <w:szCs w:val="24"/>
        </w:rPr>
        <w:t xml:space="preserve">W uzasadnieniu wniosku wskazano, że obowiązek zwrotu równowartości nienależnego świadczenia powinien obciążać beneficjentkę decyzji tj. K M - S, zaś wysokość nienależnego świadczenia podlegającego zwrotowi powinna </w:t>
      </w:r>
      <w:r w:rsidRPr="009A67F5">
        <w:rPr>
          <w:rFonts w:ascii="Arial" w:hAnsi="Arial" w:cs="Arial"/>
        </w:rPr>
        <w:t>odpowiadać łącznej cenie uzyskanej przez nią z tytułu sprzedaży praw do przedmiotowej</w:t>
      </w:r>
      <w:r w:rsidRPr="009A67F5">
        <w:rPr>
          <w:rFonts w:ascii="Arial" w:hAnsi="Arial" w:cs="Arial"/>
        </w:rPr>
        <w:br/>
        <w:t>nieruchomości na rzecz spółki pod firmą A sp. z o.o., na podstawie umów z dnia 24</w:t>
      </w:r>
      <w:r w:rsidRPr="009A67F5">
        <w:rPr>
          <w:rFonts w:ascii="Arial" w:hAnsi="Arial" w:cs="Arial"/>
        </w:rPr>
        <w:br/>
        <w:t xml:space="preserve">października 2009 r. (dot. dz. ew. nr )  z dnia 22 lipca 2010 r. i z dnia </w:t>
      </w:r>
      <w:r w:rsidRPr="007056DD">
        <w:rPr>
          <w:rFonts w:ascii="Arial" w:hAnsi="Arial" w:cs="Arial"/>
        </w:rPr>
        <w:t xml:space="preserve">14 marca 2011 r. (dot. dz. ew. nr  </w:t>
      </w:r>
      <w:r w:rsidRPr="009A67F5">
        <w:rPr>
          <w:rFonts w:ascii="Arial" w:hAnsi="Arial" w:cs="Arial"/>
        </w:rPr>
        <w:t>i nr</w:t>
      </w:r>
      <w:r w:rsidRPr="007056DD">
        <w:rPr>
          <w:rFonts w:ascii="Arial" w:hAnsi="Arial" w:cs="Arial"/>
        </w:rPr>
        <w:t xml:space="preserve"> )</w:t>
      </w:r>
      <w:r w:rsidRPr="009A67F5">
        <w:rPr>
          <w:rFonts w:ascii="Arial" w:hAnsi="Arial" w:cs="Arial"/>
        </w:rPr>
        <w:t xml:space="preserve"> </w:t>
      </w:r>
    </w:p>
    <w:p w14:paraId="748B22CE" w14:textId="31ECCD6B" w:rsidR="007056DD" w:rsidRPr="009A67F5" w:rsidRDefault="007056DD" w:rsidP="009A67F5">
      <w:pPr>
        <w:pStyle w:val="Style11"/>
        <w:widowControl/>
        <w:tabs>
          <w:tab w:val="left" w:pos="6792"/>
          <w:tab w:val="left" w:pos="8501"/>
        </w:tabs>
        <w:spacing w:line="394" w:lineRule="exact"/>
        <w:ind w:left="720" w:firstLine="0"/>
        <w:jc w:val="left"/>
        <w:rPr>
          <w:rStyle w:val="FontStyle21"/>
          <w:rFonts w:ascii="Arial" w:hAnsi="Arial" w:cs="Arial"/>
          <w:sz w:val="24"/>
          <w:szCs w:val="24"/>
        </w:rPr>
      </w:pPr>
    </w:p>
    <w:p w14:paraId="788C7294" w14:textId="77777777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>W ocenie strony Komisja wydając rozstrzygnięcie w niniejszej sprawie nie poczyniła jakichkolwiek odniesień w zakresie zwrotu równowartości nienależnego świadczenia, co może prowadzić do wniosku, że przy rozstrzyganiu sprawy Komisja w ogóle nie analizowała i nie rozważała tej kwestii, a co winna uczynić.</w:t>
      </w:r>
    </w:p>
    <w:p w14:paraId="64913FC3" w14:textId="7FFEFCD9" w:rsidR="007056DD" w:rsidRPr="009A67F5" w:rsidRDefault="007056DD" w:rsidP="009A67F5">
      <w:pPr>
        <w:pStyle w:val="Style11"/>
        <w:widowControl/>
        <w:tabs>
          <w:tab w:val="left" w:pos="6792"/>
          <w:tab w:val="left" w:pos="8501"/>
        </w:tabs>
        <w:spacing w:line="394" w:lineRule="exact"/>
        <w:ind w:left="720" w:firstLine="0"/>
        <w:jc w:val="left"/>
        <w:rPr>
          <w:rStyle w:val="FontStyle21"/>
          <w:rFonts w:ascii="Arial" w:hAnsi="Arial" w:cs="Arial"/>
          <w:sz w:val="24"/>
          <w:szCs w:val="24"/>
        </w:rPr>
      </w:pPr>
    </w:p>
    <w:p w14:paraId="14A3ADCF" w14:textId="3AA7B7E8" w:rsidR="007056DD" w:rsidRPr="009A67F5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>Strona podkreśliła, że Komisja nie wzięła pod uwagę interesu m.st. Warszawy (społeczności lokalnej m.st. Warszawy), co w sposób oczywisty godzi w interesy majątkowe m.st. Warszawy, jako podmiotu na rzecz którego zwrot miałby być dokonany, jak również ze względów ekonomiki procesowej, wobec konieczności wszczynania przez m.st. Warszawa dodatkowych procedur, związanych z dochodzeniem roszczenia.</w:t>
      </w:r>
    </w:p>
    <w:p w14:paraId="4F471BE4" w14:textId="7605E725" w:rsidR="007056DD" w:rsidRPr="009A67F5" w:rsidRDefault="007056DD" w:rsidP="009A67F5">
      <w:pPr>
        <w:pStyle w:val="Style11"/>
        <w:tabs>
          <w:tab w:val="left" w:pos="6792"/>
          <w:tab w:val="left" w:pos="8501"/>
        </w:tabs>
        <w:jc w:val="left"/>
        <w:rPr>
          <w:rFonts w:ascii="Arial" w:hAnsi="Arial" w:cs="Arial"/>
        </w:rPr>
      </w:pPr>
    </w:p>
    <w:p w14:paraId="71C44F83" w14:textId="77777777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>Zdaniem strony brak orzeczenia o obowiązku zwrotu nienależnego świadczenia prowadzi do przerzucania na Prezydenta m.st. Warszawy ciężaru prowadzonych przez Komisję postępo</w:t>
      </w:r>
      <w:r w:rsidRPr="007056DD">
        <w:rPr>
          <w:rFonts w:ascii="Arial" w:hAnsi="Arial" w:cs="Arial"/>
        </w:rPr>
        <w:softHyphen/>
        <w:t>wań, a zwłaszcza ich wyników, mimo że Komisja została wyposażona przez ustawę z dnia 9 marca 2017 r. w szerokie kompetencje, w tym kompetencje do orzeczenia o obowiązku zwrotu równowartości nienależnego świadczenia.</w:t>
      </w:r>
    </w:p>
    <w:p w14:paraId="5B81772B" w14:textId="37EC3FCA" w:rsidR="007056DD" w:rsidRPr="009A67F5" w:rsidRDefault="007056DD" w:rsidP="009A67F5">
      <w:pPr>
        <w:pStyle w:val="Style11"/>
        <w:tabs>
          <w:tab w:val="left" w:pos="6792"/>
          <w:tab w:val="left" w:pos="8501"/>
        </w:tabs>
        <w:jc w:val="left"/>
        <w:rPr>
          <w:rFonts w:ascii="Arial" w:hAnsi="Arial" w:cs="Arial"/>
        </w:rPr>
      </w:pPr>
    </w:p>
    <w:p w14:paraId="66F3189B" w14:textId="77777777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 xml:space="preserve">W uzasadnieniu wniosku strona wskazywała również, że brak orzeczenia o obowiązku </w:t>
      </w:r>
      <w:r w:rsidRPr="007056DD">
        <w:rPr>
          <w:rFonts w:ascii="Arial" w:hAnsi="Arial" w:cs="Arial"/>
        </w:rPr>
        <w:lastRenderedPageBreak/>
        <w:t>zwrotu nienależnego świadczenia przeczy praktyce Komisji, która stwierdzając wadliwość decyzji Prezydenta m.st. Warszawy wielokrotnie orzekała o obowiązku zwrotu równowartości świadczeń podlagających zwrotowi.</w:t>
      </w:r>
    </w:p>
    <w:p w14:paraId="1703DF1B" w14:textId="77777777" w:rsidR="007056DD" w:rsidRPr="007056DD" w:rsidRDefault="007056DD" w:rsidP="009A67F5">
      <w:pPr>
        <w:pStyle w:val="Style11"/>
        <w:tabs>
          <w:tab w:val="left" w:pos="6792"/>
          <w:tab w:val="left" w:pos="8501"/>
        </w:tabs>
        <w:jc w:val="left"/>
        <w:rPr>
          <w:rFonts w:ascii="Arial" w:hAnsi="Arial" w:cs="Arial"/>
        </w:rPr>
      </w:pPr>
    </w:p>
    <w:p w14:paraId="6C0CD792" w14:textId="3BA6E059" w:rsidR="007056DD" w:rsidRPr="007056DD" w:rsidRDefault="000F6C54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A2643A">
        <w:rPr>
          <w:rFonts w:ascii="Arial" w:hAnsi="Arial" w:cs="Arial"/>
          <w:b/>
          <w:bCs/>
        </w:rPr>
        <w:t>Punkt drugi.</w:t>
      </w:r>
      <w:r w:rsidR="0056776A" w:rsidRPr="009A67F5">
        <w:rPr>
          <w:rFonts w:ascii="Arial" w:hAnsi="Arial" w:cs="Arial"/>
          <w:b/>
          <w:bCs/>
        </w:rPr>
        <w:t> </w:t>
      </w:r>
      <w:r w:rsidR="007056DD" w:rsidRPr="007056DD">
        <w:rPr>
          <w:rFonts w:ascii="Arial" w:hAnsi="Arial" w:cs="Arial"/>
        </w:rPr>
        <w:t>W ocenie Komisji wniosek jest bezpodstawny, dlatego też odmówiono uzupełnienia przedmiotowej decyzji zgodnie z treścią żądania zawartego w piśmie z 17 września 2021 r.</w:t>
      </w:r>
    </w:p>
    <w:p w14:paraId="37ADFAB6" w14:textId="77777777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1404E3BA" w14:textId="1FC3DACF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 xml:space="preserve">Zgodnie z treścią art. 31 ust. 1 ustawy z 9 marca 2017 r. w decyzji, o której mowa w art. 29 ust. 1, Komisja </w:t>
      </w:r>
      <w:r w:rsidRPr="007056DD">
        <w:rPr>
          <w:rFonts w:ascii="Arial" w:hAnsi="Arial" w:cs="Arial"/>
          <w:b/>
          <w:bCs/>
        </w:rPr>
        <w:t xml:space="preserve">może </w:t>
      </w:r>
      <w:r w:rsidRPr="007056DD">
        <w:rPr>
          <w:rFonts w:ascii="Arial" w:hAnsi="Arial" w:cs="Arial"/>
        </w:rPr>
        <w:t>nałożyć obowiązek zwrotu równowartości nienależnego świadczenia na osobę należącą do jednej z wymienionych w tym przepisie kategorii. Nałożenie obowiązku zwrotu równowartości nienależnego świadczenia ma w związku z tym charakter fakultatywny. Oznacza to, że ustawodawca wyposażył Komisję w kompetencję do odstąpienia od nałożenia obowiązku zwrotu równowartości nienależnego świadczenia, poddając dyskrecjonalnej ocenie organu zasadność skorzystania z wymienionego uprawnienia. Uprawnienia Komisji jako wyjątku od zasady nie można interpretować w sposób rozszerzający.</w:t>
      </w:r>
    </w:p>
    <w:p w14:paraId="4AFB24E9" w14:textId="77777777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5A2DDDEA" w14:textId="219E24EC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 xml:space="preserve">Instytucja uregulowana w art. 31 ustawy z 9 marca 2017 r. oparta została na podwójnym uznaniu. </w:t>
      </w:r>
      <w:r w:rsidRPr="007056DD">
        <w:rPr>
          <w:rFonts w:ascii="Arial" w:hAnsi="Arial" w:cs="Arial"/>
          <w:b/>
          <w:bCs/>
        </w:rPr>
        <w:t xml:space="preserve">Po pierwsze, </w:t>
      </w:r>
      <w:r w:rsidRPr="007056DD">
        <w:rPr>
          <w:rFonts w:ascii="Arial" w:hAnsi="Arial" w:cs="Arial"/>
        </w:rPr>
        <w:t xml:space="preserve">Komisja w granicach tzw. „luzu decyzyjnego" może nałożyć obowiązek zwrotu równowartości nienależnego świadczenia. </w:t>
      </w:r>
      <w:r w:rsidRPr="007056DD">
        <w:rPr>
          <w:rFonts w:ascii="Arial" w:hAnsi="Arial" w:cs="Arial"/>
          <w:b/>
          <w:bCs/>
        </w:rPr>
        <w:t xml:space="preserve">Po drugie, </w:t>
      </w:r>
      <w:r w:rsidRPr="007056DD">
        <w:rPr>
          <w:rFonts w:ascii="Arial" w:hAnsi="Arial" w:cs="Arial"/>
        </w:rPr>
        <w:t xml:space="preserve">w granicach swej dyskrecjonalnej oceny może zmniejszyć jego wysokość lub odstąpić od jego nałożenia (por. Dałkowska Anna (red.), </w:t>
      </w:r>
      <w:r w:rsidRPr="007056DD">
        <w:rPr>
          <w:rFonts w:ascii="Arial" w:hAnsi="Arial" w:cs="Arial"/>
          <w:i/>
          <w:iCs/>
        </w:rPr>
        <w:t xml:space="preserve">Szczególne zasady usuwania skutków prawnych decyzji reprywatyzacyjnych dotyczących nieruchomości warszawskich, wydanych z naruszeniem prawa. Komentarz do wybranych przepisów, </w:t>
      </w:r>
      <w:r w:rsidRPr="007056DD">
        <w:rPr>
          <w:rFonts w:ascii="Arial" w:hAnsi="Arial" w:cs="Arial"/>
        </w:rPr>
        <w:t>Opublikowano: LEX/el. 2018). Nałożenie obowiązku zwrotu równowartości nienależnego świadczenia zależy każdorazowo od okoliczności konkretnej sprawy.</w:t>
      </w:r>
    </w:p>
    <w:p w14:paraId="787AFF39" w14:textId="77777777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28A99FB5" w14:textId="72E5E47A" w:rsidR="007056DD" w:rsidRPr="009A67F5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>Tymczasem wnioskodawca jedynie ogólnie twierdzi, że w sprawie zachodziły przesłanki nałożenia obowiązku zwrotu równowartości nienależnego świadczenia. Ograniczył się do wskazania podstaw prawnych nałożenia obowiązku wynikających z</w:t>
      </w:r>
      <w:r w:rsidRPr="009A67F5">
        <w:rPr>
          <w:rFonts w:ascii="Arial" w:hAnsi="Arial" w:cs="Arial"/>
        </w:rPr>
        <w:t xml:space="preserve"> </w:t>
      </w:r>
      <w:r w:rsidRPr="007056DD">
        <w:rPr>
          <w:rFonts w:ascii="Arial" w:hAnsi="Arial" w:cs="Arial"/>
        </w:rPr>
        <w:t xml:space="preserve">ustawy z 9 marca 2017 </w:t>
      </w:r>
      <w:r w:rsidRPr="007056DD">
        <w:rPr>
          <w:rFonts w:ascii="Arial" w:hAnsi="Arial" w:cs="Arial"/>
        </w:rPr>
        <w:lastRenderedPageBreak/>
        <w:t>r.</w:t>
      </w:r>
      <w:r w:rsidRPr="009A67F5">
        <w:rPr>
          <w:rFonts w:ascii="Arial" w:hAnsi="Arial" w:cs="Arial"/>
        </w:rPr>
        <w:t xml:space="preserve"> </w:t>
      </w:r>
      <w:r w:rsidRPr="007056DD">
        <w:rPr>
          <w:rFonts w:ascii="Arial" w:hAnsi="Arial" w:cs="Arial"/>
        </w:rPr>
        <w:t>oraz odwołał się do okoliczności, że brak zwrotu nienależnego świadczenia uderza w interesy majątkowe m.st. Warszawy (a nawet społeczności lokalnej).</w:t>
      </w:r>
    </w:p>
    <w:p w14:paraId="3AD75BB4" w14:textId="77777777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7C7D8E42" w14:textId="75A0F4AC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 xml:space="preserve">W uzasadnieniu podkreślono dotychczasową praktykę orzeczniczą Komisji w zakresie zwrotu równowartości nienależnego świadczenia, nie zwracając jednak uwagi na to, że każda sprawa jest rozstrzygana </w:t>
      </w:r>
      <w:r w:rsidRPr="007056DD">
        <w:rPr>
          <w:rFonts w:ascii="Arial" w:hAnsi="Arial" w:cs="Arial"/>
          <w:i/>
          <w:iCs/>
        </w:rPr>
        <w:t xml:space="preserve">in concreto. </w:t>
      </w:r>
      <w:r w:rsidRPr="007056DD">
        <w:rPr>
          <w:rFonts w:ascii="Arial" w:hAnsi="Arial" w:cs="Arial"/>
        </w:rPr>
        <w:t>Zarzut strony w tym względzie jest gołosłowny. Strona jedynie ogólnikowo stwierdziła, że: „Brak orzeczenia o obowiązku zwrotu nienależnego świadczenia przeczy dotychczasowej praktyce Komisji, która stwierdzając wadliwość decyzji reprywatyzacyjnej wielokrotnie orzekała o obowiązku zwrotu równowartości świadczeń przez beneficjentów decyzji reprywatyzacyjnej".</w:t>
      </w:r>
    </w:p>
    <w:p w14:paraId="0315C7DC" w14:textId="77777777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2BC02BCA" w14:textId="44F1FC5A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  <w:i/>
          <w:iCs/>
        </w:rPr>
      </w:pPr>
      <w:r w:rsidRPr="007056DD">
        <w:rPr>
          <w:rFonts w:ascii="Arial" w:hAnsi="Arial" w:cs="Arial"/>
        </w:rPr>
        <w:t xml:space="preserve">Niezależnie od powyższego należy wskazać, że w ustawie z 9 marca 2017 r. w art. 38 ust. 1 wyłączono w toku postępowań przed Komisją stosowanie art. 8 </w:t>
      </w:r>
      <w:r w:rsidR="00973FA9">
        <w:rPr>
          <w:rFonts w:ascii="Arial" w:hAnsi="Arial" w:cs="Arial"/>
        </w:rPr>
        <w:t>paragraf</w:t>
      </w:r>
      <w:r w:rsidRPr="007056DD">
        <w:rPr>
          <w:rFonts w:ascii="Arial" w:hAnsi="Arial" w:cs="Arial"/>
        </w:rPr>
        <w:t xml:space="preserve"> 2 k.p.a., stanowiącego, że </w:t>
      </w:r>
      <w:r w:rsidRPr="007056DD">
        <w:rPr>
          <w:rFonts w:ascii="Arial" w:hAnsi="Arial" w:cs="Arial"/>
          <w:i/>
          <w:iCs/>
        </w:rPr>
        <w:t>„Organy administracji publicznej bez uzasadnionej przyczyny nie odstępują od utrwalonej praktyki rozstrzygania spraw w takim samym stanie faktycznym i prawnym".</w:t>
      </w:r>
    </w:p>
    <w:p w14:paraId="3407359A" w14:textId="77777777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59C4CBC0" w14:textId="249645F9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7056DD">
        <w:rPr>
          <w:rFonts w:ascii="Arial" w:hAnsi="Arial" w:cs="Arial"/>
        </w:rPr>
        <w:t xml:space="preserve">Na marginesie należy wskazać stanowisko wyrażone w doktrynie: „«źródłem» praktyki oraz jej ugruntowania w procedurze administracyjnej jest postępowanie organu, a nie wiedza wnioskodawcy w tym zakresie" (por. B. Kwiatek, </w:t>
      </w:r>
      <w:r w:rsidRPr="007056DD">
        <w:rPr>
          <w:rFonts w:ascii="Arial" w:hAnsi="Arial" w:cs="Arial"/>
          <w:i/>
          <w:iCs/>
        </w:rPr>
        <w:t xml:space="preserve">Utrwalona praktyka rozstrzygania spraw w ogólnym postępowaniu administracyjnym, </w:t>
      </w:r>
      <w:proofErr w:type="spellStart"/>
      <w:r w:rsidRPr="007056DD">
        <w:rPr>
          <w:rFonts w:ascii="Arial" w:hAnsi="Arial" w:cs="Arial"/>
        </w:rPr>
        <w:t>Kw.Pr</w:t>
      </w:r>
      <w:proofErr w:type="spellEnd"/>
      <w:r w:rsidRPr="007056DD">
        <w:rPr>
          <w:rFonts w:ascii="Arial" w:hAnsi="Arial" w:cs="Arial"/>
        </w:rPr>
        <w:t>. Pub. 2017/1/45-58).</w:t>
      </w:r>
    </w:p>
    <w:p w14:paraId="5B27E558" w14:textId="77777777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31DC8833" w14:textId="58789F80" w:rsidR="007056DD" w:rsidRPr="009A67F5" w:rsidRDefault="000F6C54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A2643A">
        <w:rPr>
          <w:rFonts w:ascii="Arial" w:hAnsi="Arial" w:cs="Arial"/>
          <w:b/>
          <w:bCs/>
        </w:rPr>
        <w:t>Punkt trzeci</w:t>
      </w:r>
      <w:r w:rsidR="00A2643A" w:rsidRPr="00A2643A">
        <w:rPr>
          <w:rFonts w:ascii="Arial" w:hAnsi="Arial" w:cs="Arial"/>
          <w:b/>
          <w:bCs/>
        </w:rPr>
        <w:t>.</w:t>
      </w:r>
      <w:r w:rsidR="007056DD" w:rsidRPr="007056DD">
        <w:rPr>
          <w:rFonts w:ascii="Arial" w:hAnsi="Arial" w:cs="Arial"/>
          <w:b/>
          <w:bCs/>
        </w:rPr>
        <w:t xml:space="preserve"> </w:t>
      </w:r>
      <w:r w:rsidR="007056DD" w:rsidRPr="007056DD">
        <w:rPr>
          <w:rFonts w:ascii="Arial" w:hAnsi="Arial" w:cs="Arial"/>
        </w:rPr>
        <w:t>Należy zauważyć, że na podstawie art. 2 ustawy z dnia 17 września 2020 r. o zmianie ustawy o szczególnych zasadach usuwania skutków prawnych decyzji reprywatyzacyjnych dotyczących  nieruchomości   warszawskich,   wydanych  z naruszeniem   prawa, ustawy</w:t>
      </w:r>
      <w:r w:rsidR="007056DD" w:rsidRPr="009A67F5">
        <w:rPr>
          <w:rFonts w:ascii="Arial" w:hAnsi="Arial" w:cs="Arial"/>
        </w:rPr>
        <w:t xml:space="preserve"> o </w:t>
      </w:r>
      <w:r w:rsidR="007056DD" w:rsidRPr="007056DD">
        <w:rPr>
          <w:rFonts w:ascii="Arial" w:hAnsi="Arial" w:cs="Arial"/>
        </w:rPr>
        <w:t>komercjalizacji i niektórych uprawnieniach pracowników oraz ustawy o gospodarce nieruchomościami (Dz. U. z 2020 r. poz. 1709) dokonano zmiany art. 56 ustawy z dnia 30 sierpnia 1996 r. o komercjalizacji i niektórych uprawnieniach pracowników (Dz. U. z 2019 r. poz. 2181 oraz z 2020 r. poz. 284 i 875). Zgodnie ze znowelizowaną treścią ww. przepisu w ust.</w:t>
      </w:r>
      <w:r w:rsidR="007056DD" w:rsidRPr="009A67F5">
        <w:rPr>
          <w:rFonts w:ascii="Arial" w:hAnsi="Arial" w:cs="Arial"/>
        </w:rPr>
        <w:t xml:space="preserve"> </w:t>
      </w:r>
      <w:r w:rsidR="0056776A" w:rsidRPr="009A67F5">
        <w:rPr>
          <w:rFonts w:ascii="Arial" w:hAnsi="Arial" w:cs="Arial"/>
        </w:rPr>
        <w:t xml:space="preserve">1 </w:t>
      </w:r>
      <w:r w:rsidR="007056DD" w:rsidRPr="009A67F5">
        <w:rPr>
          <w:rFonts w:ascii="Arial" w:hAnsi="Arial" w:cs="Arial"/>
        </w:rPr>
        <w:t>art. 56 wprowadzenie do wyliczenia otrzymuje brzmienie:</w:t>
      </w:r>
    </w:p>
    <w:p w14:paraId="7461DB20" w14:textId="4F36438D" w:rsidR="007056DD" w:rsidRPr="007056DD" w:rsidRDefault="007056DD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  <w:i/>
          <w:iCs/>
        </w:rPr>
      </w:pPr>
      <w:r w:rsidRPr="007056DD">
        <w:rPr>
          <w:rFonts w:ascii="Arial" w:hAnsi="Arial" w:cs="Arial"/>
        </w:rPr>
        <w:lastRenderedPageBreak/>
        <w:t>„Z</w:t>
      </w:r>
      <w:r w:rsidR="0056776A" w:rsidRPr="009A67F5">
        <w:rPr>
          <w:rFonts w:ascii="Arial" w:hAnsi="Arial" w:cs="Arial"/>
        </w:rPr>
        <w:t xml:space="preserve"> </w:t>
      </w:r>
      <w:r w:rsidRPr="007056DD">
        <w:rPr>
          <w:rFonts w:ascii="Arial" w:hAnsi="Arial" w:cs="Arial"/>
          <w:i/>
          <w:iCs/>
        </w:rPr>
        <w:t>przychodów uzyskanych ze zbycia akcji lub udziałów należących do Skarbu Państwa tworzy się państwowy fundusz celowy pod nazwą Fundusz Reprywatyzacji, na rachunku którego są gromadzone środki pochodzące ze sprzedaży 5% akcji należących do Skarbu Państwa w każdej ze spółek powstałych w wyniku komercjalizacji, środki z tytułu świadczeń należnych Skarbowi Państwa, o których mowa w art. 31 ust. 1, art. 31a oraz art. 39 ust. 3 ustawy z dnia 9 marca 2017 r. o szczególnych zasadach usuwania skutków prawnych decyzji reprywatyzacyjnych dotyczących nieruchomości warszawskich, wydanych z naruszeniem prawa (Dz. U. z 2018 r. poz. 2267 oraz z 2020 r. poz. 1709), a także odsetki od środków na rachunku Funduszu, z przeznaczeniem na cele związane z zaspokajaniem roszczeń byłych właścicieli mienia przejętego przez Skarb Państwa oraz wypłatę odszkodowań łub zadośćuczy</w:t>
      </w:r>
      <w:r w:rsidRPr="007056DD">
        <w:rPr>
          <w:rFonts w:ascii="Arial" w:hAnsi="Arial" w:cs="Arial"/>
          <w:i/>
          <w:iCs/>
        </w:rPr>
        <w:softHyphen/>
        <w:t>nień, o których mowa w art. 33 ustawy z dnia 9 marca 2017 r. o szczególnych zasadach usuwania skutków prawnych decyzji reprywatyzacyjnych dotyczących nieruchomości warszawskich, wydanych z naruszeniem</w:t>
      </w:r>
      <w:r w:rsidR="0056776A" w:rsidRPr="009A67F5">
        <w:rPr>
          <w:rFonts w:ascii="Arial" w:hAnsi="Arial" w:cs="Arial"/>
          <w:i/>
          <w:iCs/>
        </w:rPr>
        <w:t xml:space="preserve"> </w:t>
      </w:r>
      <w:r w:rsidRPr="007056DD">
        <w:rPr>
          <w:rFonts w:ascii="Arial" w:hAnsi="Arial" w:cs="Arial"/>
          <w:i/>
          <w:iCs/>
        </w:rPr>
        <w:t>prawa,(...) ".</w:t>
      </w:r>
    </w:p>
    <w:p w14:paraId="0F8C71CF" w14:textId="69204938" w:rsidR="007056DD" w:rsidRPr="007056DD" w:rsidRDefault="007056DD" w:rsidP="009A67F5">
      <w:pPr>
        <w:pStyle w:val="Style11"/>
        <w:tabs>
          <w:tab w:val="left" w:pos="6792"/>
          <w:tab w:val="left" w:pos="8501"/>
        </w:tabs>
        <w:jc w:val="left"/>
        <w:rPr>
          <w:rFonts w:ascii="Arial" w:hAnsi="Arial" w:cs="Arial"/>
        </w:rPr>
      </w:pPr>
    </w:p>
    <w:p w14:paraId="3AAD6DFE" w14:textId="77777777" w:rsidR="0056776A" w:rsidRPr="0056776A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56776A">
        <w:rPr>
          <w:rFonts w:ascii="Arial" w:hAnsi="Arial" w:cs="Arial"/>
        </w:rPr>
        <w:t xml:space="preserve">Przepis ten wyraźnie wskazuje, że środkami z tytułu świadczeń należnych Skarbowi Państwa są świadczenia nałożone na podstawie art. 31 ust. 1 ustawy z 9 marca 2017 r. w związku z nałożeniem obowiązku zwrotu równowartości nienależnego świadczenia. Zatem zgodnie z nowelizacją na podstawie ustawy z 17 września 2020 r. obowiązek zwrotu nastąpiłby </w:t>
      </w:r>
      <w:r w:rsidRPr="0056776A">
        <w:rPr>
          <w:rFonts w:ascii="Arial" w:hAnsi="Arial" w:cs="Arial"/>
          <w:i/>
          <w:iCs/>
        </w:rPr>
        <w:t xml:space="preserve">de facto </w:t>
      </w:r>
      <w:r w:rsidRPr="0056776A">
        <w:rPr>
          <w:rFonts w:ascii="Arial" w:hAnsi="Arial" w:cs="Arial"/>
        </w:rPr>
        <w:t>na rzecz Skarbu Państwa, a nie na rzecz Miasta Stołecznego Warszawy.</w:t>
      </w:r>
    </w:p>
    <w:p w14:paraId="2A61775A" w14:textId="77777777" w:rsidR="0056776A" w:rsidRPr="0056776A" w:rsidRDefault="0056776A" w:rsidP="009A67F5">
      <w:pPr>
        <w:pStyle w:val="Style11"/>
        <w:tabs>
          <w:tab w:val="left" w:pos="6792"/>
          <w:tab w:val="left" w:pos="8501"/>
        </w:tabs>
        <w:jc w:val="left"/>
        <w:rPr>
          <w:rFonts w:ascii="Arial" w:hAnsi="Arial" w:cs="Arial"/>
        </w:rPr>
      </w:pPr>
    </w:p>
    <w:p w14:paraId="03339975" w14:textId="5F68A977" w:rsidR="0056776A" w:rsidRPr="009A67F5" w:rsidRDefault="00A2643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Punkt czwarty.</w:t>
      </w:r>
      <w:r w:rsidR="0056776A" w:rsidRPr="009A67F5">
        <w:rPr>
          <w:rFonts w:ascii="Arial" w:hAnsi="Arial" w:cs="Arial"/>
          <w:b/>
          <w:bCs/>
        </w:rPr>
        <w:t xml:space="preserve"> </w:t>
      </w:r>
      <w:r w:rsidR="0056776A" w:rsidRPr="0056776A">
        <w:rPr>
          <w:rFonts w:ascii="Arial" w:hAnsi="Arial" w:cs="Arial"/>
        </w:rPr>
        <w:t>Zdaniem Komisji decyzje Prezydenta m.st Warszawy ustanawiające prawo użytkowania wieczystego, zawierały błędy powstałe w wyniku nieprawidłowego ustalenia kręgu stron, a następnie w wyniku wadliwej próby sanacji w trybie art. 155 k.p.a. Aktualnie m.st. Warszawa chce przerzucić swoje obowiązki związane z dbaniem o majątek komunalny na inny organ (Komisję), mimo swoich zaniedbań.</w:t>
      </w:r>
    </w:p>
    <w:p w14:paraId="6A588C94" w14:textId="6215ED7E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187B2F22" w14:textId="7683F4CB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56776A">
        <w:rPr>
          <w:rFonts w:ascii="Arial" w:hAnsi="Arial" w:cs="Arial"/>
        </w:rPr>
        <w:t xml:space="preserve">Strona - m.st. Warszawa - wskazuje, że wysokość nienależnego świadczenia, podlegającego zwrotowi, winna odpowiadać cenie sprzedaży przez beneficjentkę decyzji reprywatyzacyjnej praw do przedmiotowej nieruchomości na rzecz spółki pod firmą A sp. z </w:t>
      </w:r>
      <w:r w:rsidRPr="0056776A">
        <w:rPr>
          <w:rFonts w:ascii="Arial" w:hAnsi="Arial" w:cs="Arial"/>
        </w:rPr>
        <w:lastRenderedPageBreak/>
        <w:t xml:space="preserve">o.o., na podstawie umów z dnia 24 października 2009 r. (dot. dz. ew. nr ) oraz z dnia 22 lipca 2010 r. i z dnia 14 marca 2011 r. (dot. dz. ew. nr     </w:t>
      </w:r>
      <w:r w:rsidRPr="009A67F5">
        <w:rPr>
          <w:rFonts w:ascii="Arial" w:hAnsi="Arial" w:cs="Arial"/>
        </w:rPr>
        <w:t>i nr).</w:t>
      </w:r>
    </w:p>
    <w:p w14:paraId="3F52F892" w14:textId="6D16D75F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2606193D" w14:textId="77777777" w:rsidR="0056776A" w:rsidRPr="0056776A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56776A">
        <w:rPr>
          <w:rFonts w:ascii="Arial" w:hAnsi="Arial" w:cs="Arial"/>
        </w:rPr>
        <w:t>Brak jest natomiast uzasadnienia, w jaki sposób osoby biorące udział w ww. transakcjach swoim działaniem doprowadziły do wydania wadliwych decyzji. Z wniosku o uzupełnienie decyzji nie wynika, co konkretnie przemawia za koniecznością takiego uzupełnienia decyzji Komisji.</w:t>
      </w:r>
    </w:p>
    <w:p w14:paraId="20514BA7" w14:textId="700CC015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164B1958" w14:textId="77777777" w:rsidR="0056776A" w:rsidRPr="0056776A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56776A">
        <w:rPr>
          <w:rFonts w:ascii="Arial" w:hAnsi="Arial" w:cs="Arial"/>
        </w:rPr>
        <w:t>Ponadto, powszechnie wiadomym jest, że wartość nieruchomości zmienia się z upływem czasu. Miasto Stołeczne Warszawa optuje za przyjęciem określonych kwot zaczerpniętych z aktów notarialnych sprzed 10 lub więcej lat, gdy tymczasem wartość nieruchomości na przestrzeni lat wyraźnie się zmieniała. Mimo tego, we wniosku brak jest choćby cienia argumentacji, czy w ogóle, a jeśli tak, to na jakiej podstawie, dokonać waloryzacji tych kwot oraz czy w takich okolicznościach wymagałoby to na przykład powołania biegłego. Wydaje się, że strona chce przerzucić ciężar poczynienia takich ustaleń na Komisję, nie wskazując jak należałoby potraktować takie wątpliwości.</w:t>
      </w:r>
    </w:p>
    <w:p w14:paraId="4B51237B" w14:textId="77777777" w:rsidR="00A2643A" w:rsidRDefault="00A2643A" w:rsidP="00A2643A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34AF3518" w14:textId="78F52C8A" w:rsidR="0056776A" w:rsidRPr="0056776A" w:rsidRDefault="00A2643A" w:rsidP="00A2643A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  <w:b/>
          <w:bCs/>
        </w:rPr>
      </w:pPr>
      <w:r w:rsidRPr="00A2643A">
        <w:rPr>
          <w:rFonts w:ascii="Arial" w:hAnsi="Arial" w:cs="Arial"/>
          <w:b/>
          <w:bCs/>
        </w:rPr>
        <w:t>Punkt piąty.</w:t>
      </w:r>
      <w:r>
        <w:rPr>
          <w:rFonts w:ascii="Arial" w:hAnsi="Arial" w:cs="Arial"/>
        </w:rPr>
        <w:t xml:space="preserve"> </w:t>
      </w:r>
      <w:r w:rsidR="0056776A" w:rsidRPr="0056776A">
        <w:rPr>
          <w:rFonts w:ascii="Arial" w:hAnsi="Arial" w:cs="Arial"/>
        </w:rPr>
        <w:t>Nie można nie zauważyć, że Komisja prawidłowo zawiadamiała stronę o możliwości zapoznania się z aktami oraz o możliwości składania wniosków. Tymczasem strona - m.st. Warszawa - nie wnosiła wówczas o zawarcie w przyszłej decyzji orzeczenia o zwrocie nienależnego świadczenia, nie wnosiła też o powołanie biegłego, ani nie kierowała w ogóle żądań pod adresem Komisji, w których przyznałaby, że jej decyzje były wadliwe.</w:t>
      </w:r>
    </w:p>
    <w:p w14:paraId="1355A195" w14:textId="11C4E064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2A41801D" w14:textId="6AC06775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56776A">
        <w:rPr>
          <w:rFonts w:ascii="Arial" w:hAnsi="Arial" w:cs="Arial"/>
        </w:rPr>
        <w:t xml:space="preserve">Tak samo jak w innych tego typu wnioskach m.st. Warszawa nie wskazuje, jakie konkretnie okoliczności przemawiają za obciążeniem obowiązkiem zwrotu nienależnego świadczenia beneficjentkę decyzji. Nie wskazano też żadnych okoliczności, z których wynika, że strony </w:t>
      </w:r>
      <w:r w:rsidRPr="009A67F5">
        <w:rPr>
          <w:rFonts w:ascii="Arial" w:hAnsi="Arial" w:cs="Arial"/>
        </w:rPr>
        <w:t xml:space="preserve">przyczyniły się do wydania wadliwej decyzji. </w:t>
      </w:r>
    </w:p>
    <w:p w14:paraId="724DF653" w14:textId="33EFD3E7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12328356" w14:textId="2C899D1E" w:rsidR="009A67F5" w:rsidRPr="009A67F5" w:rsidRDefault="00A2643A" w:rsidP="00A2643A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  <w:b/>
          <w:bCs/>
        </w:rPr>
      </w:pPr>
      <w:r w:rsidRPr="00A2643A">
        <w:rPr>
          <w:rFonts w:ascii="Arial" w:hAnsi="Arial" w:cs="Arial"/>
          <w:b/>
          <w:bCs/>
        </w:rPr>
        <w:t>Punkt szósty.</w:t>
      </w:r>
      <w:r>
        <w:rPr>
          <w:rFonts w:ascii="Arial" w:hAnsi="Arial" w:cs="Arial"/>
        </w:rPr>
        <w:t xml:space="preserve"> </w:t>
      </w:r>
      <w:r w:rsidR="009A67F5" w:rsidRPr="009A67F5">
        <w:rPr>
          <w:rFonts w:ascii="Arial" w:hAnsi="Arial" w:cs="Arial"/>
        </w:rPr>
        <w:t xml:space="preserve">Powyższa rozbudowana argumentacja Komisji stanowi, że wniosek strony m.st. Warszawy o braku dokonania jakichkolwiek rozważań na temat zastosowania </w:t>
      </w:r>
      <w:r w:rsidR="009A67F5" w:rsidRPr="009A67F5">
        <w:rPr>
          <w:rFonts w:ascii="Arial" w:hAnsi="Arial" w:cs="Arial"/>
        </w:rPr>
        <w:lastRenderedPageBreak/>
        <w:t>instytucji zwrotu równowartości nienależnego świadczenia w niniejszej sprawie przedstawia się jako wniosek nieuprawniony.</w:t>
      </w:r>
    </w:p>
    <w:p w14:paraId="12A1013D" w14:textId="401623F8" w:rsidR="0056776A" w:rsidRPr="009A67F5" w:rsidRDefault="0056776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2C6EB457" w14:textId="2E093FE1" w:rsidR="009A67F5" w:rsidRPr="009A67F5" w:rsidRDefault="009A67F5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78F758C7" w14:textId="77777777" w:rsidR="009A67F5" w:rsidRPr="009A67F5" w:rsidRDefault="009A67F5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9A67F5">
        <w:rPr>
          <w:rFonts w:ascii="Arial" w:hAnsi="Arial" w:cs="Arial"/>
        </w:rPr>
        <w:t xml:space="preserve">Ponadto należy wskazać na stanowisko wyrażone w doktrynie: „Zdolność do tego, aby zostać adresatem określają przesłanki obiektywne, tj. ścisły związek z postępowaniem i decyzją reprywatyzacyjną albo nabycie roszczenia, prawa własności lub użytkowania wieczystego lub faktyczne władanie zreprywatyzowaną nieruchomością </w:t>
      </w:r>
      <w:r w:rsidRPr="009A67F5">
        <w:rPr>
          <w:rFonts w:ascii="Arial" w:hAnsi="Arial" w:cs="Arial"/>
          <w:b/>
          <w:bCs/>
        </w:rPr>
        <w:t xml:space="preserve">oraz przesłanka stricte subiektywna, tj. zła wiara. </w:t>
      </w:r>
      <w:r w:rsidRPr="009A67F5">
        <w:rPr>
          <w:rFonts w:ascii="Arial" w:hAnsi="Arial" w:cs="Arial"/>
        </w:rPr>
        <w:t xml:space="preserve">Wyłączenie możliwości ustalenia obowiązku zwrotu nienależnego świadczenia wobec podmiotów będących w dobrej wierze w momencie nabycia prawa jest następstwem określonej wart. 5 ustawy z 6.07.1982 r. o księgach wieczystych i hipotece rękojmi wiary publicznej ksiąg wieczystych, która pełni funkcję ochrony pewności obrotu oraz interes publiczny Ustawa o Komisji zawiera autonomiczną definicję „złej wiary" (zob. art. 41 ust. 3). (por. A. Dałkowska [w:] A. Dałkowska (red.), </w:t>
      </w:r>
      <w:r w:rsidRPr="009A67F5">
        <w:rPr>
          <w:rFonts w:ascii="Arial" w:hAnsi="Arial" w:cs="Arial"/>
          <w:i/>
          <w:iCs/>
        </w:rPr>
        <w:t xml:space="preserve">Szczególne zasady usuwania skutków prawnych decyzji reprywatyzacyjnych dotyczących nieruchomości warszawskich, wydanych z naruszeniem prawa. Komentarz do wybranych przepisów, </w:t>
      </w:r>
      <w:r w:rsidRPr="009A67F5">
        <w:rPr>
          <w:rFonts w:ascii="Arial" w:hAnsi="Arial" w:cs="Arial"/>
        </w:rPr>
        <w:t>art. 31, teza 7.2).</w:t>
      </w:r>
    </w:p>
    <w:p w14:paraId="33E45F26" w14:textId="26398EAD" w:rsidR="009A67F5" w:rsidRPr="009A67F5" w:rsidRDefault="009A67F5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783239F2" w14:textId="7501AC4E" w:rsidR="009A67F5" w:rsidRPr="009A67F5" w:rsidRDefault="009A67F5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  <w:r w:rsidRPr="009A67F5">
        <w:rPr>
          <w:rFonts w:ascii="Arial" w:hAnsi="Arial" w:cs="Arial"/>
        </w:rPr>
        <w:t>Wobec powyższego należy podkreślić, że w punkcie 3.3 uzasadnienia decyzji Komisja nie pominęła rozważań na temat dobrej i złej wiary. Wskazuje na to fragment decyzji w którym Komisja wyjaśnia: „Ze zgromadzonego w sprawie materiału dowodowego nie wynika, by beneficjentka była powiązana z wyżej wskazaną spółką. Nie ma dokumentów świadczących o tym, że Spółka wiedziała o okolicznościach niniejszej sprawy, o których mowa w art. 30 ust. 1 ustawy bądź też z łatwością mogła się o nich dowiedzieć. Nie ma więc podstaw aby w tej sprawie przypisać spółce A     sp. z o.o. złą wiarę".</w:t>
      </w:r>
    </w:p>
    <w:p w14:paraId="381C5A17" w14:textId="77777777" w:rsidR="00A2643A" w:rsidRDefault="00A2643A" w:rsidP="00A2643A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27B3CA5B" w14:textId="367860AB" w:rsidR="009A67F5" w:rsidRPr="009A67F5" w:rsidRDefault="00A2643A" w:rsidP="00A2643A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  <w:b/>
          <w:bCs/>
        </w:rPr>
      </w:pPr>
      <w:r w:rsidRPr="00A2643A">
        <w:rPr>
          <w:rFonts w:ascii="Arial" w:hAnsi="Arial" w:cs="Arial"/>
          <w:b/>
          <w:bCs/>
        </w:rPr>
        <w:t>Punkt siódmy.</w:t>
      </w:r>
      <w:r>
        <w:rPr>
          <w:rFonts w:ascii="Arial" w:hAnsi="Arial" w:cs="Arial"/>
        </w:rPr>
        <w:t xml:space="preserve"> </w:t>
      </w:r>
      <w:r w:rsidR="009A67F5" w:rsidRPr="009A67F5">
        <w:rPr>
          <w:rFonts w:ascii="Arial" w:hAnsi="Arial" w:cs="Arial"/>
        </w:rPr>
        <w:t>Na koniec należy wskazać, że decyzja Komisji z dnia 31 sierpnia 2021 r. nie zamyka Miastu Stołecznemu Warszawie dochodzenia ewentualnych roszczeń na drodze postępowania cywilnego przed sądami powszechnymi.</w:t>
      </w:r>
    </w:p>
    <w:p w14:paraId="55EED2B9" w14:textId="143837AC" w:rsidR="009A67F5" w:rsidRPr="009A67F5" w:rsidRDefault="009A67F5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1403E863" w14:textId="4496369B" w:rsidR="009A67F5" w:rsidRPr="009A67F5" w:rsidRDefault="00A2643A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  <w:b/>
          <w:bCs/>
        </w:rPr>
      </w:pPr>
      <w:r w:rsidRPr="00A2643A">
        <w:rPr>
          <w:rFonts w:ascii="Arial" w:hAnsi="Arial" w:cs="Arial"/>
          <w:b/>
          <w:bCs/>
        </w:rPr>
        <w:t>Punkt ósmy.</w:t>
      </w:r>
      <w:r>
        <w:rPr>
          <w:rFonts w:ascii="Arial" w:hAnsi="Arial" w:cs="Arial"/>
        </w:rPr>
        <w:t xml:space="preserve"> </w:t>
      </w:r>
      <w:r w:rsidR="009A67F5" w:rsidRPr="009A67F5">
        <w:rPr>
          <w:rFonts w:ascii="Arial" w:hAnsi="Arial" w:cs="Arial"/>
        </w:rPr>
        <w:t>Wobec powyższego, orzeczono jak w osnowie postanowienia.</w:t>
      </w:r>
    </w:p>
    <w:p w14:paraId="4BBC7ABB" w14:textId="77777777" w:rsidR="009A67F5" w:rsidRPr="009A67F5" w:rsidRDefault="009A67F5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092337E7" w14:textId="77777777" w:rsidR="009A67F5" w:rsidRPr="0056776A" w:rsidRDefault="009A67F5" w:rsidP="009A67F5">
      <w:pPr>
        <w:pStyle w:val="Style11"/>
        <w:tabs>
          <w:tab w:val="left" w:pos="6792"/>
          <w:tab w:val="left" w:pos="8501"/>
        </w:tabs>
        <w:ind w:firstLine="0"/>
        <w:jc w:val="left"/>
        <w:rPr>
          <w:rFonts w:ascii="Arial" w:hAnsi="Arial" w:cs="Arial"/>
        </w:rPr>
      </w:pPr>
    </w:p>
    <w:p w14:paraId="2DF183D4" w14:textId="77777777" w:rsidR="00461A92" w:rsidRPr="009A67F5" w:rsidRDefault="00461A92" w:rsidP="009A67F5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9A67F5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24303D72" w14:textId="77777777" w:rsidR="009A67F5" w:rsidRPr="009A67F5" w:rsidRDefault="009A67F5" w:rsidP="009A67F5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4370660" w14:textId="7EC69ADE" w:rsidR="00461A92" w:rsidRPr="009A67F5" w:rsidRDefault="00461A92" w:rsidP="009A67F5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9A67F5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3DFC51B0" w14:textId="77777777" w:rsidR="00461A92" w:rsidRPr="009A67F5" w:rsidRDefault="00461A92" w:rsidP="009A67F5">
      <w:pPr>
        <w:pStyle w:val="Style8"/>
        <w:spacing w:line="360" w:lineRule="auto"/>
        <w:ind w:firstLine="0"/>
        <w:jc w:val="left"/>
        <w:rPr>
          <w:rFonts w:ascii="Arial" w:hAnsi="Arial" w:cs="Arial"/>
          <w:sz w:val="32"/>
          <w:szCs w:val="32"/>
        </w:rPr>
      </w:pPr>
    </w:p>
    <w:p w14:paraId="59C4D9ED" w14:textId="77777777" w:rsidR="00756B47" w:rsidRDefault="009A67F5" w:rsidP="00756B4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A67F5">
        <w:rPr>
          <w:rFonts w:ascii="Arial" w:hAnsi="Arial" w:cs="Arial"/>
          <w:b/>
          <w:bCs/>
          <w:sz w:val="28"/>
          <w:szCs w:val="28"/>
        </w:rPr>
        <w:t>Pouczenie:</w:t>
      </w:r>
    </w:p>
    <w:p w14:paraId="4275090F" w14:textId="798CEC22" w:rsidR="009A67F5" w:rsidRPr="009A67F5" w:rsidRDefault="00756B47" w:rsidP="00756B4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56B47">
        <w:rPr>
          <w:rFonts w:ascii="Arial" w:hAnsi="Arial" w:cs="Arial"/>
          <w:sz w:val="24"/>
          <w:szCs w:val="24"/>
        </w:rPr>
        <w:t>Punkt pierwszy.</w:t>
      </w:r>
      <w:r w:rsidRPr="00756B47">
        <w:rPr>
          <w:rFonts w:ascii="Arial" w:hAnsi="Arial" w:cs="Arial"/>
          <w:b/>
          <w:bCs/>
          <w:sz w:val="24"/>
          <w:szCs w:val="24"/>
        </w:rPr>
        <w:t xml:space="preserve"> </w:t>
      </w:r>
      <w:r w:rsidR="009A67F5" w:rsidRPr="009A67F5">
        <w:rPr>
          <w:rFonts w:ascii="Arial" w:hAnsi="Arial" w:cs="Arial"/>
          <w:sz w:val="24"/>
          <w:szCs w:val="24"/>
        </w:rPr>
        <w:t xml:space="preserve">Zgodnie z art. 10 ust. 4 ustawy z 9 marca 2017 r. od niniejszego postanowienia </w:t>
      </w:r>
      <w:r w:rsidR="009A67F5" w:rsidRPr="009A67F5">
        <w:rPr>
          <w:rFonts w:ascii="Arial" w:hAnsi="Arial" w:cs="Arial"/>
          <w:b/>
          <w:bCs/>
          <w:sz w:val="24"/>
          <w:szCs w:val="24"/>
        </w:rPr>
        <w:t xml:space="preserve">nie przysługuje środek zaskarżenia. </w:t>
      </w:r>
      <w:r w:rsidR="009A67F5" w:rsidRPr="009A67F5">
        <w:rPr>
          <w:rFonts w:ascii="Arial" w:hAnsi="Arial" w:cs="Arial"/>
          <w:sz w:val="24"/>
          <w:szCs w:val="24"/>
        </w:rPr>
        <w:t>Zgodnie z art. 16 ust. 3 i 4 tej ustawy zawiadomienie o wydaniu postanowienia uważa się za dokonane po upływie 7 dni od dnia publicznego ogłoszenia.</w:t>
      </w:r>
    </w:p>
    <w:p w14:paraId="1EE94EB5" w14:textId="4665F480" w:rsidR="009A67F5" w:rsidRPr="009A67F5" w:rsidRDefault="00756B47" w:rsidP="00756B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drugi. </w:t>
      </w:r>
      <w:r w:rsidR="009A67F5" w:rsidRPr="009A67F5">
        <w:rPr>
          <w:rFonts w:ascii="Arial" w:hAnsi="Arial" w:cs="Arial"/>
          <w:sz w:val="24"/>
          <w:szCs w:val="24"/>
        </w:rPr>
        <w:t xml:space="preserve">Zgodnie z art. 111 </w:t>
      </w:r>
      <w:r w:rsidR="00973FA9">
        <w:rPr>
          <w:rFonts w:ascii="Arial" w:hAnsi="Arial" w:cs="Arial"/>
          <w:sz w:val="24"/>
          <w:szCs w:val="24"/>
        </w:rPr>
        <w:t>paragraf</w:t>
      </w:r>
      <w:r w:rsidR="009A67F5" w:rsidRPr="009A67F5">
        <w:rPr>
          <w:rFonts w:ascii="Arial" w:hAnsi="Arial" w:cs="Arial"/>
          <w:sz w:val="24"/>
          <w:szCs w:val="24"/>
        </w:rPr>
        <w:t xml:space="preserve"> 1 b k.p.a. uzupełnienie lub odmowa uzupełnienia decyzji następuje w formie postanowienia; natomiast art. 111 </w:t>
      </w:r>
      <w:r w:rsidR="00973FA9">
        <w:rPr>
          <w:rFonts w:ascii="Arial" w:hAnsi="Arial" w:cs="Arial"/>
          <w:sz w:val="24"/>
          <w:szCs w:val="24"/>
        </w:rPr>
        <w:t>paragraf</w:t>
      </w:r>
      <w:r w:rsidR="009A67F5" w:rsidRPr="009A67F5">
        <w:rPr>
          <w:rFonts w:ascii="Arial" w:hAnsi="Arial" w:cs="Arial"/>
          <w:sz w:val="24"/>
          <w:szCs w:val="24"/>
        </w:rPr>
        <w:t xml:space="preserve"> 2 k.p.a. stanowi, że w przypadku wydania postanowienia, o którym mowa w </w:t>
      </w:r>
      <w:r w:rsidR="00973FA9">
        <w:rPr>
          <w:rFonts w:ascii="Arial" w:hAnsi="Arial" w:cs="Arial"/>
          <w:sz w:val="24"/>
          <w:szCs w:val="24"/>
        </w:rPr>
        <w:t>paragraf</w:t>
      </w:r>
      <w:r w:rsidR="009A67F5" w:rsidRPr="009A67F5">
        <w:rPr>
          <w:rFonts w:ascii="Arial" w:hAnsi="Arial" w:cs="Arial"/>
          <w:sz w:val="24"/>
          <w:szCs w:val="24"/>
        </w:rPr>
        <w:t xml:space="preserve"> lb, termin dla strony do wniesienia odwołania, powództwa lub skargi biegnie od dnia jego doręczenia lub ogłoszenia.</w:t>
      </w:r>
    </w:p>
    <w:p w14:paraId="13D6AB5A" w14:textId="77777777" w:rsidR="00EF0C8E" w:rsidRPr="009A67F5" w:rsidRDefault="00EF0C8E" w:rsidP="009A67F5">
      <w:pPr>
        <w:rPr>
          <w:rFonts w:ascii="Arial" w:hAnsi="Arial" w:cs="Arial"/>
        </w:rPr>
      </w:pPr>
    </w:p>
    <w:sectPr w:rsidR="00EF0C8E" w:rsidRPr="009A67F5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27F9"/>
    <w:multiLevelType w:val="singleLevel"/>
    <w:tmpl w:val="63FE6790"/>
    <w:lvl w:ilvl="0"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83B7A67"/>
    <w:multiLevelType w:val="singleLevel"/>
    <w:tmpl w:val="206C188A"/>
    <w:lvl w:ilvl="0">
      <w:start w:val="6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36621E"/>
    <w:multiLevelType w:val="singleLevel"/>
    <w:tmpl w:val="EC0065C2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91C6B2B"/>
    <w:multiLevelType w:val="singleLevel"/>
    <w:tmpl w:val="4BBAA458"/>
    <w:lvl w:ilvl="0">
      <w:start w:val="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E14711B"/>
    <w:multiLevelType w:val="singleLevel"/>
    <w:tmpl w:val="E5742770"/>
    <w:lvl w:ilvl="0">
      <w:start w:val="7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71F4D67"/>
    <w:multiLevelType w:val="hybridMultilevel"/>
    <w:tmpl w:val="2D26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53EBE"/>
    <w:multiLevelType w:val="singleLevel"/>
    <w:tmpl w:val="E5742770"/>
    <w:lvl w:ilvl="0">
      <w:start w:val="7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54F39D4"/>
    <w:multiLevelType w:val="singleLevel"/>
    <w:tmpl w:val="5A62C330"/>
    <w:lvl w:ilvl="0"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5"/>
    </w:lvlOverride>
  </w:num>
  <w:num w:numId="4">
    <w:abstractNumId w:val="1"/>
    <w:lvlOverride w:ilvl="0">
      <w:startOverride w:val="6"/>
    </w:lvlOverride>
  </w:num>
  <w:num w:numId="5">
    <w:abstractNumId w:val="7"/>
  </w:num>
  <w:num w:numId="6">
    <w:abstractNumId w:val="4"/>
    <w:lvlOverride w:ilvl="0">
      <w:startOverride w:val="7"/>
    </w:lvlOverride>
  </w:num>
  <w:num w:numId="7">
    <w:abstractNumId w:val="6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92"/>
    <w:rsid w:val="00026150"/>
    <w:rsid w:val="000F6C54"/>
    <w:rsid w:val="002A31BB"/>
    <w:rsid w:val="00362782"/>
    <w:rsid w:val="00461A92"/>
    <w:rsid w:val="0056776A"/>
    <w:rsid w:val="0063661C"/>
    <w:rsid w:val="006D1CAB"/>
    <w:rsid w:val="007056DD"/>
    <w:rsid w:val="00756B47"/>
    <w:rsid w:val="008D479F"/>
    <w:rsid w:val="00973FA9"/>
    <w:rsid w:val="009A67F5"/>
    <w:rsid w:val="00A2643A"/>
    <w:rsid w:val="00C50305"/>
    <w:rsid w:val="00C703ED"/>
    <w:rsid w:val="00C943F5"/>
    <w:rsid w:val="00CC6E4F"/>
    <w:rsid w:val="00E24E06"/>
    <w:rsid w:val="00ED7911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CDF7"/>
  <w15:chartTrackingRefBased/>
  <w15:docId w15:val="{CC6B745E-F94C-4AAF-95ED-0ABE64D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A92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6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1A92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6D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Domylnaczcionkaakapitu"/>
    <w:uiPriority w:val="99"/>
    <w:rsid w:val="006D1CAB"/>
    <w:rPr>
      <w:rFonts w:ascii="Times New Roman" w:hAnsi="Times New Roman" w:cs="Times New Roman" w:hint="default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62782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7056DD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7056DD"/>
    <w:pPr>
      <w:widowControl w:val="0"/>
      <w:autoSpaceDE w:val="0"/>
      <w:autoSpaceDN w:val="0"/>
      <w:adjustRightInd w:val="0"/>
      <w:spacing w:after="0" w:line="398" w:lineRule="exact"/>
      <w:ind w:firstLine="42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7056D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7056DD"/>
    <w:rPr>
      <w:rFonts w:ascii="Times New Roman" w:hAnsi="Times New Roman" w:cs="Times New Roman" w:hint="defaul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261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61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2189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Postanowienie_w_przedmiocie_odmowy_uzupełnienia_decyzji_nr_KR_III_R 7-21_z_dnia_13.10.2021_r._[udostępniono_w_BIP_dnia_18.10.2021 r.]_-_wersja cyfrowa</dc:title>
  <dc:subject/>
  <dc:creator>Nowak Damian  (DPA)</dc:creator>
  <cp:keywords/>
  <dc:description/>
  <cp:lastModifiedBy>Nowak Damian  (DPA)</cp:lastModifiedBy>
  <cp:revision>11</cp:revision>
  <dcterms:created xsi:type="dcterms:W3CDTF">2021-10-18T09:38:00Z</dcterms:created>
  <dcterms:modified xsi:type="dcterms:W3CDTF">2021-10-18T10:57:00Z</dcterms:modified>
</cp:coreProperties>
</file>