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548D" w14:textId="77777777" w:rsidR="007A0A3D" w:rsidRPr="00357AEA" w:rsidRDefault="00A1534B" w:rsidP="008927DE">
      <w:pPr>
        <w:jc w:val="center"/>
        <w:outlineLvl w:val="0"/>
      </w:pPr>
      <w:r w:rsidRPr="000375A6">
        <w:t xml:space="preserve">Raport </w:t>
      </w:r>
      <w:r w:rsidR="009D3D41" w:rsidRPr="000375A6">
        <w:t>końcowy z realizacji projektu</w:t>
      </w:r>
      <w:r w:rsidR="00CA79E4" w:rsidRPr="000375A6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357AEA" w14:paraId="342AACA1" w14:textId="77777777" w:rsidTr="000375A6">
        <w:tc>
          <w:tcPr>
            <w:tcW w:w="480" w:type="dxa"/>
          </w:tcPr>
          <w:p w14:paraId="7B987565" w14:textId="77777777" w:rsidR="007A0A3D" w:rsidRPr="00357AEA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357AEA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  <w:shd w:val="clear" w:color="auto" w:fill="auto"/>
          </w:tcPr>
          <w:p w14:paraId="22DC8B2B" w14:textId="77777777" w:rsidR="007A0A3D" w:rsidRPr="00357AEA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357AEA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  <w:shd w:val="clear" w:color="auto" w:fill="auto"/>
          </w:tcPr>
          <w:p w14:paraId="01D3C49F" w14:textId="77777777" w:rsidR="007A0A3D" w:rsidRPr="00357AEA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357AEA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1981500C" w14:textId="77777777" w:rsidTr="000375A6">
        <w:tc>
          <w:tcPr>
            <w:tcW w:w="480" w:type="dxa"/>
          </w:tcPr>
          <w:p w14:paraId="642D5E0D" w14:textId="77777777" w:rsidR="007A0A3D" w:rsidRPr="00357AEA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3B7E0718" w14:textId="77777777" w:rsidR="007A0A3D" w:rsidRPr="00357AEA" w:rsidRDefault="007A0A3D">
            <w:pPr>
              <w:rPr>
                <w:sz w:val="18"/>
                <w:szCs w:val="20"/>
              </w:rPr>
            </w:pPr>
            <w:r w:rsidRPr="00357AEA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  <w:shd w:val="clear" w:color="auto" w:fill="auto"/>
          </w:tcPr>
          <w:p w14:paraId="6CE2EC8C" w14:textId="77777777" w:rsidR="0093436D" w:rsidRPr="00357AEA" w:rsidRDefault="0093436D" w:rsidP="0093436D">
            <w:pPr>
              <w:jc w:val="both"/>
              <w:rPr>
                <w:i/>
                <w:sz w:val="18"/>
                <w:szCs w:val="20"/>
              </w:rPr>
            </w:pPr>
            <w:r w:rsidRPr="00357AEA">
              <w:rPr>
                <w:i/>
                <w:sz w:val="18"/>
                <w:szCs w:val="20"/>
              </w:rPr>
              <w:t xml:space="preserve">Cyfryzacja procesów </w:t>
            </w:r>
            <w:proofErr w:type="spellStart"/>
            <w:r w:rsidRPr="00357AEA">
              <w:rPr>
                <w:i/>
                <w:sz w:val="18"/>
                <w:szCs w:val="20"/>
              </w:rPr>
              <w:t>back</w:t>
            </w:r>
            <w:proofErr w:type="spellEnd"/>
            <w:r w:rsidRPr="00357AEA">
              <w:rPr>
                <w:i/>
                <w:sz w:val="18"/>
                <w:szCs w:val="20"/>
              </w:rPr>
              <w:t xml:space="preserve"> – </w:t>
            </w:r>
            <w:proofErr w:type="spellStart"/>
            <w:r w:rsidRPr="00357AEA">
              <w:rPr>
                <w:i/>
                <w:sz w:val="18"/>
                <w:szCs w:val="20"/>
              </w:rPr>
              <w:t>office</w:t>
            </w:r>
            <w:proofErr w:type="spellEnd"/>
            <w:r w:rsidRPr="00357AEA">
              <w:rPr>
                <w:i/>
                <w:sz w:val="18"/>
                <w:szCs w:val="20"/>
              </w:rPr>
              <w:t xml:space="preserve"> w Ośrodku Rozwoju Edukacji </w:t>
            </w:r>
          </w:p>
          <w:p w14:paraId="5899A5FA" w14:textId="77777777" w:rsidR="007A0A3D" w:rsidRPr="00357AEA" w:rsidRDefault="0093436D" w:rsidP="0093436D">
            <w:pPr>
              <w:jc w:val="both"/>
              <w:rPr>
                <w:i/>
                <w:sz w:val="18"/>
                <w:szCs w:val="20"/>
              </w:rPr>
            </w:pPr>
            <w:r w:rsidRPr="00357AEA">
              <w:rPr>
                <w:i/>
                <w:sz w:val="18"/>
                <w:szCs w:val="20"/>
              </w:rPr>
              <w:t>w Warszawie</w:t>
            </w:r>
          </w:p>
        </w:tc>
      </w:tr>
      <w:tr w:rsidR="007A0A3D" w:rsidRPr="002450C4" w14:paraId="4E876F84" w14:textId="77777777" w:rsidTr="00920CE8">
        <w:trPr>
          <w:trHeight w:val="265"/>
        </w:trPr>
        <w:tc>
          <w:tcPr>
            <w:tcW w:w="480" w:type="dxa"/>
          </w:tcPr>
          <w:p w14:paraId="10E8A93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8B14A93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5486B2D5" w14:textId="77777777" w:rsidR="001C611C" w:rsidRPr="00A1534B" w:rsidRDefault="0093436D" w:rsidP="0092099A">
            <w:pPr>
              <w:jc w:val="both"/>
              <w:rPr>
                <w:i/>
                <w:sz w:val="18"/>
                <w:szCs w:val="20"/>
              </w:rPr>
            </w:pPr>
            <w:r w:rsidRPr="0093436D">
              <w:rPr>
                <w:i/>
                <w:sz w:val="18"/>
                <w:szCs w:val="20"/>
              </w:rPr>
              <w:t>Ośrodek Rozwoju Edukacji w Warszawie</w:t>
            </w:r>
          </w:p>
        </w:tc>
      </w:tr>
      <w:tr w:rsidR="007A0A3D" w:rsidRPr="002450C4" w14:paraId="182900E5" w14:textId="77777777" w:rsidTr="00920CE8">
        <w:tc>
          <w:tcPr>
            <w:tcW w:w="480" w:type="dxa"/>
          </w:tcPr>
          <w:p w14:paraId="3CCE088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728DF68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060F6882" w14:textId="77777777" w:rsidR="007A0A3D" w:rsidRPr="002450C4" w:rsidRDefault="0093436D" w:rsidP="00FD074F">
            <w:pPr>
              <w:jc w:val="both"/>
              <w:rPr>
                <w:i/>
                <w:sz w:val="18"/>
                <w:szCs w:val="20"/>
              </w:rPr>
            </w:pPr>
            <w:r w:rsidRPr="0093436D">
              <w:rPr>
                <w:i/>
                <w:sz w:val="18"/>
                <w:szCs w:val="20"/>
              </w:rPr>
              <w:t>Informatyczne Centrum Edukacji i Nauki  (dawniej: Centrum Informatyczne Edukacji)</w:t>
            </w:r>
          </w:p>
        </w:tc>
      </w:tr>
      <w:tr w:rsidR="003B107D" w:rsidRPr="002450C4" w14:paraId="593327F6" w14:textId="77777777" w:rsidTr="00920CE8">
        <w:tc>
          <w:tcPr>
            <w:tcW w:w="480" w:type="dxa"/>
          </w:tcPr>
          <w:p w14:paraId="78141779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5D56555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569D48C4" w14:textId="7B20E696" w:rsidR="000636AA" w:rsidRPr="0010121B" w:rsidRDefault="000636AA" w:rsidP="000636AA">
            <w:pPr>
              <w:pStyle w:val="Other0"/>
            </w:pPr>
            <w:r w:rsidRPr="0010121B">
              <w:rPr>
                <w:bCs/>
                <w:color w:val="000000"/>
              </w:rPr>
              <w:t xml:space="preserve">Pierwotny planowany koszt realizacji projektu: </w:t>
            </w:r>
            <w:r w:rsidR="001A7A01" w:rsidRPr="001A7A01">
              <w:rPr>
                <w:bCs/>
                <w:color w:val="000000"/>
              </w:rPr>
              <w:t xml:space="preserve">3 341 592,99 zł </w:t>
            </w:r>
          </w:p>
          <w:p w14:paraId="6AFD6DB4" w14:textId="4DAF307B" w:rsidR="000636AA" w:rsidRPr="0010121B" w:rsidRDefault="000636AA" w:rsidP="000636AA">
            <w:pPr>
              <w:pStyle w:val="Other0"/>
            </w:pPr>
            <w:r w:rsidRPr="0010121B">
              <w:rPr>
                <w:bCs/>
                <w:color w:val="000000"/>
              </w:rPr>
              <w:t>Ostatni planowany koszt realizacji projektu</w:t>
            </w:r>
            <w:r w:rsidR="003E1A63">
              <w:rPr>
                <w:bCs/>
                <w:color w:val="000000"/>
              </w:rPr>
              <w:t xml:space="preserve"> </w:t>
            </w:r>
            <w:r w:rsidR="003E1A63" w:rsidRPr="001A7A01">
              <w:rPr>
                <w:bCs/>
                <w:color w:val="000000"/>
              </w:rPr>
              <w:t xml:space="preserve">3 341 592,99 </w:t>
            </w:r>
            <w:r w:rsidR="00965ADE">
              <w:rPr>
                <w:bCs/>
                <w:color w:val="000000"/>
              </w:rPr>
              <w:t xml:space="preserve">zł </w:t>
            </w:r>
          </w:p>
          <w:p w14:paraId="17667ED1" w14:textId="54E3B227" w:rsidR="000636AA" w:rsidRDefault="000636AA" w:rsidP="000636AA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  <w:color w:val="000000"/>
              </w:rPr>
              <w:t>Faktyczny koszt projektu:</w:t>
            </w:r>
            <w:r w:rsidRPr="005F48BC">
              <w:rPr>
                <w:b/>
                <w:bCs/>
                <w:iCs/>
              </w:rPr>
              <w:t xml:space="preserve"> </w:t>
            </w:r>
            <w:r w:rsidR="00965ADE" w:rsidRPr="00965ADE">
              <w:rPr>
                <w:b/>
                <w:bCs/>
                <w:iCs/>
                <w:color w:val="000000"/>
              </w:rPr>
              <w:t xml:space="preserve">3 288 848,25 </w:t>
            </w:r>
            <w:r>
              <w:rPr>
                <w:b/>
                <w:bCs/>
                <w:iCs/>
                <w:color w:val="000000"/>
              </w:rPr>
              <w:t>zł</w:t>
            </w:r>
            <w:r w:rsidR="00965ADE">
              <w:rPr>
                <w:b/>
                <w:bCs/>
                <w:iCs/>
                <w:color w:val="000000"/>
              </w:rPr>
              <w:t xml:space="preserve"> </w:t>
            </w:r>
            <w:r w:rsidR="00965ADE" w:rsidRPr="00965ADE">
              <w:rPr>
                <w:b/>
                <w:bCs/>
                <w:iCs/>
                <w:color w:val="000000"/>
              </w:rPr>
              <w:t>(dodatkowo poniesiono wydatek w kwocie 1 500,00 zł, który został uznany za niekwalifikowalny, łączna kwota poniesionych wydatków wyniosła zatem 3 290 348,25 zł)</w:t>
            </w:r>
            <w:r w:rsidRPr="005F48BC">
              <w:rPr>
                <w:b/>
                <w:bCs/>
                <w:iCs/>
              </w:rPr>
              <w:t xml:space="preserve">; </w:t>
            </w:r>
          </w:p>
          <w:p w14:paraId="521BC51B" w14:textId="3E366958" w:rsidR="000636AA" w:rsidRPr="005F48BC" w:rsidRDefault="000636AA" w:rsidP="000636AA">
            <w:pPr>
              <w:pStyle w:val="Other0"/>
              <w:rPr>
                <w:b/>
                <w:bCs/>
                <w:i/>
                <w:iCs/>
              </w:rPr>
            </w:pPr>
            <w:r w:rsidRPr="005F48BC">
              <w:rPr>
                <w:b/>
                <w:bCs/>
                <w:i/>
                <w:iCs/>
              </w:rPr>
              <w:t>Poziom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 realizacji</w:t>
            </w:r>
            <w:r w:rsidRPr="005F48BC">
              <w:rPr>
                <w:b/>
                <w:bCs/>
                <w:i/>
                <w:iCs/>
              </w:rPr>
              <w:t xml:space="preserve"> kosztów w stosunku do </w:t>
            </w:r>
            <w:r>
              <w:rPr>
                <w:b/>
                <w:bCs/>
                <w:i/>
                <w:iCs/>
              </w:rPr>
              <w:t xml:space="preserve">ostatniego </w:t>
            </w:r>
            <w:r w:rsidRPr="005F48BC">
              <w:rPr>
                <w:b/>
                <w:bCs/>
                <w:i/>
                <w:iCs/>
              </w:rPr>
              <w:t>planu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: </w:t>
            </w:r>
            <w:r w:rsidR="003E1A63">
              <w:rPr>
                <w:b/>
                <w:bCs/>
                <w:i/>
                <w:iCs/>
                <w:color w:val="000000"/>
              </w:rPr>
              <w:t>98,42</w:t>
            </w:r>
            <w:r w:rsidR="00965ADE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F48BC">
              <w:rPr>
                <w:b/>
                <w:bCs/>
                <w:i/>
                <w:iCs/>
                <w:color w:val="000000"/>
              </w:rPr>
              <w:t>%</w:t>
            </w:r>
            <w:r w:rsidR="007610C0">
              <w:rPr>
                <w:b/>
                <w:bCs/>
                <w:i/>
                <w:iCs/>
                <w:color w:val="000000"/>
              </w:rPr>
              <w:t xml:space="preserve"> </w:t>
            </w:r>
          </w:p>
          <w:p w14:paraId="0E658AF5" w14:textId="0650F6CF" w:rsidR="000636AA" w:rsidRDefault="000636AA" w:rsidP="000636AA">
            <w:pPr>
              <w:pStyle w:val="Other0"/>
              <w:rPr>
                <w:b/>
                <w:bCs/>
                <w:i/>
                <w:iCs/>
              </w:rPr>
            </w:pPr>
          </w:p>
          <w:p w14:paraId="6B191F4A" w14:textId="5600C1B0" w:rsidR="004454B4" w:rsidRDefault="004454B4" w:rsidP="000636AA">
            <w:pPr>
              <w:pStyle w:val="Other0"/>
            </w:pPr>
            <w:r>
              <w:rPr>
                <w:color w:val="000000"/>
              </w:rPr>
              <w:t xml:space="preserve">Łącznie w skali projektu zostały wygenerowane oszczędności </w:t>
            </w:r>
            <w:r>
              <w:t xml:space="preserve">w wysokości </w:t>
            </w:r>
            <w:r w:rsidR="001960EB">
              <w:rPr>
                <w:b/>
                <w:bCs/>
                <w:color w:val="000000"/>
              </w:rPr>
              <w:t>51 224,74</w:t>
            </w:r>
            <w:r>
              <w:rPr>
                <w:b/>
                <w:bCs/>
                <w:color w:val="000000"/>
              </w:rPr>
              <w:t xml:space="preserve"> PLN</w:t>
            </w:r>
            <w:r w:rsidR="00C86152">
              <w:rPr>
                <w:b/>
                <w:bCs/>
                <w:color w:val="000000"/>
              </w:rPr>
              <w:t xml:space="preserve">, na co składają się oszczędności </w:t>
            </w:r>
            <w:r w:rsidR="00C86152">
              <w:t xml:space="preserve">na poziomie </w:t>
            </w:r>
            <w:r w:rsidR="001960EB">
              <w:rPr>
                <w:b/>
              </w:rPr>
              <w:t>66 928,75</w:t>
            </w:r>
            <w:r w:rsidR="00C86152" w:rsidRPr="000F58C7">
              <w:rPr>
                <w:b/>
              </w:rPr>
              <w:t xml:space="preserve"> PLN</w:t>
            </w:r>
            <w:r w:rsidR="00C86152">
              <w:t xml:space="preserve"> oraz przekroczeni</w:t>
            </w:r>
            <w:r w:rsidR="001960EB">
              <w:t>e</w:t>
            </w:r>
            <w:r w:rsidR="00C86152">
              <w:t xml:space="preserve"> na poziomie </w:t>
            </w:r>
            <w:r w:rsidR="00C86152" w:rsidRPr="000F58C7">
              <w:rPr>
                <w:b/>
              </w:rPr>
              <w:t>-1</w:t>
            </w:r>
            <w:r w:rsidR="001960EB">
              <w:rPr>
                <w:b/>
              </w:rPr>
              <w:t>5 684,01</w:t>
            </w:r>
            <w:r w:rsidR="00C86152" w:rsidRPr="000F58C7">
              <w:rPr>
                <w:b/>
              </w:rPr>
              <w:t xml:space="preserve"> PLN</w:t>
            </w:r>
            <w:r w:rsidR="001960EB">
              <w:rPr>
                <w:b/>
              </w:rPr>
              <w:t>, dotycząc kosztów pośrednich – wyjaśnienia w tej kwestii zostały przekazane w dalszej części dokumentu.</w:t>
            </w:r>
          </w:p>
          <w:p w14:paraId="1DC46EE7" w14:textId="77777777" w:rsidR="004454B4" w:rsidRDefault="004454B4" w:rsidP="000636AA">
            <w:pPr>
              <w:pStyle w:val="Other0"/>
              <w:rPr>
                <w:b/>
                <w:bCs/>
                <w:i/>
                <w:iCs/>
              </w:rPr>
            </w:pPr>
          </w:p>
          <w:p w14:paraId="2715ABA0" w14:textId="5251C6FA" w:rsidR="004454B4" w:rsidRDefault="000636AA" w:rsidP="004977E6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 xml:space="preserve">w wysokości </w:t>
            </w:r>
            <w:r w:rsidR="001960EB">
              <w:rPr>
                <w:b/>
              </w:rPr>
              <w:t>66 928,75</w:t>
            </w:r>
            <w:r w:rsidR="001960EB" w:rsidRPr="00AC17BA">
              <w:rPr>
                <w:b/>
              </w:rPr>
              <w:t xml:space="preserve"> PLN</w:t>
            </w:r>
            <w:r w:rsidR="001960EB">
              <w:t xml:space="preserve"> </w:t>
            </w:r>
            <w:r>
              <w:rPr>
                <w:color w:val="000000"/>
              </w:rPr>
              <w:t>zostały wygenerowane w poniższych zadaniach:</w:t>
            </w:r>
            <w:r w:rsidR="004454B4" w:rsidDel="004454B4">
              <w:t xml:space="preserve"> </w:t>
            </w:r>
          </w:p>
          <w:p w14:paraId="11EF042F" w14:textId="77777777" w:rsidR="001960EB" w:rsidRPr="00366786" w:rsidRDefault="001960EB" w:rsidP="001960EB">
            <w:pPr>
              <w:pStyle w:val="Other0"/>
              <w:numPr>
                <w:ilvl w:val="0"/>
                <w:numId w:val="12"/>
              </w:numPr>
            </w:pPr>
            <w:r w:rsidRPr="00366786">
              <w:rPr>
                <w:b/>
                <w:color w:val="000000"/>
              </w:rPr>
              <w:t>Zadanie 1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Pr="00207CC8">
              <w:rPr>
                <w:b/>
              </w:rPr>
              <w:t>Wdrożenie systemu Elektronicznego Zarządzania Dokumentacją (EZD):</w:t>
            </w:r>
          </w:p>
          <w:p w14:paraId="19803B8B" w14:textId="20250269" w:rsidR="001960EB" w:rsidRDefault="001960EB" w:rsidP="001960EB">
            <w:pPr>
              <w:pStyle w:val="Other0"/>
              <w:ind w:left="708"/>
              <w:rPr>
                <w:color w:val="000000"/>
              </w:rPr>
            </w:pPr>
            <w:r w:rsidRPr="00366786">
              <w:rPr>
                <w:color w:val="000000"/>
              </w:rPr>
              <w:t xml:space="preserve">kwota </w:t>
            </w:r>
            <w:r>
              <w:rPr>
                <w:color w:val="000000"/>
              </w:rPr>
              <w:t>3 672,73</w:t>
            </w:r>
            <w:r w:rsidRPr="003667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PLN</w:t>
            </w:r>
            <w:r w:rsidRPr="00366786">
              <w:rPr>
                <w:color w:val="000000"/>
              </w:rPr>
              <w:t xml:space="preserve">: </w:t>
            </w:r>
            <w:r w:rsidR="0044584C">
              <w:rPr>
                <w:color w:val="000000"/>
              </w:rPr>
              <w:t>oszczędność wynikająca ze zmian w strukturze osobowej projektu w trakcie jego realizacji.</w:t>
            </w:r>
          </w:p>
          <w:p w14:paraId="67790D60" w14:textId="77777777" w:rsidR="001960EB" w:rsidRPr="00366786" w:rsidRDefault="001960EB" w:rsidP="001960EB">
            <w:pPr>
              <w:pStyle w:val="Other0"/>
              <w:numPr>
                <w:ilvl w:val="0"/>
                <w:numId w:val="12"/>
              </w:numPr>
            </w:pPr>
            <w:r w:rsidRPr="00366786">
              <w:rPr>
                <w:b/>
                <w:color w:val="000000"/>
              </w:rPr>
              <w:t>Zadanie 2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Pr="00207CC8">
              <w:rPr>
                <w:b/>
              </w:rPr>
              <w:t>Rozwinięcie Wirtualnej Przestrzeni Roboczej</w:t>
            </w:r>
            <w:r w:rsidRPr="00366786">
              <w:t>:</w:t>
            </w:r>
          </w:p>
          <w:p w14:paraId="2A02F976" w14:textId="20B4906C" w:rsidR="001960EB" w:rsidRPr="00366786" w:rsidRDefault="001960EB" w:rsidP="001960EB">
            <w:pPr>
              <w:pStyle w:val="Other0"/>
              <w:ind w:left="708"/>
            </w:pPr>
            <w:r w:rsidRPr="00366786">
              <w:t>k</w:t>
            </w:r>
            <w:r w:rsidRPr="00366786">
              <w:rPr>
                <w:color w:val="000000"/>
              </w:rPr>
              <w:t xml:space="preserve">wota </w:t>
            </w:r>
            <w:r w:rsidR="0044584C">
              <w:rPr>
                <w:color w:val="000000"/>
              </w:rPr>
              <w:t>50 663,29</w:t>
            </w:r>
            <w:r w:rsidRPr="00366786">
              <w:rPr>
                <w:color w:val="000000"/>
              </w:rPr>
              <w:t xml:space="preserve"> PLN </w:t>
            </w:r>
            <w:r w:rsidR="0044584C">
              <w:rPr>
                <w:color w:val="000000"/>
              </w:rPr>
              <w:t>–</w:t>
            </w:r>
            <w:r w:rsidRPr="00366786">
              <w:rPr>
                <w:color w:val="000000"/>
              </w:rPr>
              <w:t xml:space="preserve"> </w:t>
            </w:r>
            <w:r w:rsidR="0044584C">
              <w:rPr>
                <w:color w:val="000000"/>
              </w:rPr>
              <w:t>oszczędność wyniknęła głównie z mniejszych niż planowano kwot osiągniętych w ramach postępowań przetargowych</w:t>
            </w:r>
            <w:r>
              <w:rPr>
                <w:szCs w:val="20"/>
              </w:rPr>
              <w:t>.</w:t>
            </w:r>
          </w:p>
          <w:p w14:paraId="5845EA28" w14:textId="38023F62" w:rsidR="000D38E6" w:rsidRPr="00366786" w:rsidRDefault="000D38E6" w:rsidP="000F58C7">
            <w:pPr>
              <w:pStyle w:val="Other0"/>
              <w:numPr>
                <w:ilvl w:val="0"/>
                <w:numId w:val="12"/>
              </w:numPr>
            </w:pPr>
            <w:r w:rsidRPr="00366786">
              <w:rPr>
                <w:b/>
                <w:color w:val="000000"/>
              </w:rPr>
              <w:t>Zadanie 3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Pr="000F58C7">
              <w:rPr>
                <w:b/>
              </w:rPr>
              <w:t>Modernizacja i doposażenie infrastruktury informatycznej</w:t>
            </w:r>
            <w:r w:rsidRPr="00366786">
              <w:t>:</w:t>
            </w:r>
          </w:p>
          <w:p w14:paraId="0D34E3AA" w14:textId="25D31C50" w:rsidR="000D38E6" w:rsidRDefault="000D38E6" w:rsidP="000D38E6">
            <w:pPr>
              <w:pStyle w:val="Other0"/>
              <w:ind w:left="708"/>
            </w:pPr>
            <w:r>
              <w:t>k</w:t>
            </w:r>
            <w:r>
              <w:rPr>
                <w:color w:val="000000"/>
              </w:rPr>
              <w:t xml:space="preserve">wota </w:t>
            </w:r>
            <w:r w:rsidR="0044584C">
              <w:rPr>
                <w:color w:val="000000"/>
              </w:rPr>
              <w:t xml:space="preserve">4 017,70 </w:t>
            </w:r>
            <w:r>
              <w:rPr>
                <w:color w:val="000000"/>
              </w:rPr>
              <w:t xml:space="preserve">PLN – oszczędności wyniknęły przede wszystkim w mniejszym kwotowo niż przewidywano wyniku postępowania przetargowego na Modernizację sieci LAN. Dodatkowo, udało się zmniejszyć wydatki na sprzęt informatyczny i licencje, ze względu na </w:t>
            </w:r>
            <w:r w:rsidR="00880BF4">
              <w:rPr>
                <w:color w:val="000000"/>
              </w:rPr>
              <w:t>częściowe wykorzystanie na potrzeby projektu istniejących zasobów informatycznych Beneficjenta i Partnera.</w:t>
            </w:r>
          </w:p>
          <w:p w14:paraId="49C180D1" w14:textId="2D267427" w:rsidR="00880BF4" w:rsidRPr="00366786" w:rsidRDefault="00880BF4" w:rsidP="000F58C7">
            <w:pPr>
              <w:pStyle w:val="Other0"/>
              <w:numPr>
                <w:ilvl w:val="0"/>
                <w:numId w:val="12"/>
              </w:numPr>
            </w:pPr>
            <w:r w:rsidRPr="00366786">
              <w:rPr>
                <w:b/>
                <w:color w:val="000000"/>
              </w:rPr>
              <w:t xml:space="preserve">Zadanie </w:t>
            </w:r>
            <w:r>
              <w:rPr>
                <w:b/>
                <w:color w:val="000000"/>
              </w:rPr>
              <w:t>5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Pr="000F58C7">
              <w:rPr>
                <w:b/>
              </w:rPr>
              <w:t>Informacja i promocja</w:t>
            </w:r>
            <w:r w:rsidRPr="00366786">
              <w:t>:</w:t>
            </w:r>
          </w:p>
          <w:p w14:paraId="1F77B5BC" w14:textId="764F45BF" w:rsidR="00880BF4" w:rsidRDefault="00880BF4" w:rsidP="00880BF4">
            <w:pPr>
              <w:pStyle w:val="Other0"/>
              <w:ind w:left="708"/>
            </w:pPr>
            <w:r>
              <w:t>k</w:t>
            </w:r>
            <w:r>
              <w:rPr>
                <w:color w:val="000000"/>
              </w:rPr>
              <w:t xml:space="preserve">wota </w:t>
            </w:r>
            <w:r w:rsidR="0044584C">
              <w:rPr>
                <w:color w:val="000000"/>
              </w:rPr>
              <w:t xml:space="preserve">8 575,03 </w:t>
            </w:r>
            <w:r>
              <w:rPr>
                <w:color w:val="000000"/>
              </w:rPr>
              <w:t xml:space="preserve">PLN - w związku z zaistniałą sytuacją epidemiczną związaną z Covid-19 plan promocji został zrealizowany w innej formie niż planowano (np. </w:t>
            </w:r>
            <w:r w:rsidR="00E84059">
              <w:rPr>
                <w:color w:val="000000"/>
              </w:rPr>
              <w:t xml:space="preserve">rezygnacja z konferencji planowanych pierwotnie w formie stacjonarnej, oraz przeniesienie większości działań informacyjno-promocyjnych do przestrzeni wirtualnej, przy jednoczesnej realizacji ich </w:t>
            </w:r>
            <w:proofErr w:type="spellStart"/>
            <w:r w:rsidR="00E84059">
              <w:rPr>
                <w:color w:val="000000"/>
              </w:rPr>
              <w:t>bezkosztowo</w:t>
            </w:r>
            <w:proofErr w:type="spellEnd"/>
            <w:r w:rsidR="00E84059">
              <w:rPr>
                <w:color w:val="000000"/>
              </w:rPr>
              <w:t xml:space="preserve"> przez pracowników Beneficjenta</w:t>
            </w:r>
            <w:r>
              <w:rPr>
                <w:color w:val="000000"/>
              </w:rPr>
              <w:t>)</w:t>
            </w:r>
          </w:p>
          <w:p w14:paraId="70C48041" w14:textId="77777777" w:rsidR="004454B4" w:rsidRDefault="004454B4" w:rsidP="000636AA">
            <w:pPr>
              <w:pStyle w:val="Other0"/>
              <w:rPr>
                <w:b/>
                <w:color w:val="000000"/>
              </w:rPr>
            </w:pPr>
          </w:p>
          <w:p w14:paraId="023B5722" w14:textId="34881FC4" w:rsidR="004454B4" w:rsidRDefault="004454B4" w:rsidP="004454B4">
            <w:pPr>
              <w:pStyle w:val="Other0"/>
            </w:pPr>
            <w:r>
              <w:rPr>
                <w:color w:val="000000"/>
              </w:rPr>
              <w:t xml:space="preserve">Przekroczenia </w:t>
            </w:r>
            <w:r>
              <w:t xml:space="preserve">w wysokości </w:t>
            </w:r>
            <w:r w:rsidR="00C86152" w:rsidRPr="00207CC8">
              <w:rPr>
                <w:b/>
              </w:rPr>
              <w:t>-1</w:t>
            </w:r>
            <w:r w:rsidR="00555256">
              <w:rPr>
                <w:b/>
              </w:rPr>
              <w:t>5 684,01</w:t>
            </w:r>
            <w:r w:rsidR="00C86152" w:rsidRPr="00207CC8">
              <w:rPr>
                <w:b/>
              </w:rPr>
              <w:t xml:space="preserve"> PLN</w:t>
            </w:r>
            <w:r w:rsidR="00C8615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zostały wygenerowane w poniższy</w:t>
            </w:r>
            <w:r w:rsidR="00555256">
              <w:rPr>
                <w:color w:val="000000"/>
              </w:rPr>
              <w:t>m</w:t>
            </w:r>
            <w:r>
              <w:rPr>
                <w:color w:val="000000"/>
              </w:rPr>
              <w:t xml:space="preserve"> zadani</w:t>
            </w:r>
            <w:r w:rsidR="00555256">
              <w:rPr>
                <w:color w:val="000000"/>
              </w:rPr>
              <w:t>u</w:t>
            </w:r>
            <w:r>
              <w:rPr>
                <w:color w:val="000000"/>
              </w:rPr>
              <w:t>:</w:t>
            </w:r>
          </w:p>
          <w:p w14:paraId="620A910D" w14:textId="77777777" w:rsidR="004454B4" w:rsidRPr="00366786" w:rsidRDefault="004454B4" w:rsidP="000F58C7">
            <w:pPr>
              <w:pStyle w:val="Other0"/>
              <w:numPr>
                <w:ilvl w:val="0"/>
                <w:numId w:val="12"/>
              </w:numPr>
            </w:pPr>
            <w:r>
              <w:rPr>
                <w:b/>
                <w:color w:val="000000"/>
              </w:rPr>
              <w:t>Koszty pośrednie</w:t>
            </w:r>
            <w:r w:rsidRPr="00366786">
              <w:t>:</w:t>
            </w:r>
          </w:p>
          <w:p w14:paraId="4A6B7BA9" w14:textId="77777777" w:rsidR="004454B4" w:rsidRDefault="004454B4" w:rsidP="004454B4">
            <w:pPr>
              <w:pStyle w:val="Other0"/>
              <w:ind w:left="708"/>
            </w:pPr>
            <w:r>
              <w:t>k</w:t>
            </w:r>
            <w:r>
              <w:rPr>
                <w:color w:val="000000"/>
              </w:rPr>
              <w:t xml:space="preserve">wota </w:t>
            </w:r>
            <w:r w:rsidRPr="00F3205C">
              <w:rPr>
                <w:color w:val="000000"/>
              </w:rPr>
              <w:t>-15 684,01</w:t>
            </w:r>
            <w:r>
              <w:rPr>
                <w:color w:val="000000"/>
              </w:rPr>
              <w:t xml:space="preserve"> PLN - </w:t>
            </w:r>
            <w:r w:rsidRPr="000F58C7">
              <w:rPr>
                <w:color w:val="000000"/>
              </w:rPr>
              <w:t>przekroczenie wyniknęło</w:t>
            </w:r>
            <w:r>
              <w:rPr>
                <w:color w:val="000000"/>
              </w:rPr>
              <w:t xml:space="preserve"> z konieczności zwiększenia wydatków na wynagrodzenia w tym zadaniu, co było konsekwencją</w:t>
            </w:r>
            <w:r w:rsidRPr="00207CC8">
              <w:rPr>
                <w:szCs w:val="20"/>
              </w:rPr>
              <w:t xml:space="preserve"> zmiany stanu osobowego projektu</w:t>
            </w:r>
            <w:r>
              <w:rPr>
                <w:szCs w:val="20"/>
              </w:rPr>
              <w:t>, szersze wyjaśnienie powodów przekazujemy w dalszej części niniejszego Raportu.</w:t>
            </w:r>
          </w:p>
          <w:p w14:paraId="6CF80742" w14:textId="77777777" w:rsidR="004454B4" w:rsidRDefault="004454B4" w:rsidP="000636AA">
            <w:pPr>
              <w:pStyle w:val="Other0"/>
              <w:rPr>
                <w:b/>
                <w:color w:val="000000"/>
              </w:rPr>
            </w:pPr>
          </w:p>
          <w:p w14:paraId="3BF01408" w14:textId="477F4E95" w:rsidR="000636AA" w:rsidRDefault="000636AA" w:rsidP="000636AA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</w:t>
            </w:r>
            <w:r>
              <w:rPr>
                <w:b/>
                <w:bCs/>
                <w:iCs/>
              </w:rPr>
              <w:t>h na W</w:t>
            </w:r>
            <w:r w:rsidRPr="005F48BC">
              <w:rPr>
                <w:b/>
                <w:bCs/>
                <w:iCs/>
              </w:rPr>
              <w:t>ykonawców</w:t>
            </w:r>
            <w:r>
              <w:rPr>
                <w:b/>
                <w:bCs/>
                <w:iCs/>
              </w:rPr>
              <w:t xml:space="preserve">: </w:t>
            </w:r>
            <w:r w:rsidR="00F3205C">
              <w:rPr>
                <w:b/>
                <w:bCs/>
                <w:iCs/>
              </w:rPr>
              <w:t>brak</w:t>
            </w:r>
          </w:p>
          <w:p w14:paraId="6F7711F8" w14:textId="77777777" w:rsidR="006862B7" w:rsidRDefault="006862B7" w:rsidP="000636AA">
            <w:pPr>
              <w:pStyle w:val="Other0"/>
              <w:rPr>
                <w:b/>
                <w:i/>
              </w:rPr>
            </w:pPr>
          </w:p>
          <w:p w14:paraId="6984B106" w14:textId="0FA10FAA" w:rsidR="000636AA" w:rsidRPr="006862B7" w:rsidRDefault="000636AA" w:rsidP="000636AA">
            <w:pPr>
              <w:pStyle w:val="Other0"/>
              <w:rPr>
                <w:b/>
                <w:bCs/>
                <w:iCs/>
              </w:rPr>
            </w:pPr>
            <w:r w:rsidRPr="006862B7">
              <w:rPr>
                <w:b/>
                <w:bCs/>
                <w:iCs/>
              </w:rPr>
              <w:t xml:space="preserve">Poziom certyfikacji w odniesieniu do zakontraktowanej wartości dofinansowania: </w:t>
            </w:r>
            <w:r w:rsidR="00327B22" w:rsidRPr="006862B7">
              <w:rPr>
                <w:b/>
                <w:bCs/>
                <w:iCs/>
              </w:rPr>
              <w:t>81,37%</w:t>
            </w:r>
          </w:p>
          <w:p w14:paraId="228811BE" w14:textId="77777777" w:rsidR="0093436D" w:rsidRPr="00AF22CB" w:rsidRDefault="0093436D" w:rsidP="0092099A">
            <w:pPr>
              <w:jc w:val="both"/>
              <w:rPr>
                <w:sz w:val="18"/>
                <w:szCs w:val="20"/>
              </w:rPr>
            </w:pPr>
          </w:p>
          <w:p w14:paraId="591D6257" w14:textId="77777777" w:rsidR="00AF22CB" w:rsidRDefault="00AF22CB" w:rsidP="0092099A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1501"/>
              <w:gridCol w:w="1502"/>
              <w:gridCol w:w="1502"/>
            </w:tblGrid>
            <w:tr w:rsidR="0093436D" w:rsidRPr="0093436D" w14:paraId="1F64A778" w14:textId="77777777" w:rsidTr="0093436D">
              <w:tc>
                <w:tcPr>
                  <w:tcW w:w="1501" w:type="dxa"/>
                </w:tcPr>
                <w:p w14:paraId="575285E9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Nazwa Zadania</w:t>
                  </w:r>
                </w:p>
              </w:tc>
              <w:tc>
                <w:tcPr>
                  <w:tcW w:w="1501" w:type="dxa"/>
                </w:tcPr>
                <w:p w14:paraId="13E8217A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Kwota wydatków kwalifikowalnych </w:t>
                  </w:r>
                  <w:r w:rsidR="000D56A4" w:rsidRPr="0093436D">
                    <w:rPr>
                      <w:i/>
                      <w:sz w:val="18"/>
                      <w:szCs w:val="20"/>
                    </w:rPr>
                    <w:t>określona</w:t>
                  </w:r>
                  <w:r w:rsidRPr="0093436D">
                    <w:rPr>
                      <w:i/>
                      <w:sz w:val="18"/>
                      <w:szCs w:val="20"/>
                    </w:rPr>
                    <w:t xml:space="preserve"> w porozumieniu i aneksach</w:t>
                  </w:r>
                </w:p>
              </w:tc>
              <w:tc>
                <w:tcPr>
                  <w:tcW w:w="1502" w:type="dxa"/>
                </w:tcPr>
                <w:p w14:paraId="4B58F307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Kwota wydatków poniesiona w ramach projektu</w:t>
                  </w:r>
                </w:p>
              </w:tc>
              <w:tc>
                <w:tcPr>
                  <w:tcW w:w="1502" w:type="dxa"/>
                </w:tcPr>
                <w:p w14:paraId="2E7025BE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% realizacji</w:t>
                  </w:r>
                </w:p>
              </w:tc>
            </w:tr>
            <w:tr w:rsidR="0093436D" w:rsidRPr="0093436D" w14:paraId="57D95AD7" w14:textId="77777777" w:rsidTr="0093436D">
              <w:tc>
                <w:tcPr>
                  <w:tcW w:w="1501" w:type="dxa"/>
                </w:tcPr>
                <w:p w14:paraId="737957F8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Zadanie 1. Wdrożenie systemu Elektronicznego Zarządzania </w:t>
                  </w:r>
                  <w:r w:rsidRPr="0093436D">
                    <w:rPr>
                      <w:i/>
                      <w:sz w:val="18"/>
                      <w:szCs w:val="20"/>
                    </w:rPr>
                    <w:lastRenderedPageBreak/>
                    <w:t>Dokumentacją (EZD)</w:t>
                  </w:r>
                </w:p>
              </w:tc>
              <w:tc>
                <w:tcPr>
                  <w:tcW w:w="1501" w:type="dxa"/>
                </w:tcPr>
                <w:p w14:paraId="1130B9D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lastRenderedPageBreak/>
                    <w:t xml:space="preserve">680 484,38   </w:t>
                  </w:r>
                </w:p>
              </w:tc>
              <w:tc>
                <w:tcPr>
                  <w:tcW w:w="1502" w:type="dxa"/>
                </w:tcPr>
                <w:p w14:paraId="1555FA39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676 811,65   </w:t>
                  </w:r>
                </w:p>
              </w:tc>
              <w:tc>
                <w:tcPr>
                  <w:tcW w:w="1502" w:type="dxa"/>
                </w:tcPr>
                <w:p w14:paraId="1E6D0805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99,46%</w:t>
                  </w:r>
                </w:p>
              </w:tc>
            </w:tr>
            <w:tr w:rsidR="0093436D" w:rsidRPr="0093436D" w14:paraId="3634FC00" w14:textId="77777777" w:rsidTr="0093436D">
              <w:tc>
                <w:tcPr>
                  <w:tcW w:w="1501" w:type="dxa"/>
                </w:tcPr>
                <w:p w14:paraId="487EDEB2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2. Rozwinięcie Wirtualnej Przestrzeni Roboczej</w:t>
                  </w:r>
                </w:p>
              </w:tc>
              <w:tc>
                <w:tcPr>
                  <w:tcW w:w="1501" w:type="dxa"/>
                </w:tcPr>
                <w:p w14:paraId="46321E6B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1 885 740,40   </w:t>
                  </w:r>
                </w:p>
              </w:tc>
              <w:tc>
                <w:tcPr>
                  <w:tcW w:w="1502" w:type="dxa"/>
                </w:tcPr>
                <w:p w14:paraId="0BC5BADA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1 835 077,11   </w:t>
                  </w:r>
                </w:p>
              </w:tc>
              <w:tc>
                <w:tcPr>
                  <w:tcW w:w="1502" w:type="dxa"/>
                </w:tcPr>
                <w:p w14:paraId="3B9DF7B7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97,31%</w:t>
                  </w:r>
                </w:p>
              </w:tc>
            </w:tr>
            <w:tr w:rsidR="0093436D" w:rsidRPr="0093436D" w14:paraId="1CC5D790" w14:textId="77777777" w:rsidTr="0093436D">
              <w:tc>
                <w:tcPr>
                  <w:tcW w:w="1501" w:type="dxa"/>
                </w:tcPr>
                <w:p w14:paraId="29B461A5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3. Modernizacja i doposażenie infrastruktury informatycznej</w:t>
                  </w:r>
                </w:p>
              </w:tc>
              <w:tc>
                <w:tcPr>
                  <w:tcW w:w="1501" w:type="dxa"/>
                </w:tcPr>
                <w:p w14:paraId="0812C20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475 562,65   </w:t>
                  </w:r>
                </w:p>
              </w:tc>
              <w:tc>
                <w:tcPr>
                  <w:tcW w:w="1502" w:type="dxa"/>
                </w:tcPr>
                <w:p w14:paraId="52AA13CE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471 544,95   </w:t>
                  </w:r>
                </w:p>
              </w:tc>
              <w:tc>
                <w:tcPr>
                  <w:tcW w:w="1502" w:type="dxa"/>
                </w:tcPr>
                <w:p w14:paraId="61C6A571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99,16%</w:t>
                  </w:r>
                </w:p>
              </w:tc>
            </w:tr>
            <w:tr w:rsidR="0093436D" w:rsidRPr="0093436D" w14:paraId="5E5A65EC" w14:textId="77777777" w:rsidTr="0093436D">
              <w:tc>
                <w:tcPr>
                  <w:tcW w:w="1501" w:type="dxa"/>
                </w:tcPr>
                <w:p w14:paraId="6CEB7E49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4. Szkolenia</w:t>
                  </w:r>
                </w:p>
              </w:tc>
              <w:tc>
                <w:tcPr>
                  <w:tcW w:w="1501" w:type="dxa"/>
                </w:tcPr>
                <w:p w14:paraId="2158A198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22 500,00   </w:t>
                  </w:r>
                </w:p>
              </w:tc>
              <w:tc>
                <w:tcPr>
                  <w:tcW w:w="1502" w:type="dxa"/>
                </w:tcPr>
                <w:p w14:paraId="603C0D6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22 500,00   </w:t>
                  </w:r>
                </w:p>
              </w:tc>
              <w:tc>
                <w:tcPr>
                  <w:tcW w:w="1502" w:type="dxa"/>
                </w:tcPr>
                <w:p w14:paraId="7ADBD3D4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100,00%</w:t>
                  </w:r>
                </w:p>
              </w:tc>
            </w:tr>
            <w:tr w:rsidR="0093436D" w:rsidRPr="0093436D" w14:paraId="29AE2814" w14:textId="77777777" w:rsidTr="0093436D">
              <w:tc>
                <w:tcPr>
                  <w:tcW w:w="1501" w:type="dxa"/>
                </w:tcPr>
                <w:p w14:paraId="4D04FCF4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5. Informacja i promocja</w:t>
                  </w:r>
                </w:p>
              </w:tc>
              <w:tc>
                <w:tcPr>
                  <w:tcW w:w="1501" w:type="dxa"/>
                </w:tcPr>
                <w:p w14:paraId="5368FDE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9 260,03   </w:t>
                  </w:r>
                </w:p>
              </w:tc>
              <w:tc>
                <w:tcPr>
                  <w:tcW w:w="1502" w:type="dxa"/>
                </w:tcPr>
                <w:p w14:paraId="7DE1318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685,00   </w:t>
                  </w:r>
                </w:p>
              </w:tc>
              <w:tc>
                <w:tcPr>
                  <w:tcW w:w="1502" w:type="dxa"/>
                </w:tcPr>
                <w:p w14:paraId="4336D5A0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7,40%</w:t>
                  </w:r>
                </w:p>
              </w:tc>
            </w:tr>
            <w:tr w:rsidR="0093436D" w:rsidRPr="0093436D" w14:paraId="74B56DC3" w14:textId="77777777" w:rsidTr="0093436D">
              <w:tc>
                <w:tcPr>
                  <w:tcW w:w="1501" w:type="dxa"/>
                </w:tcPr>
                <w:p w14:paraId="19444FA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Zadanie 6. Dokumentacja i realizacja projektu</w:t>
                  </w:r>
                </w:p>
              </w:tc>
              <w:tc>
                <w:tcPr>
                  <w:tcW w:w="1501" w:type="dxa"/>
                </w:tcPr>
                <w:p w14:paraId="6CB0589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26 500,00   </w:t>
                  </w:r>
                </w:p>
              </w:tc>
              <w:tc>
                <w:tcPr>
                  <w:tcW w:w="1502" w:type="dxa"/>
                </w:tcPr>
                <w:p w14:paraId="4444598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26 500,00   </w:t>
                  </w:r>
                </w:p>
              </w:tc>
              <w:tc>
                <w:tcPr>
                  <w:tcW w:w="1502" w:type="dxa"/>
                </w:tcPr>
                <w:p w14:paraId="0D2C39E3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100,00%</w:t>
                  </w:r>
                </w:p>
              </w:tc>
            </w:tr>
            <w:tr w:rsidR="0093436D" w:rsidRPr="0093436D" w14:paraId="7018662E" w14:textId="77777777" w:rsidTr="0093436D">
              <w:tc>
                <w:tcPr>
                  <w:tcW w:w="1501" w:type="dxa"/>
                </w:tcPr>
                <w:p w14:paraId="6F40C9C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koszt</w:t>
                  </w:r>
                  <w:r w:rsidR="000D56A4">
                    <w:rPr>
                      <w:i/>
                      <w:sz w:val="18"/>
                      <w:szCs w:val="20"/>
                    </w:rPr>
                    <w:t>y</w:t>
                  </w:r>
                  <w:r w:rsidRPr="0093436D">
                    <w:rPr>
                      <w:i/>
                      <w:sz w:val="18"/>
                      <w:szCs w:val="20"/>
                    </w:rPr>
                    <w:t xml:space="preserve"> pośrednie</w:t>
                  </w:r>
                </w:p>
              </w:tc>
              <w:tc>
                <w:tcPr>
                  <w:tcW w:w="1501" w:type="dxa"/>
                </w:tcPr>
                <w:p w14:paraId="238A8FF9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240 045,53   </w:t>
                  </w:r>
                </w:p>
              </w:tc>
              <w:tc>
                <w:tcPr>
                  <w:tcW w:w="1502" w:type="dxa"/>
                </w:tcPr>
                <w:p w14:paraId="15C1F67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255 729,54   </w:t>
                  </w:r>
                </w:p>
              </w:tc>
              <w:tc>
                <w:tcPr>
                  <w:tcW w:w="1502" w:type="dxa"/>
                </w:tcPr>
                <w:p w14:paraId="4D19C146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106,53%</w:t>
                  </w:r>
                </w:p>
              </w:tc>
            </w:tr>
            <w:tr w:rsidR="0093436D" w:rsidRPr="0093436D" w14:paraId="6F0E2CC4" w14:textId="77777777" w:rsidTr="0093436D">
              <w:tc>
                <w:tcPr>
                  <w:tcW w:w="1501" w:type="dxa"/>
                </w:tcPr>
                <w:p w14:paraId="7314E50C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RAZEM:</w:t>
                  </w:r>
                </w:p>
              </w:tc>
              <w:tc>
                <w:tcPr>
                  <w:tcW w:w="1501" w:type="dxa"/>
                </w:tcPr>
                <w:p w14:paraId="03A404C2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3 340 092,99   </w:t>
                  </w:r>
                </w:p>
              </w:tc>
              <w:tc>
                <w:tcPr>
                  <w:tcW w:w="1502" w:type="dxa"/>
                </w:tcPr>
                <w:p w14:paraId="465742A5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3 288 848,25   </w:t>
                  </w:r>
                </w:p>
              </w:tc>
              <w:tc>
                <w:tcPr>
                  <w:tcW w:w="1502" w:type="dxa"/>
                </w:tcPr>
                <w:p w14:paraId="1CA48850" w14:textId="77777777" w:rsidR="0093436D" w:rsidRPr="0093436D" w:rsidRDefault="0093436D" w:rsidP="0047156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98,47%</w:t>
                  </w:r>
                </w:p>
              </w:tc>
            </w:tr>
          </w:tbl>
          <w:p w14:paraId="0DD854E4" w14:textId="77777777" w:rsidR="0093436D" w:rsidRDefault="0093436D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3F3D61B4" w14:textId="77777777" w:rsidR="000D56A4" w:rsidRDefault="000D56A4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 toku projektu wydatek na poziomie 1 500,00 zł, związany z przygotowaniem dokumentacji projektowej został uznany za niekwalifikowalny, stąd „</w:t>
            </w:r>
            <w:r w:rsidRPr="0093436D">
              <w:rPr>
                <w:i/>
                <w:sz w:val="18"/>
                <w:szCs w:val="20"/>
              </w:rPr>
              <w:t xml:space="preserve">Kwota wydatków kwalifikowalnych określona </w:t>
            </w:r>
            <w:r w:rsidRPr="000F58C7">
              <w:rPr>
                <w:i/>
                <w:sz w:val="18"/>
                <w:szCs w:val="20"/>
              </w:rPr>
              <w:t>w porozumieniu i aneksach” podana</w:t>
            </w:r>
            <w:r>
              <w:rPr>
                <w:i/>
                <w:sz w:val="18"/>
                <w:szCs w:val="20"/>
              </w:rPr>
              <w:t xml:space="preserve"> wyżej w tabeli jest niższa od pierwotnej kwoty zawartej w porozumieniu o dofinansowanie (</w:t>
            </w:r>
            <w:r w:rsidRPr="000D56A4">
              <w:rPr>
                <w:i/>
                <w:sz w:val="18"/>
                <w:szCs w:val="20"/>
              </w:rPr>
              <w:t>3 341 592,99</w:t>
            </w:r>
            <w:r>
              <w:rPr>
                <w:i/>
                <w:sz w:val="18"/>
                <w:szCs w:val="20"/>
              </w:rPr>
              <w:t xml:space="preserve"> zł) właśnie o kwotę 1 500,00 zł.</w:t>
            </w:r>
          </w:p>
          <w:p w14:paraId="30DA1D0B" w14:textId="77777777" w:rsidR="000D56A4" w:rsidRDefault="000D56A4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Znacząco mniejsza niż planowana kwota przeznaczona na realizację </w:t>
            </w:r>
            <w:r w:rsidRPr="0093436D">
              <w:rPr>
                <w:i/>
                <w:sz w:val="18"/>
                <w:szCs w:val="20"/>
              </w:rPr>
              <w:t>Zadani</w:t>
            </w:r>
            <w:r>
              <w:rPr>
                <w:i/>
                <w:sz w:val="18"/>
                <w:szCs w:val="20"/>
              </w:rPr>
              <w:t>a</w:t>
            </w:r>
            <w:r w:rsidRPr="0093436D">
              <w:rPr>
                <w:i/>
                <w:sz w:val="18"/>
                <w:szCs w:val="20"/>
              </w:rPr>
              <w:t xml:space="preserve"> 5. Informacja i promocja</w:t>
            </w:r>
            <w:r>
              <w:rPr>
                <w:i/>
                <w:sz w:val="18"/>
                <w:szCs w:val="20"/>
              </w:rPr>
              <w:t xml:space="preserve"> wynika z faktu, iż ze względu na ograniczenia pandemiczne nie była organizowana konferencja stacjonarna w ramach projektu, a część działań pierwotnie zaplanowanych do realizacji przez podmiot zewnętrzny zostały zrealizowane siłami własnymi pracowników Beneficjenta, przez co jedyny wydatek jaki musiał zostać poniesiony w ramach zadania obejmował zakup tablicy informacyjno-pamiątkowej.</w:t>
            </w:r>
          </w:p>
          <w:p w14:paraId="3A9902FE" w14:textId="77777777" w:rsidR="00E51364" w:rsidRDefault="000D56A4" w:rsidP="000D56A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Niewielkie przekroczenie wydatków na koszty pośrednie wynikało ze zmiany stanu osobowego projektu, gdzie osoby kluczowe i doświadczone w realizacji projektu odeszły z pracy i chwilowo trzeba było obsłużyć ich zadania korzystając z innych osób, jednak ze względu na brak wcześniejszego wdrożenia tych osób w projekt, a tym samym ograniczoną wydajność, niezbędne było tymczasowe zwiększenie ilości zaangażowanych osób, by zminimalizować ryzyko opóźnień w projekcie.</w:t>
            </w:r>
            <w:r w:rsidR="00E51364">
              <w:rPr>
                <w:i/>
                <w:sz w:val="18"/>
                <w:szCs w:val="20"/>
              </w:rPr>
              <w:t xml:space="preserve"> </w:t>
            </w:r>
          </w:p>
          <w:p w14:paraId="7FB8376C" w14:textId="7A893877" w:rsidR="003B107D" w:rsidRPr="002450C4" w:rsidRDefault="00E51364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Ponieważ ze względu na ww. zmiany stanu osobowego niezbędne było dokonanie niewielkich przesunięć z innych kategorii kosztów na </w:t>
            </w:r>
            <w:r w:rsidRPr="00E51364">
              <w:rPr>
                <w:i/>
                <w:sz w:val="18"/>
                <w:szCs w:val="20"/>
              </w:rPr>
              <w:t>Wynagrodzenia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pracowników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wykonujących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merytoryczne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zadania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bezpośrednio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związane z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głównymi celami i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produktami</w:t>
            </w:r>
            <w:r>
              <w:rPr>
                <w:i/>
                <w:sz w:val="18"/>
                <w:szCs w:val="20"/>
              </w:rPr>
              <w:t xml:space="preserve"> projektu, łączn</w:t>
            </w:r>
            <w:r w:rsidR="00460E10">
              <w:rPr>
                <w:i/>
                <w:sz w:val="18"/>
                <w:szCs w:val="20"/>
              </w:rPr>
              <w:t>ie</w:t>
            </w:r>
            <w:r>
              <w:rPr>
                <w:i/>
                <w:sz w:val="18"/>
                <w:szCs w:val="20"/>
              </w:rPr>
              <w:t xml:space="preserve"> kwota ta wzrosła z pierwotnej </w:t>
            </w:r>
            <w:r w:rsidRPr="00E51364">
              <w:rPr>
                <w:i/>
                <w:sz w:val="18"/>
                <w:szCs w:val="20"/>
              </w:rPr>
              <w:t>1 600 303,56 zł</w:t>
            </w:r>
            <w:r>
              <w:rPr>
                <w:i/>
                <w:sz w:val="18"/>
                <w:szCs w:val="20"/>
              </w:rPr>
              <w:t xml:space="preserve"> na </w:t>
            </w:r>
            <w:r w:rsidRPr="00E51364">
              <w:rPr>
                <w:i/>
                <w:sz w:val="18"/>
                <w:szCs w:val="20"/>
              </w:rPr>
              <w:t>1</w:t>
            </w:r>
            <w:r>
              <w:rPr>
                <w:i/>
                <w:sz w:val="18"/>
                <w:szCs w:val="20"/>
              </w:rPr>
              <w:t> </w:t>
            </w:r>
            <w:r w:rsidRPr="00E51364">
              <w:rPr>
                <w:i/>
                <w:sz w:val="18"/>
                <w:szCs w:val="20"/>
              </w:rPr>
              <w:t>717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51364">
              <w:rPr>
                <w:i/>
                <w:sz w:val="18"/>
                <w:szCs w:val="20"/>
              </w:rPr>
              <w:t>896,24</w:t>
            </w:r>
            <w:r>
              <w:rPr>
                <w:i/>
                <w:sz w:val="18"/>
                <w:szCs w:val="20"/>
              </w:rPr>
              <w:t xml:space="preserve"> zł. W rezultacie, pochodna kwota dostępna na koszty pośrednie również wzrosła z planowanej </w:t>
            </w:r>
            <w:r w:rsidRPr="00E51364">
              <w:rPr>
                <w:i/>
                <w:sz w:val="18"/>
                <w:szCs w:val="20"/>
              </w:rPr>
              <w:t>240 045,53 zł</w:t>
            </w:r>
            <w:r>
              <w:rPr>
                <w:i/>
                <w:sz w:val="18"/>
                <w:szCs w:val="20"/>
              </w:rPr>
              <w:t xml:space="preserve"> na </w:t>
            </w:r>
            <w:r w:rsidRPr="00E51364">
              <w:rPr>
                <w:i/>
                <w:sz w:val="18"/>
                <w:szCs w:val="20"/>
              </w:rPr>
              <w:t>257 684,44 zł</w:t>
            </w:r>
            <w:r>
              <w:rPr>
                <w:i/>
                <w:sz w:val="18"/>
                <w:szCs w:val="20"/>
              </w:rPr>
              <w:t xml:space="preserve">, ostatecznie jednak wydatkowano w ramach kosztów pośrednich kwotę 255 729,54 zł, co stanowi </w:t>
            </w:r>
            <w:r w:rsidRPr="00E51364">
              <w:rPr>
                <w:i/>
                <w:sz w:val="18"/>
                <w:szCs w:val="20"/>
              </w:rPr>
              <w:t>99,24%</w:t>
            </w:r>
            <w:r>
              <w:rPr>
                <w:i/>
                <w:sz w:val="18"/>
                <w:szCs w:val="20"/>
              </w:rPr>
              <w:t xml:space="preserve"> dostępnej kwoty. Zapis o wykorzystaniu 106,53% kosztów pośrednich, jaki widnieje w powyższej tabeli należy zatem rozumieć jako odniesienie jedynie do pierwotnej kwoty, która później w ramach przesunięć HRF, oraz aneksów uległa zmianie.</w:t>
            </w:r>
          </w:p>
        </w:tc>
      </w:tr>
      <w:tr w:rsidR="007A0A3D" w:rsidRPr="002450C4" w14:paraId="30AAA8F8" w14:textId="77777777" w:rsidTr="00920CE8">
        <w:tc>
          <w:tcPr>
            <w:tcW w:w="480" w:type="dxa"/>
          </w:tcPr>
          <w:p w14:paraId="1A9100C8" w14:textId="77777777" w:rsidR="007A0A3D" w:rsidRPr="002450C4" w:rsidRDefault="007A0A3D" w:rsidP="000F58C7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7D7A829" w14:textId="77777777" w:rsidR="000636AA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  <w:p w14:paraId="375B0CE1" w14:textId="77777777" w:rsidR="000636AA" w:rsidRPr="000636AA" w:rsidRDefault="000636AA" w:rsidP="000636AA">
            <w:pPr>
              <w:rPr>
                <w:sz w:val="18"/>
                <w:szCs w:val="20"/>
              </w:rPr>
            </w:pPr>
          </w:p>
          <w:p w14:paraId="3B09E15D" w14:textId="77777777" w:rsidR="000636AA" w:rsidRDefault="000636AA" w:rsidP="000636AA">
            <w:pPr>
              <w:rPr>
                <w:sz w:val="18"/>
                <w:szCs w:val="20"/>
              </w:rPr>
            </w:pPr>
          </w:p>
          <w:p w14:paraId="05178D86" w14:textId="77777777" w:rsidR="000636AA" w:rsidRDefault="000636AA" w:rsidP="000636AA">
            <w:pPr>
              <w:rPr>
                <w:sz w:val="18"/>
                <w:szCs w:val="20"/>
              </w:rPr>
            </w:pPr>
          </w:p>
          <w:p w14:paraId="739CEDE5" w14:textId="77777777" w:rsidR="000636AA" w:rsidRDefault="000636AA" w:rsidP="000636AA">
            <w:pPr>
              <w:rPr>
                <w:sz w:val="18"/>
                <w:szCs w:val="20"/>
              </w:rPr>
            </w:pPr>
          </w:p>
          <w:p w14:paraId="665F6E70" w14:textId="77777777" w:rsidR="007A0A3D" w:rsidRPr="000636AA" w:rsidRDefault="007A0A3D" w:rsidP="007C36D6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761CAF74" w14:textId="19D0BEEE" w:rsidR="00AF22CB" w:rsidRPr="00850976" w:rsidRDefault="00AF22CB" w:rsidP="00AF22CB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="00356C8F">
              <w:rPr>
                <w:color w:val="000000"/>
              </w:rPr>
              <w:t>1 września 2019</w:t>
            </w:r>
          </w:p>
          <w:p w14:paraId="4583DD24" w14:textId="7839831B" w:rsidR="00AF22CB" w:rsidRPr="00850976" w:rsidRDefault="00AF22CB" w:rsidP="00AF22CB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="00356C8F">
              <w:rPr>
                <w:color w:val="000000"/>
              </w:rPr>
              <w:t>1 września 2019</w:t>
            </w:r>
          </w:p>
          <w:p w14:paraId="6EC78C69" w14:textId="51678A0F" w:rsidR="00AF22CB" w:rsidRDefault="00AF22CB" w:rsidP="00AF22CB">
            <w:pPr>
              <w:pStyle w:val="Other0"/>
            </w:pPr>
            <w:r>
              <w:rPr>
                <w:b/>
                <w:bCs/>
                <w:color w:val="000000"/>
              </w:rPr>
              <w:t xml:space="preserve">Faktyczna data rozpoczęcia realizacji projektu: </w:t>
            </w:r>
            <w:r w:rsidR="00356C8F">
              <w:rPr>
                <w:color w:val="000000"/>
              </w:rPr>
              <w:t>1 września 2019</w:t>
            </w:r>
          </w:p>
          <w:p w14:paraId="78628C48" w14:textId="0C2846FB" w:rsidR="00AF22CB" w:rsidRPr="00850976" w:rsidRDefault="00AF22CB" w:rsidP="00AF22CB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="002F24B7">
              <w:rPr>
                <w:color w:val="000000"/>
              </w:rPr>
              <w:t>20 grudnia 2021</w:t>
            </w:r>
          </w:p>
          <w:p w14:paraId="77AC94F9" w14:textId="0037C362" w:rsidR="00AF22CB" w:rsidRPr="00850976" w:rsidRDefault="00AF22CB" w:rsidP="00AF22CB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="002F24B7">
              <w:rPr>
                <w:color w:val="000000"/>
              </w:rPr>
              <w:t>20 marca 2022</w:t>
            </w:r>
          </w:p>
          <w:p w14:paraId="32DC072C" w14:textId="764F42EA" w:rsidR="00AF22CB" w:rsidRDefault="00AF22CB" w:rsidP="00AF22CB">
            <w:pPr>
              <w:pStyle w:val="Other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Faktyczna data zakończenia realizacji projektu: </w:t>
            </w:r>
            <w:r w:rsidR="002F24B7">
              <w:rPr>
                <w:color w:val="000000"/>
              </w:rPr>
              <w:t>20 marca 2022</w:t>
            </w:r>
          </w:p>
          <w:p w14:paraId="3E0C006C" w14:textId="77777777" w:rsidR="00AF22CB" w:rsidRDefault="00AF22CB" w:rsidP="00AF22CB">
            <w:pPr>
              <w:pStyle w:val="Other0"/>
            </w:pPr>
          </w:p>
          <w:p w14:paraId="6D78F61D" w14:textId="77777777" w:rsidR="00AF22CB" w:rsidRDefault="00AF22CB" w:rsidP="00AF22CB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Przyczyną zmiany terminu zakończenia realizacji projektu w stosunku do pierwotnego planu jest:</w:t>
            </w:r>
          </w:p>
          <w:p w14:paraId="4E260D87" w14:textId="3094A6AE" w:rsidR="00AF22CB" w:rsidRPr="007C36D6" w:rsidRDefault="002F24B7" w:rsidP="00AF22CB">
            <w:pPr>
              <w:pStyle w:val="Other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</w:t>
            </w:r>
            <w:r w:rsidRPr="002F24B7">
              <w:rPr>
                <w:bCs/>
                <w:color w:val="000000"/>
              </w:rPr>
              <w:t xml:space="preserve"> związku z zaistniałą sytuacją epidemiczną związaną z Covid-19 </w:t>
            </w:r>
            <w:r>
              <w:rPr>
                <w:bCs/>
                <w:color w:val="000000"/>
              </w:rPr>
              <w:t xml:space="preserve">napotkaliśmy na liczne utrudnienia w realizacji </w:t>
            </w:r>
            <w:r w:rsidRPr="007C36D6">
              <w:rPr>
                <w:bCs/>
                <w:color w:val="000000"/>
              </w:rPr>
              <w:t>projektu</w:t>
            </w:r>
            <w:r>
              <w:rPr>
                <w:bCs/>
                <w:color w:val="000000"/>
              </w:rPr>
              <w:t>, w szczególności w zakresie prowadzenia postępowań przetargowych. W związku z powyższym zwróciliśmy się o zgodę na wydłużenie realizacji projektu o kwartał na mocy p</w:t>
            </w:r>
            <w:r w:rsidRPr="002F24B7">
              <w:rPr>
                <w:bCs/>
                <w:color w:val="000000"/>
              </w:rPr>
              <w:t>rzyjęt</w:t>
            </w:r>
            <w:r>
              <w:rPr>
                <w:bCs/>
                <w:color w:val="000000"/>
              </w:rPr>
              <w:t>ej</w:t>
            </w:r>
            <w:r w:rsidRPr="002F24B7">
              <w:rPr>
                <w:bCs/>
                <w:color w:val="000000"/>
              </w:rPr>
              <w:t xml:space="preserve"> 3 kwietnia 2020 r. ustaw</w:t>
            </w:r>
            <w:r>
              <w:rPr>
                <w:bCs/>
                <w:color w:val="000000"/>
              </w:rPr>
              <w:t>y</w:t>
            </w:r>
            <w:r w:rsidRPr="002F24B7">
              <w:rPr>
                <w:bCs/>
                <w:color w:val="000000"/>
              </w:rPr>
              <w:t xml:space="preserve"> o szczególnych rozwiązaniach wspierających realizację programów operacyjnych w związku z wystąpieniem COVID-19 w 2020 r. </w:t>
            </w:r>
            <w:r>
              <w:rPr>
                <w:bCs/>
                <w:color w:val="000000"/>
              </w:rPr>
              <w:t>Otrzymaliśmy zgodę na takie wydłużenie i wprowadziliśmy aneksem nową datę do projektu.</w:t>
            </w:r>
          </w:p>
          <w:p w14:paraId="44348A6E" w14:textId="77777777" w:rsidR="002F24B7" w:rsidRDefault="002F24B7" w:rsidP="00AF22CB">
            <w:pPr>
              <w:pStyle w:val="Other0"/>
              <w:rPr>
                <w:b/>
                <w:bCs/>
                <w:color w:val="000000"/>
              </w:rPr>
            </w:pPr>
          </w:p>
          <w:p w14:paraId="24E1DD8B" w14:textId="77777777" w:rsidR="000D56A4" w:rsidRPr="007C36D6" w:rsidRDefault="00BA316F" w:rsidP="00AF22CB">
            <w:pPr>
              <w:jc w:val="both"/>
              <w:rPr>
                <w:b/>
                <w:i/>
                <w:sz w:val="18"/>
                <w:szCs w:val="20"/>
              </w:rPr>
            </w:pPr>
            <w:r w:rsidRPr="007C36D6">
              <w:rPr>
                <w:b/>
                <w:i/>
                <w:sz w:val="18"/>
                <w:szCs w:val="20"/>
              </w:rPr>
              <w:t>Zrealizowano wszystkie zadania zaplanowane w ramach projektu i osiągnięto wszystkie kamienie milowe zaplanowane w ramach poszczególnych zadań. Status zadań:</w:t>
            </w:r>
          </w:p>
          <w:p w14:paraId="07FCEDBF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1. Wdrożenie systemu Elektronicznego Zarządzania Dokumentacją (EZD)</w:t>
            </w:r>
            <w:r>
              <w:rPr>
                <w:i/>
                <w:sz w:val="18"/>
                <w:szCs w:val="20"/>
              </w:rPr>
              <w:t xml:space="preserve"> – w styczniu 2022 zakończono wdrażanie systemu EZD</w:t>
            </w:r>
          </w:p>
          <w:p w14:paraId="0D398079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2. Rozwinięcie Wirtualnej Przestrzeni Roboczej</w:t>
            </w:r>
            <w:r>
              <w:rPr>
                <w:i/>
                <w:sz w:val="18"/>
                <w:szCs w:val="20"/>
              </w:rPr>
              <w:t xml:space="preserve"> – w marcu 2022 wdrożono system WPR, a także systemy uruchamiane w ramach realizacji tego Zadania: System Finansowo – Ka</w:t>
            </w:r>
            <w:r w:rsidRPr="00BA316F">
              <w:rPr>
                <w:i/>
                <w:sz w:val="18"/>
                <w:szCs w:val="20"/>
              </w:rPr>
              <w:t>drowo – Płacowy</w:t>
            </w:r>
            <w:r>
              <w:rPr>
                <w:i/>
                <w:sz w:val="18"/>
                <w:szCs w:val="20"/>
              </w:rPr>
              <w:t xml:space="preserve">, </w:t>
            </w:r>
            <w:r w:rsidRPr="00BA316F">
              <w:rPr>
                <w:i/>
                <w:sz w:val="18"/>
                <w:szCs w:val="20"/>
              </w:rPr>
              <w:t>System Zarządzania Uprawnieniami</w:t>
            </w:r>
            <w:r>
              <w:rPr>
                <w:i/>
                <w:sz w:val="18"/>
                <w:szCs w:val="20"/>
              </w:rPr>
              <w:t xml:space="preserve"> oraz System wsparcie </w:t>
            </w:r>
            <w:proofErr w:type="spellStart"/>
            <w:r>
              <w:rPr>
                <w:i/>
                <w:sz w:val="18"/>
                <w:szCs w:val="20"/>
              </w:rPr>
              <w:t>Elearnin</w:t>
            </w:r>
            <w:r w:rsidRPr="00BA316F">
              <w:rPr>
                <w:i/>
                <w:sz w:val="18"/>
                <w:szCs w:val="20"/>
              </w:rPr>
              <w:t>gu</w:t>
            </w:r>
            <w:proofErr w:type="spellEnd"/>
            <w:r>
              <w:rPr>
                <w:i/>
                <w:sz w:val="18"/>
                <w:szCs w:val="20"/>
              </w:rPr>
              <w:t>. Tak jak wyjaśniano w poprzednich raportach, z powodów organizacyjnych nie zrealizowano integracji z istniejącym Systemem SKD/RCP, takie działanie jest planowane do realizacji w późniejszym okresie, gdy znikną bieżące ograniczenia. Jednocześnie, brak takiej integracji nie wpłynął na realizację celów i wskaźników projektowych.</w:t>
            </w:r>
          </w:p>
          <w:p w14:paraId="72024B64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3. Modernizacja i doposażenie infrastruktury informatycznej</w:t>
            </w:r>
            <w:r>
              <w:rPr>
                <w:i/>
                <w:sz w:val="18"/>
                <w:szCs w:val="20"/>
              </w:rPr>
              <w:t xml:space="preserve"> – w lutym 2022 zakończono realizację zadania, poprzez zakończenie prac nad Modernizacją sieci LAN, we wcześniejszym okresie w ramach Zadania dokonano zakupu elementów sprzętowych i licencji, niezbędnych do realizacji Zadania 1 i 2.</w:t>
            </w:r>
          </w:p>
          <w:p w14:paraId="5D132653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4. Szkolenia</w:t>
            </w:r>
            <w:r>
              <w:rPr>
                <w:i/>
                <w:sz w:val="18"/>
                <w:szCs w:val="20"/>
              </w:rPr>
              <w:t xml:space="preserve"> – w całym toku projektu sukcesywnie prowadzono szkolenia dla odbiorców systemu oraz dla osób zaangażowanych we wdrażanie produktów projektu.</w:t>
            </w:r>
          </w:p>
          <w:p w14:paraId="42B226AD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5. Informacja i promocja</w:t>
            </w:r>
            <w:r>
              <w:rPr>
                <w:i/>
                <w:sz w:val="18"/>
                <w:szCs w:val="20"/>
              </w:rPr>
              <w:t xml:space="preserve"> – w toku projektu prowadzono działania informacyjno-promocyjne, zgodnie z założeniami projektu.</w:t>
            </w:r>
          </w:p>
          <w:p w14:paraId="4782A399" w14:textId="77777777" w:rsidR="000D56A4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Zadanie 6. Dokumentacja i realizacja projektu</w:t>
            </w:r>
            <w:r>
              <w:rPr>
                <w:i/>
                <w:sz w:val="18"/>
                <w:szCs w:val="20"/>
              </w:rPr>
              <w:t xml:space="preserve"> – przez cały tok realizacji projektu prowadzona była wszelka dokumentacja zgodnie z wymogami projektu.</w:t>
            </w:r>
          </w:p>
          <w:p w14:paraId="79CAFBDF" w14:textId="77777777" w:rsidR="000D56A4" w:rsidRDefault="000D56A4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7B2D8B4D" w14:textId="77777777" w:rsidR="00BA316F" w:rsidRDefault="00BA316F" w:rsidP="00E5224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 przypadku kamieni milowych, napotkaliśmy na duże problemy związane z postępowaniami przetargowymi, w efekcie których nastąpiło znaczne opóźnienie realizacji kamieni „</w:t>
            </w:r>
            <w:r w:rsidRPr="00BA316F">
              <w:rPr>
                <w:i/>
                <w:sz w:val="18"/>
                <w:szCs w:val="20"/>
              </w:rPr>
              <w:t>Przygotowanie postępowań przetargowych</w:t>
            </w:r>
            <w:r>
              <w:rPr>
                <w:i/>
                <w:sz w:val="18"/>
                <w:szCs w:val="20"/>
              </w:rPr>
              <w:t>” i „</w:t>
            </w:r>
            <w:r w:rsidRPr="00BA316F">
              <w:rPr>
                <w:i/>
                <w:sz w:val="18"/>
                <w:szCs w:val="20"/>
              </w:rPr>
              <w:t>Zakończenie procedur przetargowych i wybór wykonawców usług/dostawców</w:t>
            </w:r>
            <w:r>
              <w:rPr>
                <w:i/>
                <w:sz w:val="18"/>
                <w:szCs w:val="20"/>
              </w:rPr>
              <w:t>”, zgodnie z poniższą tabelą. W konsekwencji, napotkaliśmy maksymalnie dwumiesięczne przesunięcie terminów zakończenia realizacji kamieni milowych produktów powiązanych z postępowaniami przetargowymi. Udało się jednak zakończyć wszystkie kamienie milowe w okresie trwania realizacji projektu.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511"/>
              <w:gridCol w:w="1497"/>
              <w:gridCol w:w="1499"/>
              <w:gridCol w:w="1499"/>
            </w:tblGrid>
            <w:tr w:rsidR="00BA316F" w:rsidRPr="00BA316F" w14:paraId="68046BD1" w14:textId="77777777" w:rsidTr="00BA316F">
              <w:tc>
                <w:tcPr>
                  <w:tcW w:w="1511" w:type="dxa"/>
                </w:tcPr>
                <w:p w14:paraId="1D45FB64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1497" w:type="dxa"/>
                </w:tcPr>
                <w:p w14:paraId="20C9ECE5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Powiązane wskaźniki projektu  </w:t>
                  </w:r>
                </w:p>
              </w:tc>
              <w:tc>
                <w:tcPr>
                  <w:tcW w:w="1499" w:type="dxa"/>
                </w:tcPr>
                <w:p w14:paraId="7D91BE31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499" w:type="dxa"/>
                </w:tcPr>
                <w:p w14:paraId="5B3A560F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Rzeczywisty termin osiągnięcia</w:t>
                  </w:r>
                </w:p>
              </w:tc>
            </w:tr>
            <w:tr w:rsidR="00BA316F" w:rsidRPr="00BA316F" w14:paraId="753AB8E0" w14:textId="77777777" w:rsidTr="00BA316F">
              <w:tc>
                <w:tcPr>
                  <w:tcW w:w="1511" w:type="dxa"/>
                </w:tcPr>
                <w:p w14:paraId="0CA9201F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Złożenie dokumentacji aplikacyjnej o dofinansowanie projektu </w:t>
                  </w:r>
                </w:p>
              </w:tc>
              <w:tc>
                <w:tcPr>
                  <w:tcW w:w="1497" w:type="dxa"/>
                </w:tcPr>
                <w:p w14:paraId="4F420E04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3420979B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02.2019 r.</w:t>
                  </w:r>
                </w:p>
              </w:tc>
              <w:tc>
                <w:tcPr>
                  <w:tcW w:w="1499" w:type="dxa"/>
                </w:tcPr>
                <w:p w14:paraId="6164DB37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02.2019 r. </w:t>
                  </w:r>
                </w:p>
              </w:tc>
            </w:tr>
            <w:tr w:rsidR="00BA316F" w:rsidRPr="00BA316F" w14:paraId="5777EA13" w14:textId="77777777" w:rsidTr="00BA316F">
              <w:tc>
                <w:tcPr>
                  <w:tcW w:w="1511" w:type="dxa"/>
                </w:tcPr>
                <w:p w14:paraId="68D358CB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Podpisanie porozumienia o dofinansowanie </w:t>
                  </w:r>
                </w:p>
              </w:tc>
              <w:tc>
                <w:tcPr>
                  <w:tcW w:w="1497" w:type="dxa"/>
                </w:tcPr>
                <w:p w14:paraId="0F02417C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6496EE70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06.2019 r. </w:t>
                  </w:r>
                </w:p>
              </w:tc>
              <w:tc>
                <w:tcPr>
                  <w:tcW w:w="1499" w:type="dxa"/>
                </w:tcPr>
                <w:p w14:paraId="0D4627F7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07.2019 r. </w:t>
                  </w:r>
                </w:p>
              </w:tc>
            </w:tr>
            <w:tr w:rsidR="00BA316F" w:rsidRPr="00BA316F" w14:paraId="486EBD3F" w14:textId="77777777" w:rsidTr="00BA316F">
              <w:tc>
                <w:tcPr>
                  <w:tcW w:w="1511" w:type="dxa"/>
                </w:tcPr>
                <w:p w14:paraId="2E5BAF59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Przygotowanie postępowań przetargowych</w:t>
                  </w:r>
                </w:p>
              </w:tc>
              <w:tc>
                <w:tcPr>
                  <w:tcW w:w="1497" w:type="dxa"/>
                </w:tcPr>
                <w:p w14:paraId="0E62B803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7C39F3EC" w14:textId="77777777" w:rsidR="00BA316F" w:rsidRPr="006B58C5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6B58C5">
                    <w:rPr>
                      <w:i/>
                      <w:sz w:val="18"/>
                      <w:szCs w:val="20"/>
                    </w:rPr>
                    <w:t xml:space="preserve">05.2020 r. </w:t>
                  </w:r>
                </w:p>
              </w:tc>
              <w:tc>
                <w:tcPr>
                  <w:tcW w:w="1499" w:type="dxa"/>
                </w:tcPr>
                <w:p w14:paraId="564FA4B6" w14:textId="77777777" w:rsidR="00BA316F" w:rsidRPr="006B58C5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6B58C5">
                    <w:rPr>
                      <w:i/>
                      <w:sz w:val="18"/>
                      <w:szCs w:val="20"/>
                    </w:rPr>
                    <w:t>10.2021 r.</w:t>
                  </w:r>
                </w:p>
              </w:tc>
            </w:tr>
            <w:tr w:rsidR="00BA316F" w:rsidRPr="00BA316F" w14:paraId="4F0EE338" w14:textId="77777777" w:rsidTr="00BA316F">
              <w:tc>
                <w:tcPr>
                  <w:tcW w:w="1511" w:type="dxa"/>
                </w:tcPr>
                <w:p w14:paraId="5B5EFFA3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Zakończenie procedur przetargowych i wybór wykonawców usług/dostawców</w:t>
                  </w:r>
                </w:p>
              </w:tc>
              <w:tc>
                <w:tcPr>
                  <w:tcW w:w="1497" w:type="dxa"/>
                </w:tcPr>
                <w:p w14:paraId="668203AD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24D40088" w14:textId="77777777" w:rsidR="00BA316F" w:rsidRPr="006B58C5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6B58C5">
                    <w:rPr>
                      <w:i/>
                      <w:sz w:val="18"/>
                      <w:szCs w:val="20"/>
                    </w:rPr>
                    <w:t>10.2020 r.</w:t>
                  </w:r>
                </w:p>
              </w:tc>
              <w:tc>
                <w:tcPr>
                  <w:tcW w:w="1499" w:type="dxa"/>
                </w:tcPr>
                <w:p w14:paraId="74251E78" w14:textId="77777777" w:rsidR="00BA316F" w:rsidRPr="006B58C5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6B58C5">
                    <w:rPr>
                      <w:i/>
                      <w:sz w:val="18"/>
                      <w:szCs w:val="20"/>
                    </w:rPr>
                    <w:t>12.2021 r.</w:t>
                  </w:r>
                </w:p>
              </w:tc>
            </w:tr>
            <w:tr w:rsidR="00BA316F" w:rsidRPr="00BA316F" w14:paraId="2D7574D3" w14:textId="77777777" w:rsidTr="00BA316F">
              <w:tc>
                <w:tcPr>
                  <w:tcW w:w="1511" w:type="dxa"/>
                </w:tcPr>
                <w:p w14:paraId="092FBE7A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Wdrożony system EZD</w:t>
                  </w:r>
                </w:p>
              </w:tc>
              <w:tc>
                <w:tcPr>
                  <w:tcW w:w="1497" w:type="dxa"/>
                </w:tcPr>
                <w:p w14:paraId="07AB0DB7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4839CC38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01.2022 r. </w:t>
                  </w:r>
                </w:p>
              </w:tc>
              <w:tc>
                <w:tcPr>
                  <w:tcW w:w="1499" w:type="dxa"/>
                </w:tcPr>
                <w:p w14:paraId="6C5C56A9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01.2022 r.</w:t>
                  </w:r>
                </w:p>
              </w:tc>
            </w:tr>
            <w:tr w:rsidR="00BA316F" w:rsidRPr="00BA316F" w14:paraId="065A96F3" w14:textId="77777777" w:rsidTr="00BA316F">
              <w:tc>
                <w:tcPr>
                  <w:tcW w:w="1511" w:type="dxa"/>
                </w:tcPr>
                <w:p w14:paraId="0E0F9DFE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Wdrożony system finansowo-kadrowo-płacowy - uszczegółowienie kamienia z OZPI</w:t>
                  </w:r>
                </w:p>
              </w:tc>
              <w:tc>
                <w:tcPr>
                  <w:tcW w:w="1497" w:type="dxa"/>
                </w:tcPr>
                <w:p w14:paraId="082CDCDD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499" w:type="dxa"/>
                </w:tcPr>
                <w:p w14:paraId="3C21B79E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02.2022 r. </w:t>
                  </w:r>
                </w:p>
              </w:tc>
              <w:tc>
                <w:tcPr>
                  <w:tcW w:w="1499" w:type="dxa"/>
                </w:tcPr>
                <w:p w14:paraId="748DFE1D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03.2022 r. </w:t>
                  </w:r>
                </w:p>
              </w:tc>
            </w:tr>
            <w:tr w:rsidR="00BA316F" w:rsidRPr="00BA316F" w14:paraId="4A5F5F13" w14:textId="77777777" w:rsidTr="00BA316F">
              <w:tc>
                <w:tcPr>
                  <w:tcW w:w="1511" w:type="dxa"/>
                </w:tcPr>
                <w:p w14:paraId="5C5D97DB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Wdrożony System Zarządzania Uprawnieniami - uszczegółowienie kamienia z OZPI</w:t>
                  </w:r>
                </w:p>
              </w:tc>
              <w:tc>
                <w:tcPr>
                  <w:tcW w:w="1497" w:type="dxa"/>
                </w:tcPr>
                <w:p w14:paraId="0D979383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KPI 1 – 1 sztuka</w:t>
                  </w:r>
                </w:p>
              </w:tc>
              <w:tc>
                <w:tcPr>
                  <w:tcW w:w="1499" w:type="dxa"/>
                </w:tcPr>
                <w:p w14:paraId="0B02D219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01.2022 r.</w:t>
                  </w:r>
                </w:p>
              </w:tc>
              <w:tc>
                <w:tcPr>
                  <w:tcW w:w="1499" w:type="dxa"/>
                </w:tcPr>
                <w:p w14:paraId="0642C3D4" w14:textId="77777777" w:rsidR="00BA316F" w:rsidRPr="00BA316F" w:rsidRDefault="00BA316F" w:rsidP="004F4558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03.2022 r. </w:t>
                  </w:r>
                </w:p>
              </w:tc>
            </w:tr>
            <w:tr w:rsidR="00BA316F" w:rsidRPr="00BA316F" w14:paraId="470614BF" w14:textId="77777777" w:rsidTr="00BA316F">
              <w:tc>
                <w:tcPr>
                  <w:tcW w:w="1511" w:type="dxa"/>
                </w:tcPr>
                <w:p w14:paraId="47CF4B8C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Wdrożony System wsparcia szkoleń </w:t>
                  </w:r>
                  <w:r w:rsidRPr="00BA316F">
                    <w:rPr>
                      <w:i/>
                      <w:sz w:val="18"/>
                      <w:szCs w:val="20"/>
                    </w:rPr>
                    <w:lastRenderedPageBreak/>
                    <w:t xml:space="preserve">stacjonarnych i </w:t>
                  </w:r>
                  <w:proofErr w:type="spellStart"/>
                  <w:r w:rsidRPr="00BA316F">
                    <w:rPr>
                      <w:i/>
                      <w:sz w:val="18"/>
                      <w:szCs w:val="20"/>
                    </w:rPr>
                    <w:t>eLearningu</w:t>
                  </w:r>
                  <w:proofErr w:type="spellEnd"/>
                  <w:r w:rsidRPr="00BA316F">
                    <w:rPr>
                      <w:i/>
                      <w:sz w:val="18"/>
                      <w:szCs w:val="20"/>
                    </w:rPr>
                    <w:t xml:space="preserve"> - uszczegółowienie kamienia z OZPI</w:t>
                  </w:r>
                </w:p>
              </w:tc>
              <w:tc>
                <w:tcPr>
                  <w:tcW w:w="1497" w:type="dxa"/>
                </w:tcPr>
                <w:p w14:paraId="7692060F" w14:textId="77777777" w:rsid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lastRenderedPageBreak/>
                    <w:t>KPI 2 – 5 osób</w:t>
                  </w:r>
                </w:p>
                <w:p w14:paraId="5AFF633C" w14:textId="77777777" w:rsid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KPI 3 – 10 osób</w:t>
                  </w:r>
                </w:p>
                <w:p w14:paraId="128EE352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lastRenderedPageBreak/>
                    <w:t>KPI 4 – 5 osób</w:t>
                  </w:r>
                </w:p>
              </w:tc>
              <w:tc>
                <w:tcPr>
                  <w:tcW w:w="1499" w:type="dxa"/>
                </w:tcPr>
                <w:p w14:paraId="0EB37132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lastRenderedPageBreak/>
                    <w:t>01.2022 r.</w:t>
                  </w:r>
                </w:p>
              </w:tc>
              <w:tc>
                <w:tcPr>
                  <w:tcW w:w="1499" w:type="dxa"/>
                </w:tcPr>
                <w:p w14:paraId="150A4BAE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 xml:space="preserve">03.2022 r. </w:t>
                  </w:r>
                </w:p>
              </w:tc>
            </w:tr>
            <w:tr w:rsidR="00BA316F" w:rsidRPr="00BA316F" w14:paraId="57C3757A" w14:textId="77777777" w:rsidTr="00BA316F">
              <w:tc>
                <w:tcPr>
                  <w:tcW w:w="1511" w:type="dxa"/>
                </w:tcPr>
                <w:p w14:paraId="4F56C89D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Zmodyfikowany system WPR - uszczegółowienie kamienia z OZPI</w:t>
                  </w:r>
                </w:p>
              </w:tc>
              <w:tc>
                <w:tcPr>
                  <w:tcW w:w="1497" w:type="dxa"/>
                </w:tcPr>
                <w:p w14:paraId="4F5B1816" w14:textId="77777777" w:rsid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KPI 1 – 1 sztuka</w:t>
                  </w:r>
                </w:p>
                <w:p w14:paraId="74B7D0CA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KPI 5 – 2 sztuk</w:t>
                  </w:r>
                  <w:r>
                    <w:rPr>
                      <w:i/>
                      <w:sz w:val="18"/>
                      <w:szCs w:val="20"/>
                    </w:rPr>
                    <w:t>i</w:t>
                  </w:r>
                </w:p>
              </w:tc>
              <w:tc>
                <w:tcPr>
                  <w:tcW w:w="1499" w:type="dxa"/>
                </w:tcPr>
                <w:p w14:paraId="4AD1DC8E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01.2022 r.</w:t>
                  </w:r>
                </w:p>
              </w:tc>
              <w:tc>
                <w:tcPr>
                  <w:tcW w:w="1499" w:type="dxa"/>
                </w:tcPr>
                <w:p w14:paraId="70070122" w14:textId="77777777" w:rsidR="00BA316F" w:rsidRPr="00BA316F" w:rsidRDefault="00BA316F" w:rsidP="00BA316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BA316F">
                    <w:rPr>
                      <w:i/>
                      <w:sz w:val="18"/>
                      <w:szCs w:val="20"/>
                    </w:rPr>
                    <w:t>03.2022 r.</w:t>
                  </w:r>
                </w:p>
              </w:tc>
            </w:tr>
          </w:tbl>
          <w:p w14:paraId="007EBA8B" w14:textId="77777777" w:rsidR="002450C4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  <w:p w14:paraId="18C70538" w14:textId="77777777" w:rsidR="00AF22CB" w:rsidRDefault="00AF22CB" w:rsidP="00AF22CB">
            <w:pPr>
              <w:pStyle w:val="Tablecaption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wyniku realizacji projektu </w:t>
            </w:r>
            <w:r w:rsidRPr="507E343E">
              <w:rPr>
                <w:b/>
                <w:bCs/>
                <w:sz w:val="18"/>
                <w:szCs w:val="18"/>
              </w:rPr>
              <w:t xml:space="preserve">powstały poniżej wymienione </w:t>
            </w:r>
            <w:r>
              <w:rPr>
                <w:b/>
                <w:bCs/>
                <w:sz w:val="18"/>
                <w:szCs w:val="18"/>
              </w:rPr>
              <w:t>produkty:</w:t>
            </w:r>
          </w:p>
          <w:p w14:paraId="261FFAF5" w14:textId="7197AF41" w:rsidR="00AF22CB" w:rsidRDefault="00AF22CB" w:rsidP="00AF22CB">
            <w:pPr>
              <w:pStyle w:val="Other0"/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51"/>
              <w:gridCol w:w="2955"/>
            </w:tblGrid>
            <w:tr w:rsidR="004977E6" w14:paraId="5AE6E117" w14:textId="77777777" w:rsidTr="007C36D6">
              <w:trPr>
                <w:trHeight w:val="57"/>
              </w:trPr>
              <w:tc>
                <w:tcPr>
                  <w:tcW w:w="3051" w:type="dxa"/>
                  <w:shd w:val="clear" w:color="auto" w:fill="D9D9D9" w:themeFill="background1" w:themeFillShade="D9"/>
                  <w:vAlign w:val="center"/>
                </w:tcPr>
                <w:p w14:paraId="0C361CCD" w14:textId="77777777" w:rsidR="004977E6" w:rsidRDefault="004977E6" w:rsidP="004977E6">
                  <w:pPr>
                    <w:pStyle w:val="Other0"/>
                  </w:pPr>
                  <w:r>
                    <w:rPr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2955" w:type="dxa"/>
                  <w:shd w:val="clear" w:color="auto" w:fill="D9D9D9" w:themeFill="background1" w:themeFillShade="D9"/>
                  <w:vAlign w:val="center"/>
                </w:tcPr>
                <w:p w14:paraId="12FBA49D" w14:textId="77777777" w:rsidR="004977E6" w:rsidRDefault="004977E6" w:rsidP="004977E6">
                  <w:pPr>
                    <w:pStyle w:val="Other0"/>
                  </w:pPr>
                  <w:r>
                    <w:rPr>
                      <w:b/>
                      <w:bCs/>
                    </w:rPr>
                    <w:t>Data wdrożenia</w:t>
                  </w:r>
                </w:p>
              </w:tc>
            </w:tr>
            <w:tr w:rsidR="004977E6" w14:paraId="79EC4E71" w14:textId="77777777" w:rsidTr="00207CC8">
              <w:tc>
                <w:tcPr>
                  <w:tcW w:w="3051" w:type="dxa"/>
                </w:tcPr>
                <w:p w14:paraId="66562930" w14:textId="77777777" w:rsidR="004977E6" w:rsidRDefault="004977E6" w:rsidP="004977E6">
                  <w:pPr>
                    <w:pStyle w:val="Other0"/>
                  </w:pPr>
                  <w:r w:rsidRPr="0021565C">
                    <w:t>System Elektronicznego Zarządzania Dokumentacją (EZD PUW)</w:t>
                  </w:r>
                </w:p>
              </w:tc>
              <w:tc>
                <w:tcPr>
                  <w:tcW w:w="2955" w:type="dxa"/>
                </w:tcPr>
                <w:p w14:paraId="1276FD9E" w14:textId="77777777" w:rsidR="004977E6" w:rsidRDefault="004977E6" w:rsidP="004977E6">
                  <w:pPr>
                    <w:pStyle w:val="Other0"/>
                  </w:pPr>
                  <w:r w:rsidRPr="00385CCC">
                    <w:t>01.2022 r.</w:t>
                  </w:r>
                </w:p>
              </w:tc>
            </w:tr>
            <w:tr w:rsidR="004977E6" w14:paraId="7E53A949" w14:textId="77777777" w:rsidTr="00207CC8">
              <w:tc>
                <w:tcPr>
                  <w:tcW w:w="3051" w:type="dxa"/>
                </w:tcPr>
                <w:p w14:paraId="798A4028" w14:textId="77777777" w:rsidR="004977E6" w:rsidRDefault="004977E6" w:rsidP="004977E6">
                  <w:pPr>
                    <w:pStyle w:val="Other0"/>
                  </w:pPr>
                  <w:r w:rsidRPr="0021565C">
                    <w:t>Wirtualna Przestrzeń Robocza</w:t>
                  </w:r>
                </w:p>
              </w:tc>
              <w:tc>
                <w:tcPr>
                  <w:tcW w:w="2955" w:type="dxa"/>
                </w:tcPr>
                <w:p w14:paraId="47CC2927" w14:textId="77777777" w:rsidR="004977E6" w:rsidRDefault="004977E6" w:rsidP="004977E6">
                  <w:pPr>
                    <w:pStyle w:val="Other0"/>
                  </w:pPr>
                  <w:r w:rsidRPr="00385CCC">
                    <w:t>03.2022 r.</w:t>
                  </w:r>
                </w:p>
              </w:tc>
            </w:tr>
            <w:tr w:rsidR="004977E6" w14:paraId="4F30EFDB" w14:textId="77777777" w:rsidTr="00207CC8">
              <w:tc>
                <w:tcPr>
                  <w:tcW w:w="3051" w:type="dxa"/>
                </w:tcPr>
                <w:p w14:paraId="6A9259D7" w14:textId="77777777" w:rsidR="004977E6" w:rsidRDefault="004977E6" w:rsidP="004977E6">
                  <w:pPr>
                    <w:pStyle w:val="Other0"/>
                    <w:rPr>
                      <w:b/>
                      <w:bCs/>
                    </w:rPr>
                  </w:pPr>
                  <w:r w:rsidRPr="0021565C">
                    <w:t xml:space="preserve">System Finansowo – Kadrowo – Płacowy </w:t>
                  </w:r>
                </w:p>
              </w:tc>
              <w:tc>
                <w:tcPr>
                  <w:tcW w:w="2955" w:type="dxa"/>
                </w:tcPr>
                <w:p w14:paraId="0B8D84EB" w14:textId="77777777" w:rsidR="004977E6" w:rsidRDefault="004977E6" w:rsidP="004977E6">
                  <w:pPr>
                    <w:pStyle w:val="Other0"/>
                    <w:rPr>
                      <w:b/>
                      <w:bCs/>
                    </w:rPr>
                  </w:pPr>
                  <w:r w:rsidRPr="00385CCC">
                    <w:t>03.2022 r.</w:t>
                  </w:r>
                </w:p>
              </w:tc>
            </w:tr>
            <w:tr w:rsidR="004977E6" w14:paraId="55C13BDE" w14:textId="77777777" w:rsidTr="00207CC8">
              <w:tc>
                <w:tcPr>
                  <w:tcW w:w="3051" w:type="dxa"/>
                </w:tcPr>
                <w:p w14:paraId="236E7F26" w14:textId="77777777" w:rsidR="004977E6" w:rsidRDefault="004977E6" w:rsidP="004977E6">
                  <w:pPr>
                    <w:pStyle w:val="Other0"/>
                  </w:pPr>
                  <w:r w:rsidRPr="0021565C">
                    <w:t xml:space="preserve">System Zarządzania Uprawnieniami </w:t>
                  </w:r>
                </w:p>
              </w:tc>
              <w:tc>
                <w:tcPr>
                  <w:tcW w:w="2955" w:type="dxa"/>
                </w:tcPr>
                <w:p w14:paraId="61109F6E" w14:textId="77777777" w:rsidR="004977E6" w:rsidRDefault="004977E6" w:rsidP="004977E6">
                  <w:pPr>
                    <w:pStyle w:val="Other0"/>
                  </w:pPr>
                  <w:r w:rsidRPr="00385CCC">
                    <w:t>03.2022 r.</w:t>
                  </w:r>
                </w:p>
              </w:tc>
            </w:tr>
            <w:tr w:rsidR="004977E6" w14:paraId="72CC7E92" w14:textId="77777777" w:rsidTr="00207CC8">
              <w:tc>
                <w:tcPr>
                  <w:tcW w:w="3051" w:type="dxa"/>
                </w:tcPr>
                <w:p w14:paraId="7122859E" w14:textId="77777777" w:rsidR="004977E6" w:rsidRDefault="004977E6" w:rsidP="004977E6">
                  <w:pPr>
                    <w:pStyle w:val="Other0"/>
                  </w:pPr>
                  <w:r w:rsidRPr="0021565C">
                    <w:t xml:space="preserve">System wsparcie </w:t>
                  </w:r>
                  <w:proofErr w:type="spellStart"/>
                  <w:r w:rsidRPr="0021565C">
                    <w:t>Elearningu</w:t>
                  </w:r>
                  <w:proofErr w:type="spellEnd"/>
                </w:p>
              </w:tc>
              <w:tc>
                <w:tcPr>
                  <w:tcW w:w="2955" w:type="dxa"/>
                </w:tcPr>
                <w:p w14:paraId="546CF3A9" w14:textId="77777777" w:rsidR="004977E6" w:rsidRDefault="004977E6" w:rsidP="004977E6">
                  <w:pPr>
                    <w:pStyle w:val="Other0"/>
                  </w:pPr>
                  <w:r w:rsidRPr="00385CCC">
                    <w:t>03.2022 r.</w:t>
                  </w:r>
                </w:p>
              </w:tc>
            </w:tr>
            <w:tr w:rsidR="000C2A36" w14:paraId="3B0E77CA" w14:textId="77777777" w:rsidTr="00207CC8">
              <w:tc>
                <w:tcPr>
                  <w:tcW w:w="3051" w:type="dxa"/>
                </w:tcPr>
                <w:p w14:paraId="5B888F59" w14:textId="35165BDF" w:rsidR="000C2A36" w:rsidRPr="0021565C" w:rsidRDefault="000C2A36" w:rsidP="004977E6">
                  <w:pPr>
                    <w:pStyle w:val="Other0"/>
                  </w:pPr>
                  <w:r w:rsidRPr="007C36D6">
                    <w:rPr>
                      <w:rFonts w:ascii="Arial" w:hAnsi="Arial" w:cs="Arial"/>
                    </w:rPr>
                    <w:t>System SKD/RCP</w:t>
                  </w:r>
                </w:p>
              </w:tc>
              <w:tc>
                <w:tcPr>
                  <w:tcW w:w="2955" w:type="dxa"/>
                </w:tcPr>
                <w:p w14:paraId="20F03ADA" w14:textId="35CF4B89" w:rsidR="000C2A36" w:rsidRPr="00385CCC" w:rsidRDefault="000C2A36" w:rsidP="004977E6">
                  <w:pPr>
                    <w:pStyle w:val="Other0"/>
                  </w:pPr>
                  <w:r>
                    <w:t>*</w:t>
                  </w:r>
                </w:p>
              </w:tc>
            </w:tr>
          </w:tbl>
          <w:p w14:paraId="632B38FD" w14:textId="40E530E5" w:rsidR="004977E6" w:rsidRDefault="004977E6" w:rsidP="00AF22CB">
            <w:pPr>
              <w:pStyle w:val="Other0"/>
            </w:pPr>
          </w:p>
          <w:p w14:paraId="21435F45" w14:textId="6E8FDED8" w:rsidR="00AF22CB" w:rsidRPr="002450C4" w:rsidRDefault="000C2A36" w:rsidP="007C36D6">
            <w:pPr>
              <w:pStyle w:val="Other0"/>
              <w:rPr>
                <w:i/>
                <w:szCs w:val="20"/>
              </w:rPr>
            </w:pPr>
            <w:r>
              <w:t xml:space="preserve">* </w:t>
            </w:r>
            <w:r w:rsidR="004977E6">
              <w:t>Dodatkowo, w pierwotnym OZPI przewidziano</w:t>
            </w:r>
            <w:r w:rsidR="00D12991">
              <w:t xml:space="preserve"> realizację produktu „</w:t>
            </w:r>
            <w:r w:rsidR="00D12991" w:rsidRPr="00D12991">
              <w:t>System SKD/RCP</w:t>
            </w:r>
            <w:r w:rsidR="00D12991">
              <w:t xml:space="preserve">”. Zgodnie z opisem w OZPI, </w:t>
            </w:r>
            <w:r w:rsidR="00D12991" w:rsidRPr="007C36D6">
              <w:rPr>
                <w:i/>
              </w:rPr>
              <w:t>„Obecnie wykorzystywany jest w ORE samodzielny system SKD, który jest zainstalowany i rejestruje wejścia i wyjścia z budynku w oparciu o karty zbliżeniowe. System jest jednak zaimplementowany lokalnie jako wsparcie portierni, nie ma łatwej możliwości pozyskania w sposób automatyczny przez osoby upoważnione informacji zarejestrowanych w Systemie, nie ma też integracji z innymi systemami, jak choćby system kadrowy. W ramach prac projektowych chcemy doprowadzić do integracji systemu SKD z innymi systemami i możliwość wykorzystania tych danych – w szczególności jako uzupełnienie danych o obecności pracowników.”</w:t>
            </w:r>
            <w:r w:rsidR="00624349" w:rsidRPr="007C36D6">
              <w:t xml:space="preserve"> W</w:t>
            </w:r>
            <w:r w:rsidR="00624349">
              <w:t xml:space="preserve"> toku przygotowania do uruchomienia projektu </w:t>
            </w:r>
            <w:r w:rsidR="00624349" w:rsidRPr="00667900">
              <w:t xml:space="preserve">integracja taka </w:t>
            </w:r>
            <w:r w:rsidR="00624349">
              <w:t xml:space="preserve">przestała być </w:t>
            </w:r>
            <w:r w:rsidR="00624349" w:rsidRPr="00667900">
              <w:t xml:space="preserve">możliwa ze względu na decyzje </w:t>
            </w:r>
            <w:r w:rsidR="00624349">
              <w:t xml:space="preserve">ówczesnego </w:t>
            </w:r>
            <w:r w:rsidR="00624349" w:rsidRPr="00667900">
              <w:t xml:space="preserve">Ministerstwa Edukacji Narodowej (jednostki nadrzędnej dla zarówno Beneficjenta jak i Partnera), by nie dawać dostępu do Systemu Kontroli Dostępu, który w obecnej konfiguracji będzie działał zarówno w siedzibie ORE jak i w MEN i CIE”. </w:t>
            </w:r>
            <w:r w:rsidR="00624349">
              <w:t xml:space="preserve">W związku z powyższym, </w:t>
            </w:r>
            <w:r w:rsidR="00CE1723">
              <w:t xml:space="preserve">w 2019 roku wprowadzona została modyfikacja studium wykonalności uwzględniająca potencjalny brak ww. integracji tak, by nie wpłynął </w:t>
            </w:r>
            <w:r w:rsidR="00CE1723" w:rsidRPr="00667900">
              <w:t>w żadnym stopniu na realizację celów i wskaźników projektu.</w:t>
            </w:r>
            <w:r w:rsidR="00CE1723">
              <w:t xml:space="preserve"> Odpowiednie wyjaśnienia były również przekazywane w ramach odpowiedzi na zgłaszane uwagi do wcześniejszych raportów kwartalnych. Chcielibyśmy podkreślić, że oba systemy (System Kontroli Dostępu – SKD, oraz Rejestracja Czasu Pracy – RCP) funkcjonowały i były produkcyjnie wykorzystywane zarówno przed rozpoczęciem realizacji projektu, w trakcie tej realizacji, funkcjonują również obecnie, po zakończeniu jego realizacji.</w:t>
            </w:r>
            <w:r w:rsidR="007C36D6" w:rsidDel="007C36D6">
              <w:t xml:space="preserve"> </w:t>
            </w:r>
          </w:p>
        </w:tc>
      </w:tr>
      <w:tr w:rsidR="004D135D" w:rsidRPr="002450C4" w14:paraId="7358B361" w14:textId="77777777" w:rsidTr="00920CE8">
        <w:tc>
          <w:tcPr>
            <w:tcW w:w="480" w:type="dxa"/>
          </w:tcPr>
          <w:p w14:paraId="1E20EFD6" w14:textId="77777777" w:rsidR="004D135D" w:rsidRPr="002450C4" w:rsidRDefault="004D135D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09DB1FE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6CC24186" w14:textId="77777777" w:rsidR="004D135D" w:rsidRDefault="00BA316F" w:rsidP="00E30008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Nie dotyczy</w:t>
            </w:r>
          </w:p>
        </w:tc>
      </w:tr>
      <w:tr w:rsidR="00920CE8" w:rsidRPr="002450C4" w14:paraId="67AF1099" w14:textId="77777777" w:rsidTr="00920CE8">
        <w:tc>
          <w:tcPr>
            <w:tcW w:w="480" w:type="dxa"/>
          </w:tcPr>
          <w:p w14:paraId="2CE67A43" w14:textId="77777777" w:rsidR="00920CE8" w:rsidRPr="002450C4" w:rsidRDefault="00920CE8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0ED3715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4766D2D5" w14:textId="77777777" w:rsidR="0093436D" w:rsidRDefault="0093436D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4EB303AE" w14:textId="77777777" w:rsidR="0093436D" w:rsidRDefault="0093436D" w:rsidP="005A434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Na koniec projektu osiągnięto następujące wskaźniki: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50"/>
              <w:gridCol w:w="1695"/>
              <w:gridCol w:w="954"/>
              <w:gridCol w:w="1034"/>
              <w:gridCol w:w="983"/>
              <w:gridCol w:w="890"/>
            </w:tblGrid>
            <w:tr w:rsidR="0093436D" w:rsidRPr="0093436D" w14:paraId="71C3B923" w14:textId="77777777" w:rsidTr="0093436D">
              <w:tc>
                <w:tcPr>
                  <w:tcW w:w="1001" w:type="dxa"/>
                </w:tcPr>
                <w:p w14:paraId="44A0FCE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001" w:type="dxa"/>
                </w:tcPr>
                <w:p w14:paraId="6F1424AE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Nazwa wskaźnika</w:t>
                  </w:r>
                </w:p>
              </w:tc>
              <w:tc>
                <w:tcPr>
                  <w:tcW w:w="1001" w:type="dxa"/>
                </w:tcPr>
                <w:p w14:paraId="72D00877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Jednostka miary</w:t>
                  </w:r>
                </w:p>
              </w:tc>
              <w:tc>
                <w:tcPr>
                  <w:tcW w:w="1001" w:type="dxa"/>
                </w:tcPr>
                <w:p w14:paraId="31E1B4BE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Wartość planowana</w:t>
                  </w:r>
                </w:p>
              </w:tc>
              <w:tc>
                <w:tcPr>
                  <w:tcW w:w="1001" w:type="dxa"/>
                </w:tcPr>
                <w:p w14:paraId="3ADFAC13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Wartość osiągnięta </w:t>
                  </w:r>
                </w:p>
              </w:tc>
              <w:tc>
                <w:tcPr>
                  <w:tcW w:w="1001" w:type="dxa"/>
                </w:tcPr>
                <w:p w14:paraId="31D92095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Stopień realizacji (%)</w:t>
                  </w:r>
                </w:p>
              </w:tc>
            </w:tr>
            <w:tr w:rsidR="0093436D" w:rsidRPr="0093436D" w14:paraId="5676F9B3" w14:textId="77777777" w:rsidTr="0093436D">
              <w:tc>
                <w:tcPr>
                  <w:tcW w:w="1001" w:type="dxa"/>
                </w:tcPr>
                <w:p w14:paraId="7CA258B7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001" w:type="dxa"/>
                </w:tcPr>
                <w:p w14:paraId="7B325EF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podmiotów, które usprawniły funkcjonowanie w zakresie objętym katalogiem rekomendacji dotyczących awansu cyfrowego</w:t>
                  </w:r>
                </w:p>
              </w:tc>
              <w:tc>
                <w:tcPr>
                  <w:tcW w:w="1001" w:type="dxa"/>
                </w:tcPr>
                <w:p w14:paraId="5672E92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001" w:type="dxa"/>
                </w:tcPr>
                <w:p w14:paraId="11673D89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001" w:type="dxa"/>
                </w:tcPr>
                <w:p w14:paraId="40B0655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001" w:type="dxa"/>
                </w:tcPr>
                <w:p w14:paraId="4A2DB49E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1E9AAA92" w14:textId="77777777" w:rsidTr="0093436D">
              <w:tc>
                <w:tcPr>
                  <w:tcW w:w="1001" w:type="dxa"/>
                </w:tcPr>
                <w:p w14:paraId="2D561BE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001" w:type="dxa"/>
                </w:tcPr>
                <w:p w14:paraId="5B781DAA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IT podmiotów wykonujących zadania publiczne objętych wsparciem szkoleniowym - kobiety [osoby]</w:t>
                  </w:r>
                </w:p>
              </w:tc>
              <w:tc>
                <w:tcPr>
                  <w:tcW w:w="1001" w:type="dxa"/>
                </w:tcPr>
                <w:p w14:paraId="2A16F2ED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01" w:type="dxa"/>
                </w:tcPr>
                <w:p w14:paraId="4D7244B7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001" w:type="dxa"/>
                </w:tcPr>
                <w:p w14:paraId="33C2F96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001" w:type="dxa"/>
                </w:tcPr>
                <w:p w14:paraId="59E76F03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4BABA902" w14:textId="77777777" w:rsidTr="0093436D">
              <w:tc>
                <w:tcPr>
                  <w:tcW w:w="1001" w:type="dxa"/>
                </w:tcPr>
                <w:p w14:paraId="2E8E6CC5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1001" w:type="dxa"/>
                </w:tcPr>
                <w:p w14:paraId="28EF9138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 xml:space="preserve">Liczba pracowników IT podmiotów wykonujących </w:t>
                  </w:r>
                  <w:r w:rsidRPr="0093436D">
                    <w:rPr>
                      <w:i/>
                      <w:sz w:val="18"/>
                      <w:szCs w:val="20"/>
                    </w:rPr>
                    <w:lastRenderedPageBreak/>
                    <w:t>zadania publiczne objętych wsparciem szkoleniowym - mężczyźni [osoby]</w:t>
                  </w:r>
                </w:p>
              </w:tc>
              <w:tc>
                <w:tcPr>
                  <w:tcW w:w="1001" w:type="dxa"/>
                </w:tcPr>
                <w:p w14:paraId="09A2C80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lastRenderedPageBreak/>
                    <w:t>osoby</w:t>
                  </w:r>
                </w:p>
              </w:tc>
              <w:tc>
                <w:tcPr>
                  <w:tcW w:w="1001" w:type="dxa"/>
                </w:tcPr>
                <w:p w14:paraId="44E1186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1001" w:type="dxa"/>
                </w:tcPr>
                <w:p w14:paraId="0A71E90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1001" w:type="dxa"/>
                </w:tcPr>
                <w:p w14:paraId="4F069C6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6B8B2458" w14:textId="77777777" w:rsidTr="0093436D">
              <w:tc>
                <w:tcPr>
                  <w:tcW w:w="1001" w:type="dxa"/>
                </w:tcPr>
                <w:p w14:paraId="137FA06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1001" w:type="dxa"/>
                </w:tcPr>
                <w:p w14:paraId="2239276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IT podmiotów wykonujących zadania publiczne objętych wsparciem szkoleniowym [osoby]</w:t>
                  </w:r>
                </w:p>
              </w:tc>
              <w:tc>
                <w:tcPr>
                  <w:tcW w:w="1001" w:type="dxa"/>
                </w:tcPr>
                <w:p w14:paraId="05A92C54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01" w:type="dxa"/>
                </w:tcPr>
                <w:p w14:paraId="461655CD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001" w:type="dxa"/>
                </w:tcPr>
                <w:p w14:paraId="61E677A8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001" w:type="dxa"/>
                </w:tcPr>
                <w:p w14:paraId="61894E3B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4124FC33" w14:textId="77777777" w:rsidTr="0093436D">
              <w:tc>
                <w:tcPr>
                  <w:tcW w:w="1001" w:type="dxa"/>
                </w:tcPr>
                <w:p w14:paraId="53FE27E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001" w:type="dxa"/>
                </w:tcPr>
                <w:p w14:paraId="584E6E9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podmiotów wykonujących zadania publiczne nie będących pracownikami IT, objętych wsparciem szkoleniowym [osoby]</w:t>
                  </w:r>
                </w:p>
              </w:tc>
              <w:tc>
                <w:tcPr>
                  <w:tcW w:w="1001" w:type="dxa"/>
                </w:tcPr>
                <w:p w14:paraId="53F45E62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01" w:type="dxa"/>
                </w:tcPr>
                <w:p w14:paraId="60D5A7C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15</w:t>
                  </w:r>
                </w:p>
              </w:tc>
              <w:tc>
                <w:tcPr>
                  <w:tcW w:w="1001" w:type="dxa"/>
                </w:tcPr>
                <w:p w14:paraId="7F9320E9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15</w:t>
                  </w:r>
                </w:p>
              </w:tc>
              <w:tc>
                <w:tcPr>
                  <w:tcW w:w="1001" w:type="dxa"/>
                </w:tcPr>
                <w:p w14:paraId="4A6288C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0882B97C" w14:textId="77777777" w:rsidTr="0093436D">
              <w:tc>
                <w:tcPr>
                  <w:tcW w:w="1001" w:type="dxa"/>
                </w:tcPr>
                <w:p w14:paraId="42EC112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6</w:t>
                  </w:r>
                </w:p>
              </w:tc>
              <w:tc>
                <w:tcPr>
                  <w:tcW w:w="1001" w:type="dxa"/>
                </w:tcPr>
                <w:p w14:paraId="755C1E0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podmiotów wykonujących zadania publiczne niebędących pracownikami IT, objętych wsparciem szkoleniowym - kobiety [osoby]</w:t>
                  </w:r>
                </w:p>
              </w:tc>
              <w:tc>
                <w:tcPr>
                  <w:tcW w:w="1001" w:type="dxa"/>
                </w:tcPr>
                <w:p w14:paraId="69F9BABA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01" w:type="dxa"/>
                </w:tcPr>
                <w:p w14:paraId="2C7D61E4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</w:t>
                  </w:r>
                </w:p>
              </w:tc>
              <w:tc>
                <w:tcPr>
                  <w:tcW w:w="1001" w:type="dxa"/>
                </w:tcPr>
                <w:p w14:paraId="61212604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</w:t>
                  </w:r>
                </w:p>
              </w:tc>
              <w:tc>
                <w:tcPr>
                  <w:tcW w:w="1001" w:type="dxa"/>
                </w:tcPr>
                <w:p w14:paraId="4FBC5E83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502031BF" w14:textId="77777777" w:rsidTr="0093436D">
              <w:tc>
                <w:tcPr>
                  <w:tcW w:w="1001" w:type="dxa"/>
                </w:tcPr>
                <w:p w14:paraId="1A12811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7</w:t>
                  </w:r>
                </w:p>
              </w:tc>
              <w:tc>
                <w:tcPr>
                  <w:tcW w:w="1001" w:type="dxa"/>
                </w:tcPr>
                <w:p w14:paraId="52F04925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pracowników podmiotów wykonujących zadania publiczne niebędących pracownikami IT, objętych wsparciem szkoleniowym - mężczyźni [osoby]</w:t>
                  </w:r>
                </w:p>
              </w:tc>
              <w:tc>
                <w:tcPr>
                  <w:tcW w:w="1001" w:type="dxa"/>
                </w:tcPr>
                <w:p w14:paraId="6732E3D6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001" w:type="dxa"/>
                </w:tcPr>
                <w:p w14:paraId="265B68F4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001" w:type="dxa"/>
                </w:tcPr>
                <w:p w14:paraId="1BD614D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001" w:type="dxa"/>
                </w:tcPr>
                <w:p w14:paraId="7EE91D91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614B76A0" w14:textId="77777777" w:rsidTr="0093436D">
              <w:tc>
                <w:tcPr>
                  <w:tcW w:w="1001" w:type="dxa"/>
                </w:tcPr>
                <w:p w14:paraId="7E213FC7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8</w:t>
                  </w:r>
                </w:p>
              </w:tc>
              <w:tc>
                <w:tcPr>
                  <w:tcW w:w="1001" w:type="dxa"/>
                </w:tcPr>
                <w:p w14:paraId="5C98BBDD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uruchomionych systemów teleinformatycznych w podmiotach wykonujących zadania publiczne [szt.]</w:t>
                  </w:r>
                </w:p>
              </w:tc>
              <w:tc>
                <w:tcPr>
                  <w:tcW w:w="1001" w:type="dxa"/>
                </w:tcPr>
                <w:p w14:paraId="6A6BEFD0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001" w:type="dxa"/>
                </w:tcPr>
                <w:p w14:paraId="49DBF94B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001" w:type="dxa"/>
                </w:tcPr>
                <w:p w14:paraId="16F7A052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001" w:type="dxa"/>
                </w:tcPr>
                <w:p w14:paraId="34CE16BF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  <w:tr w:rsidR="0093436D" w:rsidRPr="0093436D" w14:paraId="2D6E73C8" w14:textId="77777777" w:rsidTr="0093436D">
              <w:tc>
                <w:tcPr>
                  <w:tcW w:w="1001" w:type="dxa"/>
                </w:tcPr>
                <w:p w14:paraId="2712BEC7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9</w:t>
                  </w:r>
                </w:p>
              </w:tc>
              <w:tc>
                <w:tcPr>
                  <w:tcW w:w="1001" w:type="dxa"/>
                </w:tcPr>
                <w:p w14:paraId="152DAC4A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Liczba urzędów, które wdrożyły katalog rekomendacji dotyczących awansu cyfrowego [szt.]</w:t>
                  </w:r>
                </w:p>
              </w:tc>
              <w:tc>
                <w:tcPr>
                  <w:tcW w:w="1001" w:type="dxa"/>
                </w:tcPr>
                <w:p w14:paraId="14375E1D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001" w:type="dxa"/>
                </w:tcPr>
                <w:p w14:paraId="2B224019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001" w:type="dxa"/>
                </w:tcPr>
                <w:p w14:paraId="5C01D672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001" w:type="dxa"/>
                </w:tcPr>
                <w:p w14:paraId="4D8CCBAC" w14:textId="77777777" w:rsidR="0093436D" w:rsidRPr="0093436D" w:rsidRDefault="0093436D" w:rsidP="00BE5A2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93436D">
                    <w:rPr>
                      <w:i/>
                      <w:sz w:val="18"/>
                      <w:szCs w:val="20"/>
                    </w:rPr>
                    <w:t>100</w:t>
                  </w:r>
                </w:p>
              </w:tc>
            </w:tr>
          </w:tbl>
          <w:p w14:paraId="015C8186" w14:textId="77777777" w:rsidR="0093436D" w:rsidRDefault="0093436D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54E19831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Dodatkowo zaplanowano dwa mierniki </w:t>
            </w:r>
            <w:r w:rsidRPr="00BA316F">
              <w:rPr>
                <w:i/>
                <w:sz w:val="18"/>
                <w:szCs w:val="20"/>
              </w:rPr>
              <w:t xml:space="preserve">sukcesu projektu zgodnie z Opisem Założeń Projektu Informatycznego: </w:t>
            </w:r>
          </w:p>
          <w:p w14:paraId="6D987793" w14:textId="0A6EB619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 xml:space="preserve">1).LICZBA RODZAJÓW SPRAW ZAŁATWIONYCH DROGĄ ELEKTRONICZNĄ - 10 szt. </w:t>
            </w:r>
          </w:p>
          <w:p w14:paraId="0D303DAA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 xml:space="preserve">Wskaźnik rezultatu dookreślony przez Wnioskodawcę, wynikający ze specyfiki projektu (wdrożenie EZD oraz modyfikacja WPR), umożliwiający weryfikację postawionych celów projektu. Wskaźnik oszacowano na podstawie liczby najważniejszych rodzajów funkcjonalności systemów: </w:t>
            </w:r>
          </w:p>
          <w:p w14:paraId="0EBA4E98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korespondencja z podmiotami publicznymi w postaci elektronicznej poprzez EZD zintegrowanym z e-PUAP,</w:t>
            </w:r>
          </w:p>
          <w:p w14:paraId="1C65DAAA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korespondencja wewnętrzna on-line,</w:t>
            </w:r>
          </w:p>
          <w:p w14:paraId="0A825D24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obsługa punktu kancelaryjnego,</w:t>
            </w:r>
          </w:p>
          <w:p w14:paraId="463BD617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e-obieg dokumentów w ORE w oparciu o WPR i EZD,</w:t>
            </w:r>
          </w:p>
          <w:p w14:paraId="00910A0D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zarządzanie danymi kadrowo-płacowymi pracownika /profil pracownika/,</w:t>
            </w:r>
          </w:p>
          <w:p w14:paraId="573B3218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proces zatwierdzanie dokumentów (podpis elektroniczny),</w:t>
            </w:r>
          </w:p>
          <w:p w14:paraId="14FDA45B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lastRenderedPageBreak/>
              <w:t>•</w:t>
            </w:r>
            <w:r w:rsidRPr="00BA316F">
              <w:rPr>
                <w:i/>
                <w:sz w:val="18"/>
                <w:szCs w:val="20"/>
              </w:rPr>
              <w:tab/>
              <w:t>organizacja szkoleń, zasobów edukacyjnych,</w:t>
            </w:r>
          </w:p>
          <w:p w14:paraId="6196E9A2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nadawanie uprawnień do systemów informatycznych,</w:t>
            </w:r>
          </w:p>
          <w:p w14:paraId="758DDCFE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obsługa archiwów dokumentacji,</w:t>
            </w:r>
          </w:p>
          <w:p w14:paraId="5E63E0C0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•</w:t>
            </w:r>
            <w:r w:rsidRPr="00BA316F">
              <w:rPr>
                <w:i/>
                <w:sz w:val="18"/>
                <w:szCs w:val="20"/>
              </w:rPr>
              <w:tab/>
              <w:t>zarządzania użytkownikami kursów/szkoleń.</w:t>
            </w:r>
          </w:p>
          <w:p w14:paraId="22FFAEFE" w14:textId="77777777" w:rsid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Powyższy wskaźnik został w pełni zrealizowany</w:t>
            </w:r>
          </w:p>
          <w:p w14:paraId="45E8F8DA" w14:textId="7777777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</w:p>
          <w:p w14:paraId="159F8DFA" w14:textId="4F2EE027" w:rsidR="00BA316F" w:rsidRPr="00BA316F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2).LICZBA SPRAW ZAŁATWIONYCH DROGĄ ELEKTRONICZNĄ - 18 800 szt. /rocznie</w:t>
            </w:r>
          </w:p>
          <w:p w14:paraId="25166DF0" w14:textId="77777777" w:rsidR="0093436D" w:rsidRDefault="00BA316F" w:rsidP="00BA316F">
            <w:pPr>
              <w:jc w:val="both"/>
              <w:rPr>
                <w:i/>
                <w:sz w:val="18"/>
                <w:szCs w:val="20"/>
              </w:rPr>
            </w:pPr>
            <w:r w:rsidRPr="00BA316F">
              <w:rPr>
                <w:i/>
                <w:sz w:val="18"/>
                <w:szCs w:val="20"/>
              </w:rPr>
              <w:t>Wskaźnik rezultatu dookreślony przez Wnioskodawcę, wynikający ze specyfiki projektu (wdrożenie EZD oraz modyfikacja WPR), umożliwiający weryfikację postawionych celów projektu.</w:t>
            </w:r>
          </w:p>
          <w:p w14:paraId="688459EA" w14:textId="77777777" w:rsidR="00BA316F" w:rsidRDefault="00BA316F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387A5C05" w14:textId="77777777" w:rsidR="00BA316F" w:rsidRDefault="00BA316F" w:rsidP="005A434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 ten jeszcze nie został zrealizowany, gdyż systemy w oparciu o które wskaźnik będzie mierzony zostały wdrożone dopiero w 1 kwartale 2022. Niemniej na moment przygotowywania niniejszego raportu,  w samym systemie obiegu dokumentów zarejestrowano 2513 oddzielnych „koszulek”, stanowiących odwzorowanie poszczególnych spraw, przy czym część „koszulek” mogła dotyczyć wielu różnych spraw, co znacząco zwiększa ww. liczbę. Dodatkowo, w systemie zarejestrowano 8 446 sztuk korespondencji wychodzącej, 11 363 sztuk korespondencji przychodzącej oraz 864 pisma wewnętrzne.</w:t>
            </w:r>
          </w:p>
          <w:p w14:paraId="3CB4D7C8" w14:textId="77777777" w:rsidR="007D737E" w:rsidRDefault="007D737E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492908E1" w14:textId="77777777" w:rsidR="00D83EBC" w:rsidRDefault="00D83EBC" w:rsidP="00D83EB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Zgodność z krajowymi dokumentami strategicznymi: </w:t>
            </w:r>
          </w:p>
          <w:p w14:paraId="725DD361" w14:textId="291B985C" w:rsidR="00356C8F" w:rsidRPr="007C36D6" w:rsidRDefault="00356C8F" w:rsidP="007C36D6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0"/>
                <w:lang w:eastAsia="pl-PL"/>
              </w:rPr>
            </w:pPr>
            <w:r w:rsidRPr="007C36D6">
              <w:rPr>
                <w:rFonts w:cs="Arial"/>
                <w:color w:val="000000"/>
                <w:sz w:val="20"/>
                <w:lang w:eastAsia="pl-PL"/>
              </w:rPr>
              <w:t>Sprawne Państwo 2020-Cel 2 "Zwiększenie sprawności instytucjonalnej państwa", Kierunek interwencji 2.1.Doskonalenie standardów zarządzania</w:t>
            </w:r>
          </w:p>
          <w:p w14:paraId="14833577" w14:textId="47E2C2AA" w:rsidR="00356C8F" w:rsidRPr="007C36D6" w:rsidRDefault="00356C8F" w:rsidP="007C36D6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0"/>
                <w:lang w:eastAsia="pl-PL"/>
              </w:rPr>
            </w:pPr>
            <w:r w:rsidRPr="007C36D6">
              <w:rPr>
                <w:rFonts w:cs="Arial"/>
                <w:color w:val="000000"/>
                <w:sz w:val="20"/>
                <w:lang w:eastAsia="pl-PL"/>
              </w:rPr>
              <w:t xml:space="preserve">Strategia rozwoju kapitału społecznego - cel </w:t>
            </w:r>
            <w:proofErr w:type="spellStart"/>
            <w:r w:rsidRPr="007C36D6">
              <w:rPr>
                <w:rFonts w:cs="Arial"/>
                <w:color w:val="000000"/>
                <w:sz w:val="20"/>
                <w:lang w:eastAsia="pl-PL"/>
              </w:rPr>
              <w:t>szczeg</w:t>
            </w:r>
            <w:proofErr w:type="spellEnd"/>
            <w:r w:rsidRPr="007C36D6">
              <w:rPr>
                <w:rFonts w:cs="Arial"/>
                <w:color w:val="000000"/>
                <w:sz w:val="20"/>
                <w:lang w:eastAsia="pl-PL"/>
              </w:rPr>
              <w:t>. 3:</w:t>
            </w:r>
            <w:r w:rsidR="003E5F9B"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7C36D6">
              <w:rPr>
                <w:rFonts w:cs="Arial"/>
                <w:color w:val="000000"/>
                <w:sz w:val="20"/>
                <w:lang w:eastAsia="pl-PL"/>
              </w:rPr>
              <w:t>Usprawnienie procesów komunikacji społecznej oraz wymiany wiedzy.</w:t>
            </w:r>
          </w:p>
          <w:p w14:paraId="1662CF15" w14:textId="08A6C836" w:rsidR="00920CE8" w:rsidRPr="00356C8F" w:rsidRDefault="00356C8F" w:rsidP="007C36D6">
            <w:pPr>
              <w:pStyle w:val="Akapitzlist"/>
              <w:numPr>
                <w:ilvl w:val="0"/>
                <w:numId w:val="11"/>
              </w:numPr>
              <w:jc w:val="both"/>
              <w:rPr>
                <w:i/>
                <w:sz w:val="18"/>
                <w:szCs w:val="20"/>
              </w:rPr>
            </w:pPr>
            <w:r w:rsidRPr="007C36D6">
              <w:rPr>
                <w:rFonts w:cs="Arial"/>
                <w:color w:val="000000"/>
                <w:sz w:val="20"/>
                <w:lang w:eastAsia="pl-PL"/>
              </w:rPr>
              <w:t>Program Zintegrowanej Informatyzacji Państwa 2. Wyznaczanie standardów i tworzenie warunków dla efektywnej i bezpiecznej e-administracji, 4.Informatyzacja urzędów.</w:t>
            </w:r>
          </w:p>
        </w:tc>
      </w:tr>
      <w:tr w:rsidR="007A0A3D" w:rsidRPr="002450C4" w14:paraId="2CA53027" w14:textId="77777777" w:rsidTr="00920CE8">
        <w:tc>
          <w:tcPr>
            <w:tcW w:w="480" w:type="dxa"/>
          </w:tcPr>
          <w:p w14:paraId="421CB1B9" w14:textId="77777777" w:rsidR="007A0A3D" w:rsidRPr="002450C4" w:rsidRDefault="007A0A3D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1DACE83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22315C4C" w14:textId="77777777" w:rsidR="00BA316F" w:rsidRDefault="00BA316F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Do najważniejszych </w:t>
            </w:r>
            <w:proofErr w:type="spellStart"/>
            <w:r>
              <w:rPr>
                <w:i/>
                <w:sz w:val="18"/>
                <w:szCs w:val="20"/>
              </w:rPr>
              <w:t>ryzyk</w:t>
            </w:r>
            <w:proofErr w:type="spellEnd"/>
            <w:r>
              <w:rPr>
                <w:i/>
                <w:sz w:val="18"/>
                <w:szCs w:val="20"/>
              </w:rPr>
              <w:t xml:space="preserve"> i problemów, które wystąpiły podczas realizacji projektu należy zaliczyć:</w:t>
            </w:r>
          </w:p>
          <w:p w14:paraId="5AAE87E1" w14:textId="77777777" w:rsidR="00BA316F" w:rsidRDefault="008E076E" w:rsidP="008E076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Niedoszacowanie nakładów inwe</w:t>
            </w:r>
            <w:r w:rsidRPr="008E076E">
              <w:rPr>
                <w:i/>
                <w:sz w:val="18"/>
                <w:szCs w:val="20"/>
              </w:rPr>
              <w:t>stycyjnych</w:t>
            </w:r>
            <w:r>
              <w:rPr>
                <w:i/>
                <w:sz w:val="18"/>
                <w:szCs w:val="20"/>
              </w:rPr>
              <w:t xml:space="preserve"> i powstałe w rezultacie zbyt wysokie szacowania przed przetargami. </w:t>
            </w:r>
            <w:r w:rsidRPr="008E076E">
              <w:rPr>
                <w:i/>
                <w:sz w:val="18"/>
                <w:szCs w:val="20"/>
              </w:rPr>
              <w:t>W związku z dokonaną przez Beneficjenta we współpracy z Partnerem, analizą szacowania wartości zadań (w szczególno</w:t>
            </w:r>
            <w:r>
              <w:rPr>
                <w:i/>
                <w:sz w:val="18"/>
                <w:szCs w:val="20"/>
              </w:rPr>
              <w:t>ści zamówień publicznych) w kon</w:t>
            </w:r>
            <w:r w:rsidRPr="008E076E">
              <w:rPr>
                <w:i/>
                <w:sz w:val="18"/>
                <w:szCs w:val="20"/>
              </w:rPr>
              <w:t>tekście optymalizacji rozwiązań dotyczących zakupu i wdrażania systemów informatycznych z uwzględnieniem zachowania odpowiedniej jakości wszystkich zaplanowanych produktów, osiągnięcia KM i wskaźników</w:t>
            </w:r>
            <w:r>
              <w:rPr>
                <w:i/>
                <w:sz w:val="18"/>
                <w:szCs w:val="20"/>
              </w:rPr>
              <w:t xml:space="preserve"> projektowych, jak też celem mi</w:t>
            </w:r>
            <w:r w:rsidRPr="008E076E">
              <w:rPr>
                <w:i/>
                <w:sz w:val="18"/>
                <w:szCs w:val="20"/>
              </w:rPr>
              <w:t xml:space="preserve">nimalizacji wzrastającego ryzyka niedoszacowania nakładów inwestycyjnych </w:t>
            </w:r>
            <w:r>
              <w:rPr>
                <w:i/>
                <w:sz w:val="18"/>
                <w:szCs w:val="20"/>
              </w:rPr>
              <w:t>(o czym  Benefi</w:t>
            </w:r>
            <w:r w:rsidRPr="008E076E">
              <w:rPr>
                <w:i/>
                <w:sz w:val="18"/>
                <w:szCs w:val="20"/>
              </w:rPr>
              <w:t>cjent sygnalizował w</w:t>
            </w:r>
            <w:r>
              <w:rPr>
                <w:i/>
                <w:sz w:val="18"/>
                <w:szCs w:val="20"/>
              </w:rPr>
              <w:t>e wcześniejszych</w:t>
            </w:r>
            <w:r w:rsidRPr="008E076E">
              <w:rPr>
                <w:i/>
                <w:sz w:val="18"/>
                <w:szCs w:val="20"/>
              </w:rPr>
              <w:t xml:space="preserve"> rapor</w:t>
            </w:r>
            <w:r>
              <w:rPr>
                <w:i/>
                <w:sz w:val="18"/>
                <w:szCs w:val="20"/>
              </w:rPr>
              <w:t>tach kwartalnych</w:t>
            </w:r>
            <w:r w:rsidRPr="008E076E">
              <w:rPr>
                <w:i/>
                <w:sz w:val="18"/>
                <w:szCs w:val="20"/>
              </w:rPr>
              <w:t xml:space="preserve">), pojawiła się konieczność dokonania modyfikacji wniosku o dofinansowanie w zakresie HRF, budżetu projektu i harmonogramu wyznaczającego KM, z uwagi na brak możliwości realizowania zadań (w tym </w:t>
            </w:r>
            <w:r>
              <w:rPr>
                <w:i/>
                <w:sz w:val="18"/>
                <w:szCs w:val="20"/>
              </w:rPr>
              <w:t>zamówień publicznych) dotyczą</w:t>
            </w:r>
            <w:r w:rsidRPr="008E076E">
              <w:rPr>
                <w:i/>
                <w:sz w:val="18"/>
                <w:szCs w:val="20"/>
              </w:rPr>
              <w:t>cych modernizacji sieci LAN i systemu finansowo – kadro</w:t>
            </w:r>
            <w:r>
              <w:rPr>
                <w:i/>
                <w:sz w:val="18"/>
                <w:szCs w:val="20"/>
              </w:rPr>
              <w:t>wo- płacowego  w obecnym kształcie z racji zmian technologicz</w:t>
            </w:r>
            <w:r w:rsidRPr="008E076E">
              <w:rPr>
                <w:i/>
                <w:sz w:val="18"/>
                <w:szCs w:val="20"/>
              </w:rPr>
              <w:t>nych, jakie nastąpiły na rynku od czasu pierwotnego szacowania, które przełożyły się również na wzrost oczekiwań finansowych u dostawców. Biorąc pod uwagę</w:t>
            </w:r>
            <w:r>
              <w:rPr>
                <w:i/>
                <w:sz w:val="18"/>
                <w:szCs w:val="20"/>
              </w:rPr>
              <w:t xml:space="preserve"> powyższe, jak też obecną sytua</w:t>
            </w:r>
            <w:r w:rsidRPr="008E076E">
              <w:rPr>
                <w:i/>
                <w:sz w:val="18"/>
                <w:szCs w:val="20"/>
              </w:rPr>
              <w:t xml:space="preserve">cję związaną z COVID – 19 nie-zbędnym </w:t>
            </w:r>
            <w:r>
              <w:rPr>
                <w:i/>
                <w:sz w:val="18"/>
                <w:szCs w:val="20"/>
              </w:rPr>
              <w:t>było przedłużenie terminu osiągnięcia KM. Benefi</w:t>
            </w:r>
            <w:r w:rsidRPr="008E076E">
              <w:rPr>
                <w:i/>
                <w:sz w:val="18"/>
                <w:szCs w:val="20"/>
              </w:rPr>
              <w:t xml:space="preserve">cjent </w:t>
            </w:r>
            <w:r>
              <w:rPr>
                <w:i/>
                <w:sz w:val="18"/>
                <w:szCs w:val="20"/>
              </w:rPr>
              <w:t>zawnioskował o wydłuże</w:t>
            </w:r>
            <w:r w:rsidRPr="008E076E">
              <w:rPr>
                <w:i/>
                <w:sz w:val="18"/>
                <w:szCs w:val="20"/>
              </w:rPr>
              <w:t>nie realizacji projektu o kwartał, zgodnie z zapisami specustawy. Beneficjent otrzymał pozytywną decyzję w tej sprawie</w:t>
            </w:r>
            <w:r>
              <w:rPr>
                <w:i/>
                <w:sz w:val="18"/>
                <w:szCs w:val="20"/>
              </w:rPr>
              <w:t>, przez co ostatecznie udało się przeprowadzić wszystkie planowane postępowania. Powyższe wymagało jedna przeprowadzenia ponownej analizy i kolejnych szacowań, aż udało się osiągnąć szacowania i ostatecznie oferty ,mieszczące się w założonym budżecie.</w:t>
            </w:r>
          </w:p>
          <w:p w14:paraId="749FAC62" w14:textId="77777777" w:rsidR="008E076E" w:rsidRPr="002450C4" w:rsidRDefault="008E076E" w:rsidP="008E076E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Zmiany w zespole projektowym – w trakcie realizacji projektu zmagaliśmy się z odejściami pracowników, co wpływało negatywnie na płynność realizacji projektu, zarówno w obszarze merytorycznym (odejście koordynatora jednego z największych systemów wdrażanych w ramach projektu) jak i zarządczo-rozliczeniowym (odejście 2 kolejnych osób zaangażowanych jako menedżerowie projektu). Wymagało to reorganizacji członków zespołu projektowego oraz tymczasowego dołączenia dodatkowych osób by minimalizować ryzyka związane z powyższą sytuacją.</w:t>
            </w:r>
          </w:p>
        </w:tc>
      </w:tr>
      <w:tr w:rsidR="00813FEF" w:rsidRPr="002450C4" w14:paraId="617228CD" w14:textId="77777777" w:rsidTr="00813FEF">
        <w:tc>
          <w:tcPr>
            <w:tcW w:w="480" w:type="dxa"/>
          </w:tcPr>
          <w:p w14:paraId="58350815" w14:textId="77777777" w:rsidR="00813FEF" w:rsidRPr="002450C4" w:rsidRDefault="00813FEF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583E526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2FFA9C47" w14:textId="77777777" w:rsidR="008E076E" w:rsidRDefault="008E076E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Z uwagi na bardzo niedawne zakończenie realizacji projektu, szczegółowa lista korzyści będzie w znacznym stopniu pochodną mierników, których pomiar dopiero </w:t>
            </w:r>
            <w:r>
              <w:rPr>
                <w:bCs/>
                <w:i/>
                <w:sz w:val="18"/>
                <w:szCs w:val="20"/>
              </w:rPr>
              <w:lastRenderedPageBreak/>
              <w:t>rozpoczynamy, efekty będą zatem wyraźniej widoczne dopiero po kilku miesiącach. Już teraz natomiast można wymienić następujące korzyści:</w:t>
            </w:r>
          </w:p>
          <w:p w14:paraId="3C4A0F7C" w14:textId="77777777" w:rsidR="008E076E" w:rsidRPr="00307B7D" w:rsidRDefault="00307B7D" w:rsidP="00307B7D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Oszczędność czasu uczestników szkoleń. Drogą elektroniczną może już odbywać się rezerwacja na szkolenia, ocena uczestników, wydawanie zaświadczeń i wzajemna wymiana innych niezbędnych dokumentów. Wdrożenie systemu EZD umożliwia kandydatom na szkolenia uniknięcie konieczności wykonywania długich rozmów telefonicznych w niedogodnych porach dnia lub osobistej wizyty w obsługującej jednostce. Dzięki wprowadzonemu rozwiązaniu użytkownicy zewnętrzni będą mogli w każdej dogodnej dla siebie chwili skorzystać z systemu elektronicznego, nie rezygnując w ten sposób z realizacji innych zaplanowanych spraw.</w:t>
            </w:r>
          </w:p>
          <w:p w14:paraId="0040CAAA" w14:textId="77777777" w:rsidR="00307B7D" w:rsidRPr="00307B7D" w:rsidRDefault="00307B7D" w:rsidP="00307B7D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Oszczędność czasu pracowników Ośrodka Rozwoju Edukacji w Warszawie. Realizacja inwestycji miała znaczący wpływ na usprawnienie i zautomatyzowanie procesów podczas realizacji zadań statutowych Ośrodka Rozwoju Edukacji w Warszawie. Dotychczasowy papierowy obieg dokumentacji sprawiał, że każdy dokument, czy każda sprawa musi przejść skomplikowaną ścieżkę w procesie realizacji danego zadania. Ponadto dokument fizycznie dostępny był w jednej określonej lokalizacji/ komórce/ wydziale. Obecnie większość dokumentacji przetwarzana jest w procesie elektronicznym, co istotnie zmniejsza liczbę utrudnień organizacyjnych, a tym samym przyspiesza pracę.</w:t>
            </w:r>
          </w:p>
          <w:p w14:paraId="50AB7B3A" w14:textId="77777777" w:rsidR="00307B7D" w:rsidRDefault="00307B7D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5DA34500" w14:textId="77777777" w:rsidR="00307B7D" w:rsidRDefault="00307B7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Sposób </w:t>
            </w:r>
            <w:r w:rsidRPr="00307B7D">
              <w:rPr>
                <w:bCs/>
                <w:i/>
                <w:sz w:val="18"/>
                <w:szCs w:val="20"/>
              </w:rPr>
              <w:t>pomiaru wszystkich korzyści jest uzależniony od konkretnego wskaźnika, niemniej w większości przypadków realizowany będzie przez bezpośrednie pomiary i raporty z wdrażanych systemów.</w:t>
            </w:r>
          </w:p>
          <w:p w14:paraId="5B9AEC90" w14:textId="77777777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1D717151" w14:textId="77777777" w:rsidTr="00813FEF">
        <w:tc>
          <w:tcPr>
            <w:tcW w:w="480" w:type="dxa"/>
          </w:tcPr>
          <w:p w14:paraId="73942E2A" w14:textId="77777777" w:rsidR="00F82254" w:rsidRPr="002450C4" w:rsidRDefault="00F82254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6BBFE77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451DE2C9" w14:textId="77777777" w:rsidR="00307B7D" w:rsidRDefault="00307B7D" w:rsidP="00DB70A5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W ramach projektu nie było przewidziane udostępnianie e-usług ani rejestrów do integracji. Niezależnie od powyższego, możliwa jest rozbudowa systemów do poziomu e-usług, w oparciu m.in. o:</w:t>
            </w:r>
          </w:p>
          <w:p w14:paraId="269224C5" w14:textId="77777777" w:rsidR="00307B7D" w:rsidRPr="00307B7D" w:rsidRDefault="00307B7D" w:rsidP="00307B7D">
            <w:pPr>
              <w:jc w:val="both"/>
              <w:rPr>
                <w:i/>
                <w:sz w:val="18"/>
                <w:szCs w:val="18"/>
              </w:rPr>
            </w:pPr>
            <w:r w:rsidRPr="00307B7D">
              <w:rPr>
                <w:i/>
                <w:sz w:val="18"/>
                <w:szCs w:val="18"/>
              </w:rPr>
              <w:t>•</w:t>
            </w:r>
            <w:r w:rsidRPr="00307B7D">
              <w:rPr>
                <w:i/>
                <w:sz w:val="18"/>
                <w:szCs w:val="18"/>
              </w:rPr>
              <w:tab/>
              <w:t>API EZD PUW,</w:t>
            </w:r>
          </w:p>
          <w:p w14:paraId="4F9954AF" w14:textId="77777777" w:rsidR="00307B7D" w:rsidRPr="00307B7D" w:rsidRDefault="00307B7D" w:rsidP="00307B7D">
            <w:pPr>
              <w:jc w:val="both"/>
              <w:rPr>
                <w:i/>
                <w:sz w:val="18"/>
                <w:szCs w:val="18"/>
              </w:rPr>
            </w:pPr>
            <w:r w:rsidRPr="00307B7D">
              <w:rPr>
                <w:i/>
                <w:sz w:val="18"/>
                <w:szCs w:val="18"/>
              </w:rPr>
              <w:t>•</w:t>
            </w:r>
            <w:r w:rsidRPr="00307B7D">
              <w:rPr>
                <w:i/>
                <w:sz w:val="18"/>
                <w:szCs w:val="18"/>
              </w:rPr>
              <w:tab/>
              <w:t>API WPR,</w:t>
            </w:r>
          </w:p>
          <w:p w14:paraId="4852A37A" w14:textId="77777777" w:rsidR="00307B7D" w:rsidRPr="00307B7D" w:rsidRDefault="00307B7D" w:rsidP="00307B7D">
            <w:pPr>
              <w:jc w:val="both"/>
              <w:rPr>
                <w:i/>
                <w:sz w:val="18"/>
                <w:szCs w:val="18"/>
              </w:rPr>
            </w:pPr>
            <w:r w:rsidRPr="00307B7D">
              <w:rPr>
                <w:i/>
                <w:sz w:val="18"/>
                <w:szCs w:val="18"/>
              </w:rPr>
              <w:t>•</w:t>
            </w:r>
            <w:r w:rsidRPr="00307B7D">
              <w:rPr>
                <w:i/>
                <w:sz w:val="18"/>
                <w:szCs w:val="18"/>
              </w:rPr>
              <w:tab/>
              <w:t>API pozostałych systemów zintegrowanych z WPR,</w:t>
            </w:r>
          </w:p>
          <w:p w14:paraId="25565A5C" w14:textId="77777777" w:rsidR="00307B7D" w:rsidRDefault="00307B7D" w:rsidP="00307B7D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•</w:t>
            </w:r>
            <w:r>
              <w:rPr>
                <w:i/>
                <w:sz w:val="18"/>
                <w:szCs w:val="18"/>
              </w:rPr>
              <w:tab/>
              <w:t>zapewnienie</w:t>
            </w:r>
            <w:r w:rsidRPr="00307B7D">
              <w:rPr>
                <w:i/>
                <w:sz w:val="18"/>
                <w:szCs w:val="18"/>
              </w:rPr>
              <w:t xml:space="preserve"> komunikacji pomiędzy urzędami oraz w ramach procesów wewnętrznych za pomocą platformy </w:t>
            </w:r>
            <w:proofErr w:type="spellStart"/>
            <w:r w:rsidRPr="00307B7D">
              <w:rPr>
                <w:i/>
                <w:sz w:val="18"/>
                <w:szCs w:val="18"/>
              </w:rPr>
              <w:t>ePUAP</w:t>
            </w:r>
            <w:proofErr w:type="spellEnd"/>
          </w:p>
          <w:p w14:paraId="7CD5497E" w14:textId="77777777" w:rsidR="00F82254" w:rsidRDefault="00F82254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4772F75B" w14:textId="77777777" w:rsidTr="00813FEF">
        <w:tc>
          <w:tcPr>
            <w:tcW w:w="480" w:type="dxa"/>
          </w:tcPr>
          <w:p w14:paraId="241504B9" w14:textId="77777777" w:rsidR="007C54F9" w:rsidRPr="002450C4" w:rsidRDefault="007C54F9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562EDF2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4F4F345B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Środki na utrzymanie celów i produktów/rezultatów Projektu po jego zakończeniu, a także w pozostałym, całym okresie trwałości, będą zapewnione w budżecie Beneficjenta</w:t>
            </w:r>
            <w:r>
              <w:rPr>
                <w:bCs/>
                <w:i/>
                <w:sz w:val="18"/>
                <w:szCs w:val="20"/>
              </w:rPr>
              <w:t xml:space="preserve"> oraz Partnera</w:t>
            </w:r>
            <w:r w:rsidRPr="00307B7D">
              <w:rPr>
                <w:bCs/>
                <w:i/>
                <w:sz w:val="18"/>
                <w:szCs w:val="20"/>
              </w:rPr>
              <w:t>.</w:t>
            </w:r>
          </w:p>
          <w:p w14:paraId="2C985FED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6CA4CAE8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Trwałość Projektu będzie zapewniona w ramach własnych zasobów kadrowych w zakresie zapewnienia ciągłości działania </w:t>
            </w:r>
            <w:r>
              <w:rPr>
                <w:bCs/>
                <w:i/>
                <w:sz w:val="18"/>
                <w:szCs w:val="20"/>
              </w:rPr>
              <w:t>w zakresie merytorycznym, oraz utrzymania niezbędnych licencji i wsparcia zewnętrznego. Partner projektu zapewni finansowanie etatów niezbędnych do zapewnienia administracji technicznej systemu.</w:t>
            </w:r>
          </w:p>
          <w:p w14:paraId="09090EE3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3B8CBD75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Zaplanowano następujące grupy działań wspierających z</w:t>
            </w:r>
            <w:r w:rsidRPr="00307B7D">
              <w:rPr>
                <w:bCs/>
                <w:i/>
                <w:sz w:val="18"/>
                <w:szCs w:val="20"/>
              </w:rPr>
              <w:t>apewnienie utrzymania projektu</w:t>
            </w:r>
            <w:r>
              <w:rPr>
                <w:bCs/>
                <w:i/>
                <w:sz w:val="18"/>
                <w:szCs w:val="20"/>
              </w:rPr>
              <w:t>:</w:t>
            </w:r>
          </w:p>
          <w:p w14:paraId="214D04AD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1).</w:t>
            </w:r>
            <w:r w:rsidRPr="00307B7D">
              <w:rPr>
                <w:bCs/>
                <w:i/>
                <w:sz w:val="18"/>
                <w:szCs w:val="20"/>
              </w:rPr>
              <w:tab/>
              <w:t xml:space="preserve">TECHNICZNE: </w:t>
            </w:r>
          </w:p>
          <w:p w14:paraId="22B92C27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Zmodernizowana sieć LAN oraz zakupiony sprzęt zagwarantują bezawaryjną pracę systemów na oczekiwanym poziomie, wyeliminują sytuacje awarii i przestojów systemów informatycznych. Środki trwałe oraz wartości niematerialne będą mogły być użytkowany w okresie długoterminowym, objęte zostaną gwarancją producenta. Trwałość techniczna systemów zostanie osiągnięta poprzez zapewnienie wysokiej jakości ich wykonania, zagwarantowanej odpowiednimi mechanizmami kontroli i częstością ich stosowania. Ponadto dla zachowania trwałości zastosowanych rozwiązań i zakupionych sprzętów, Wnioskodawca będzie ją poddawał regularnej aktualizacji (systemy operacyjne) i konserwacji (sprzęt), a w przypadku uszkodzenia jakiegoś elementu, dokona stosownych napraw.</w:t>
            </w:r>
          </w:p>
          <w:p w14:paraId="34DF9CB3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2).</w:t>
            </w:r>
            <w:r w:rsidRPr="00307B7D">
              <w:rPr>
                <w:bCs/>
                <w:i/>
                <w:sz w:val="18"/>
                <w:szCs w:val="20"/>
              </w:rPr>
              <w:tab/>
              <w:t xml:space="preserve">FINANSOWE: </w:t>
            </w:r>
          </w:p>
          <w:p w14:paraId="018B5247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Beneficjent </w:t>
            </w:r>
            <w:r w:rsidRPr="00307B7D">
              <w:rPr>
                <w:bCs/>
                <w:i/>
                <w:sz w:val="18"/>
                <w:szCs w:val="20"/>
              </w:rPr>
              <w:t xml:space="preserve">ma dobre wskaźniki budżetowe, co daje gwarancję bezpieczeństwa utrzymania inwestycji co najmniej w ciągu 5 lat od refundacji salda końcowego. Jego własność nie zostanie przekazana na rzecz innego podmiotu. </w:t>
            </w:r>
            <w:r>
              <w:rPr>
                <w:bCs/>
                <w:i/>
                <w:sz w:val="18"/>
                <w:szCs w:val="20"/>
              </w:rPr>
              <w:t xml:space="preserve">Beneficjent </w:t>
            </w:r>
            <w:r w:rsidRPr="00307B7D">
              <w:rPr>
                <w:bCs/>
                <w:i/>
                <w:sz w:val="18"/>
                <w:szCs w:val="20"/>
              </w:rPr>
              <w:t>pozostanie właścicielem zakupionej infrastruktury informatycznej.</w:t>
            </w:r>
          </w:p>
          <w:p w14:paraId="58E019B3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3).</w:t>
            </w:r>
            <w:r w:rsidRPr="00307B7D">
              <w:rPr>
                <w:bCs/>
                <w:i/>
                <w:sz w:val="18"/>
                <w:szCs w:val="20"/>
              </w:rPr>
              <w:tab/>
              <w:t xml:space="preserve">ORGANIZACYJNE: </w:t>
            </w:r>
          </w:p>
          <w:p w14:paraId="2846D2CE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Beneficjent oraz Partner </w:t>
            </w:r>
            <w:r w:rsidRPr="00307B7D">
              <w:rPr>
                <w:bCs/>
                <w:i/>
                <w:sz w:val="18"/>
                <w:szCs w:val="20"/>
              </w:rPr>
              <w:t xml:space="preserve">jest bardzo dobrze przygotowany do utrzymania wprowadzonej cyfryzacji. Posiada w swej strukturze </w:t>
            </w:r>
            <w:r>
              <w:rPr>
                <w:bCs/>
                <w:i/>
                <w:sz w:val="18"/>
                <w:szCs w:val="20"/>
              </w:rPr>
              <w:t xml:space="preserve">kompetentnych pracowników, którzy będą odpowiedzialni za bieżącą obsługę systemu. </w:t>
            </w:r>
            <w:r w:rsidRPr="00307B7D">
              <w:rPr>
                <w:bCs/>
                <w:i/>
                <w:sz w:val="18"/>
                <w:szCs w:val="20"/>
              </w:rPr>
              <w:t xml:space="preserve">Do ich zakresu obowiązków będzie należeć systematyczny nadzór nad prawidłowym </w:t>
            </w:r>
            <w:r w:rsidRPr="00307B7D">
              <w:rPr>
                <w:bCs/>
                <w:i/>
                <w:sz w:val="18"/>
                <w:szCs w:val="20"/>
              </w:rPr>
              <w:lastRenderedPageBreak/>
              <w:t>funkcjonowaniem systemu, zarządzanie produktami powstałymi podczas wdrożenia projektu, w okresie jego trwałości.</w:t>
            </w:r>
          </w:p>
          <w:p w14:paraId="4011E18F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4).</w:t>
            </w:r>
            <w:r w:rsidRPr="00307B7D">
              <w:rPr>
                <w:bCs/>
                <w:i/>
                <w:sz w:val="18"/>
                <w:szCs w:val="20"/>
              </w:rPr>
              <w:tab/>
              <w:t xml:space="preserve">ZARZĄDCZE: </w:t>
            </w:r>
          </w:p>
          <w:p w14:paraId="0906F1AF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Beneficjent posiada doświadczenie w realizacji projektów finansowanych z UE, rozliczania oraz utrzymywania osiągniętych wskaźnik</w:t>
            </w:r>
            <w:r>
              <w:rPr>
                <w:bCs/>
                <w:i/>
                <w:sz w:val="18"/>
                <w:szCs w:val="20"/>
              </w:rPr>
              <w:t xml:space="preserve">ów </w:t>
            </w:r>
            <w:proofErr w:type="spellStart"/>
            <w:r>
              <w:rPr>
                <w:bCs/>
                <w:i/>
                <w:sz w:val="18"/>
                <w:szCs w:val="20"/>
              </w:rPr>
              <w:t>zg</w:t>
            </w:r>
            <w:proofErr w:type="spellEnd"/>
            <w:r>
              <w:rPr>
                <w:bCs/>
                <w:i/>
                <w:sz w:val="18"/>
                <w:szCs w:val="20"/>
              </w:rPr>
              <w:t>. z umowa o dofinansowanie</w:t>
            </w:r>
            <w:r w:rsidRPr="00307B7D">
              <w:rPr>
                <w:bCs/>
                <w:i/>
                <w:sz w:val="18"/>
                <w:szCs w:val="20"/>
              </w:rPr>
              <w:t xml:space="preserve">. Do utrzymania trwałości projektu zostaną zaangażowane </w:t>
            </w:r>
            <w:r>
              <w:rPr>
                <w:bCs/>
                <w:i/>
                <w:sz w:val="18"/>
                <w:szCs w:val="20"/>
              </w:rPr>
              <w:t xml:space="preserve">wszystkie niezbędne </w:t>
            </w:r>
            <w:r w:rsidRPr="00307B7D">
              <w:rPr>
                <w:bCs/>
                <w:i/>
                <w:sz w:val="18"/>
                <w:szCs w:val="20"/>
              </w:rPr>
              <w:t>komórki ORE</w:t>
            </w:r>
            <w:r>
              <w:rPr>
                <w:bCs/>
                <w:i/>
                <w:sz w:val="18"/>
                <w:szCs w:val="20"/>
              </w:rPr>
              <w:t xml:space="preserve">. </w:t>
            </w:r>
            <w:r w:rsidRPr="00307B7D">
              <w:rPr>
                <w:bCs/>
                <w:i/>
                <w:sz w:val="18"/>
                <w:szCs w:val="20"/>
              </w:rPr>
              <w:t>Kontrolę zarządczą nad trwałością projektu będzie pełnił Dyrektor ORE.</w:t>
            </w:r>
          </w:p>
          <w:p w14:paraId="6A728C08" w14:textId="77777777" w:rsidR="007C54F9" w:rsidRDefault="00307B7D" w:rsidP="007C54F9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Sposób wykorzystania infrastruktury będzie na tym samym poziomie, który gwarantuje projekt, wszystkie funkcjonalności systemów zostaną zachowane, a Beneficjent uwzględnia nawet możliwość ich udoskonalania w odpowiedzi na potrzeby interesariuszy. Zaplanowano modułowość, skalowalność systemów, interfejsy do </w:t>
            </w:r>
            <w:proofErr w:type="spellStart"/>
            <w:r w:rsidRPr="00307B7D">
              <w:rPr>
                <w:bCs/>
                <w:i/>
                <w:sz w:val="18"/>
                <w:szCs w:val="20"/>
              </w:rPr>
              <w:t>oprogramowań</w:t>
            </w:r>
            <w:proofErr w:type="spellEnd"/>
            <w:r w:rsidRPr="00307B7D">
              <w:rPr>
                <w:bCs/>
                <w:i/>
                <w:sz w:val="18"/>
                <w:szCs w:val="20"/>
              </w:rPr>
              <w:t xml:space="preserve"> zewnętrznych, co zagwarantuje możliwość dostosowania systemu do zmieniającego się do otoczenia prawnego, organizacyjnego, technologicznego.</w:t>
            </w:r>
          </w:p>
        </w:tc>
      </w:tr>
      <w:tr w:rsidR="009D3D41" w:rsidRPr="002450C4" w14:paraId="19B58960" w14:textId="77777777" w:rsidTr="00813FEF">
        <w:tc>
          <w:tcPr>
            <w:tcW w:w="480" w:type="dxa"/>
          </w:tcPr>
          <w:p w14:paraId="20883FD8" w14:textId="77777777" w:rsidR="009D3D41" w:rsidRPr="002450C4" w:rsidRDefault="009D3D41" w:rsidP="007C36D6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605F685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4DCF16DF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Pozytywne:</w:t>
            </w:r>
          </w:p>
          <w:p w14:paraId="1CAD3897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-  zdobycie nowych umiejętności w zakresie: zarządzania, wykorzystania nowych urządzeń i technologii </w:t>
            </w:r>
          </w:p>
          <w:p w14:paraId="3C60A896" w14:textId="77777777" w:rsidR="00E52B5B" w:rsidRPr="00307B7D" w:rsidRDefault="00E52B5B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przestawienie pracowników na elektroniczny obieg dokumentów zwiększyło zarówno kompetencje jak i wydajność pracowników</w:t>
            </w:r>
          </w:p>
          <w:p w14:paraId="63305104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- podniesienie kompetencji interpersonalnych w zespole projektowym </w:t>
            </w:r>
          </w:p>
          <w:p w14:paraId="4FA0EE14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 xml:space="preserve">-  współpraca i wymiana doświadczeń z Partnerem </w:t>
            </w:r>
          </w:p>
          <w:p w14:paraId="6BDA571F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324D22A5" w14:textId="77777777" w:rsidR="00307B7D" w:rsidRP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Negatywne:</w:t>
            </w:r>
          </w:p>
          <w:p w14:paraId="5436DA73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-  nieplanowane zmiany personal</w:t>
            </w:r>
            <w:r w:rsidR="00E52B5B">
              <w:rPr>
                <w:bCs/>
                <w:i/>
                <w:sz w:val="18"/>
                <w:szCs w:val="20"/>
              </w:rPr>
              <w:t>n</w:t>
            </w:r>
            <w:r w:rsidRPr="00307B7D">
              <w:rPr>
                <w:bCs/>
                <w:i/>
                <w:sz w:val="18"/>
                <w:szCs w:val="20"/>
              </w:rPr>
              <w:t>e w zespole projektowym</w:t>
            </w:r>
          </w:p>
          <w:p w14:paraId="576744B1" w14:textId="77777777" w:rsidR="00E52B5B" w:rsidRPr="00307B7D" w:rsidRDefault="00E52B5B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dezorganizacja pracy spowodowana pandemią koronawirusa</w:t>
            </w:r>
          </w:p>
          <w:p w14:paraId="2FC32F1E" w14:textId="77777777" w:rsidR="00307B7D" w:rsidRDefault="00307B7D" w:rsidP="00307B7D">
            <w:pPr>
              <w:jc w:val="both"/>
              <w:rPr>
                <w:bCs/>
                <w:i/>
                <w:sz w:val="18"/>
                <w:szCs w:val="20"/>
              </w:rPr>
            </w:pPr>
            <w:r w:rsidRPr="00307B7D">
              <w:rPr>
                <w:bCs/>
                <w:i/>
                <w:sz w:val="18"/>
                <w:szCs w:val="20"/>
              </w:rPr>
              <w:t>-  praca pod presją czasu</w:t>
            </w:r>
          </w:p>
          <w:p w14:paraId="6DF34C31" w14:textId="77777777" w:rsidR="00E52B5B" w:rsidRDefault="00E52B5B" w:rsidP="00307B7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trudności w prowadzeniu postępowań publicznych, spowodowana zarówno zwiększeniem się oczekiwań finansowych Oferentów, jak i protestem do KIO</w:t>
            </w:r>
          </w:p>
          <w:p w14:paraId="29BED9C8" w14:textId="77777777" w:rsidR="009D3D41" w:rsidRDefault="009D3D41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6463F8CC" w14:textId="77777777" w:rsidR="007A0A3D" w:rsidRDefault="007A0A3D" w:rsidP="007A0A3D"/>
    <w:sectPr w:rsidR="007A0A3D" w:rsidSect="00504C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B3912" w14:textId="77777777" w:rsidR="005108FC" w:rsidRDefault="005108FC" w:rsidP="00BA316F">
      <w:pPr>
        <w:spacing w:after="0" w:line="240" w:lineRule="auto"/>
      </w:pPr>
      <w:r>
        <w:separator/>
      </w:r>
    </w:p>
  </w:endnote>
  <w:endnote w:type="continuationSeparator" w:id="0">
    <w:p w14:paraId="348351FA" w14:textId="77777777" w:rsidR="005108FC" w:rsidRDefault="005108FC" w:rsidP="00BA3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23551" w14:textId="77777777" w:rsidR="005108FC" w:rsidRDefault="005108FC" w:rsidP="00BA316F">
      <w:pPr>
        <w:spacing w:after="0" w:line="240" w:lineRule="auto"/>
      </w:pPr>
      <w:r>
        <w:separator/>
      </w:r>
    </w:p>
  </w:footnote>
  <w:footnote w:type="continuationSeparator" w:id="0">
    <w:p w14:paraId="5B7505D8" w14:textId="77777777" w:rsidR="005108FC" w:rsidRDefault="005108FC" w:rsidP="00BA3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81E"/>
    <w:multiLevelType w:val="hybridMultilevel"/>
    <w:tmpl w:val="FA808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754A9E"/>
    <w:multiLevelType w:val="hybridMultilevel"/>
    <w:tmpl w:val="115A0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732F19"/>
    <w:multiLevelType w:val="hybridMultilevel"/>
    <w:tmpl w:val="749E5F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A32458"/>
    <w:multiLevelType w:val="hybridMultilevel"/>
    <w:tmpl w:val="1A34AE1E"/>
    <w:lvl w:ilvl="0" w:tplc="C8F02F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637E2"/>
    <w:multiLevelType w:val="hybridMultilevel"/>
    <w:tmpl w:val="F75C4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B476C"/>
    <w:multiLevelType w:val="hybridMultilevel"/>
    <w:tmpl w:val="64FC9F8E"/>
    <w:lvl w:ilvl="0" w:tplc="2396B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961E6"/>
    <w:multiLevelType w:val="hybridMultilevel"/>
    <w:tmpl w:val="FE905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E73B15"/>
    <w:multiLevelType w:val="hybridMultilevel"/>
    <w:tmpl w:val="4044C3B4"/>
    <w:lvl w:ilvl="0" w:tplc="BD062F6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768861">
    <w:abstractNumId w:val="2"/>
  </w:num>
  <w:num w:numId="2" w16cid:durableId="243689672">
    <w:abstractNumId w:val="7"/>
  </w:num>
  <w:num w:numId="3" w16cid:durableId="460610031">
    <w:abstractNumId w:val="1"/>
  </w:num>
  <w:num w:numId="4" w16cid:durableId="1194734349">
    <w:abstractNumId w:val="11"/>
  </w:num>
  <w:num w:numId="5" w16cid:durableId="1194877046">
    <w:abstractNumId w:val="10"/>
  </w:num>
  <w:num w:numId="6" w16cid:durableId="590892419">
    <w:abstractNumId w:val="12"/>
  </w:num>
  <w:num w:numId="7" w16cid:durableId="978849315">
    <w:abstractNumId w:val="5"/>
  </w:num>
  <w:num w:numId="8" w16cid:durableId="1851797993">
    <w:abstractNumId w:val="0"/>
  </w:num>
  <w:num w:numId="9" w16cid:durableId="2120563330">
    <w:abstractNumId w:val="13"/>
  </w:num>
  <w:num w:numId="10" w16cid:durableId="1720978791">
    <w:abstractNumId w:val="8"/>
  </w:num>
  <w:num w:numId="11" w16cid:durableId="1303150561">
    <w:abstractNumId w:val="9"/>
  </w:num>
  <w:num w:numId="12" w16cid:durableId="1638604754">
    <w:abstractNumId w:val="3"/>
  </w:num>
  <w:num w:numId="13" w16cid:durableId="170687990">
    <w:abstractNumId w:val="6"/>
  </w:num>
  <w:num w:numId="14" w16cid:durableId="1646467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375A6"/>
    <w:rsid w:val="000636AA"/>
    <w:rsid w:val="000C2A36"/>
    <w:rsid w:val="000D38E6"/>
    <w:rsid w:val="000D3CA9"/>
    <w:rsid w:val="000D56A4"/>
    <w:rsid w:val="000E08BF"/>
    <w:rsid w:val="000E0C6F"/>
    <w:rsid w:val="000F58C7"/>
    <w:rsid w:val="00122413"/>
    <w:rsid w:val="001455E8"/>
    <w:rsid w:val="00147A99"/>
    <w:rsid w:val="00150B15"/>
    <w:rsid w:val="001600BB"/>
    <w:rsid w:val="001806EC"/>
    <w:rsid w:val="001960EB"/>
    <w:rsid w:val="001A7A01"/>
    <w:rsid w:val="001C0475"/>
    <w:rsid w:val="001C611C"/>
    <w:rsid w:val="001C6D7D"/>
    <w:rsid w:val="001D6C08"/>
    <w:rsid w:val="002018DE"/>
    <w:rsid w:val="0021582D"/>
    <w:rsid w:val="002450C4"/>
    <w:rsid w:val="002558DE"/>
    <w:rsid w:val="002A153C"/>
    <w:rsid w:val="002A728C"/>
    <w:rsid w:val="002F24B7"/>
    <w:rsid w:val="002F360E"/>
    <w:rsid w:val="00307B7D"/>
    <w:rsid w:val="00316C42"/>
    <w:rsid w:val="00327B22"/>
    <w:rsid w:val="00346413"/>
    <w:rsid w:val="00354814"/>
    <w:rsid w:val="00356C8F"/>
    <w:rsid w:val="00357AEA"/>
    <w:rsid w:val="003B107D"/>
    <w:rsid w:val="003B7BD6"/>
    <w:rsid w:val="003C5823"/>
    <w:rsid w:val="003D7919"/>
    <w:rsid w:val="003E1A63"/>
    <w:rsid w:val="003E5F9B"/>
    <w:rsid w:val="004046DC"/>
    <w:rsid w:val="004454B4"/>
    <w:rsid w:val="0044584C"/>
    <w:rsid w:val="00446FFB"/>
    <w:rsid w:val="00460E10"/>
    <w:rsid w:val="004977E6"/>
    <w:rsid w:val="004B19FE"/>
    <w:rsid w:val="004C37B5"/>
    <w:rsid w:val="004D135D"/>
    <w:rsid w:val="004D43FC"/>
    <w:rsid w:val="00504C69"/>
    <w:rsid w:val="005108FC"/>
    <w:rsid w:val="005367D3"/>
    <w:rsid w:val="00544B60"/>
    <w:rsid w:val="00554E6A"/>
    <w:rsid w:val="00555256"/>
    <w:rsid w:val="0058262E"/>
    <w:rsid w:val="005976EC"/>
    <w:rsid w:val="005A4344"/>
    <w:rsid w:val="005D4188"/>
    <w:rsid w:val="005F09FB"/>
    <w:rsid w:val="00617FE0"/>
    <w:rsid w:val="00624349"/>
    <w:rsid w:val="006253BD"/>
    <w:rsid w:val="00632AA0"/>
    <w:rsid w:val="00643672"/>
    <w:rsid w:val="00667900"/>
    <w:rsid w:val="006862B7"/>
    <w:rsid w:val="00687AFE"/>
    <w:rsid w:val="006B58C5"/>
    <w:rsid w:val="006B7454"/>
    <w:rsid w:val="00716201"/>
    <w:rsid w:val="0072748B"/>
    <w:rsid w:val="007408A3"/>
    <w:rsid w:val="00743031"/>
    <w:rsid w:val="007437D9"/>
    <w:rsid w:val="007610C0"/>
    <w:rsid w:val="00773523"/>
    <w:rsid w:val="007A0A3D"/>
    <w:rsid w:val="007C35AF"/>
    <w:rsid w:val="007C36D6"/>
    <w:rsid w:val="007C54F9"/>
    <w:rsid w:val="007D737E"/>
    <w:rsid w:val="007E2F1F"/>
    <w:rsid w:val="007E6098"/>
    <w:rsid w:val="007F63EF"/>
    <w:rsid w:val="00813FEF"/>
    <w:rsid w:val="00814C23"/>
    <w:rsid w:val="00815BB3"/>
    <w:rsid w:val="008213A6"/>
    <w:rsid w:val="00831B1C"/>
    <w:rsid w:val="008632E4"/>
    <w:rsid w:val="008770D0"/>
    <w:rsid w:val="00880BF4"/>
    <w:rsid w:val="008927DE"/>
    <w:rsid w:val="008E0416"/>
    <w:rsid w:val="008E076E"/>
    <w:rsid w:val="008E3221"/>
    <w:rsid w:val="00905779"/>
    <w:rsid w:val="009106EC"/>
    <w:rsid w:val="0092099A"/>
    <w:rsid w:val="00920CE8"/>
    <w:rsid w:val="0093436D"/>
    <w:rsid w:val="00965ADE"/>
    <w:rsid w:val="00982DC4"/>
    <w:rsid w:val="009979A9"/>
    <w:rsid w:val="009D3D41"/>
    <w:rsid w:val="009E1398"/>
    <w:rsid w:val="00A12836"/>
    <w:rsid w:val="00A1534B"/>
    <w:rsid w:val="00A522AB"/>
    <w:rsid w:val="00A6601B"/>
    <w:rsid w:val="00A710B2"/>
    <w:rsid w:val="00AA1C73"/>
    <w:rsid w:val="00AE783A"/>
    <w:rsid w:val="00AF22CB"/>
    <w:rsid w:val="00B265EB"/>
    <w:rsid w:val="00B33C04"/>
    <w:rsid w:val="00B57299"/>
    <w:rsid w:val="00B93735"/>
    <w:rsid w:val="00BA316F"/>
    <w:rsid w:val="00BC120E"/>
    <w:rsid w:val="00C02EA1"/>
    <w:rsid w:val="00C37A3A"/>
    <w:rsid w:val="00C42446"/>
    <w:rsid w:val="00C433EB"/>
    <w:rsid w:val="00C546B0"/>
    <w:rsid w:val="00C56B53"/>
    <w:rsid w:val="00C61388"/>
    <w:rsid w:val="00C67B9B"/>
    <w:rsid w:val="00C706CC"/>
    <w:rsid w:val="00C86152"/>
    <w:rsid w:val="00C948E6"/>
    <w:rsid w:val="00CA79E4"/>
    <w:rsid w:val="00CE1723"/>
    <w:rsid w:val="00CF1421"/>
    <w:rsid w:val="00CF4111"/>
    <w:rsid w:val="00D12991"/>
    <w:rsid w:val="00D22A05"/>
    <w:rsid w:val="00D2478E"/>
    <w:rsid w:val="00D2582C"/>
    <w:rsid w:val="00D65F79"/>
    <w:rsid w:val="00D83EBC"/>
    <w:rsid w:val="00DB70A5"/>
    <w:rsid w:val="00E30008"/>
    <w:rsid w:val="00E51364"/>
    <w:rsid w:val="00E52249"/>
    <w:rsid w:val="00E52B5B"/>
    <w:rsid w:val="00E84059"/>
    <w:rsid w:val="00EE7110"/>
    <w:rsid w:val="00EF094D"/>
    <w:rsid w:val="00F27F78"/>
    <w:rsid w:val="00F3205C"/>
    <w:rsid w:val="00F32CAA"/>
    <w:rsid w:val="00F66E0A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BD2C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31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31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316F"/>
    <w:rPr>
      <w:vertAlign w:val="superscript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BA316F"/>
  </w:style>
  <w:style w:type="character" w:customStyle="1" w:styleId="Other">
    <w:name w:val="Other_"/>
    <w:basedOn w:val="Domylnaczcionkaakapitu"/>
    <w:link w:val="Other0"/>
    <w:rsid w:val="00AF22CB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AF22CB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AF22CB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AF22CB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E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EBC"/>
    <w:rPr>
      <w:b/>
      <w:bCs/>
      <w:sz w:val="20"/>
      <w:szCs w:val="20"/>
    </w:rPr>
  </w:style>
  <w:style w:type="paragraph" w:customStyle="1" w:styleId="Default">
    <w:name w:val="Default"/>
    <w:rsid w:val="00D83E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27B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8D7FA-D68E-4D73-B3C3-6CC33E09E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3409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Marcin Urban</cp:lastModifiedBy>
  <cp:revision>2</cp:revision>
  <cp:lastPrinted>2022-05-31T12:44:00Z</cp:lastPrinted>
  <dcterms:created xsi:type="dcterms:W3CDTF">2022-06-10T07:55:00Z</dcterms:created>
  <dcterms:modified xsi:type="dcterms:W3CDTF">2022-06-10T07:55:00Z</dcterms:modified>
</cp:coreProperties>
</file>