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67" w:rsidRDefault="00C31467" w:rsidP="00C31467">
      <w:pPr>
        <w:spacing w:after="88"/>
        <w:ind w:left="-851" w:hanging="10"/>
        <w:jc w:val="center"/>
        <w:rPr>
          <w:rFonts w:cs="Times New Roman"/>
          <w:b/>
          <w:sz w:val="21"/>
          <w:szCs w:val="21"/>
        </w:rPr>
      </w:pPr>
      <w:bookmarkStart w:id="0" w:name="_GoBack"/>
      <w:bookmarkEnd w:id="0"/>
    </w:p>
    <w:p w:rsidR="00C31467" w:rsidRDefault="00C31467" w:rsidP="00C31467">
      <w:pPr>
        <w:spacing w:after="88"/>
        <w:ind w:left="-851" w:hanging="10"/>
        <w:jc w:val="center"/>
        <w:rPr>
          <w:rFonts w:cs="Times New Roman"/>
          <w:b/>
          <w:sz w:val="21"/>
          <w:szCs w:val="21"/>
        </w:rPr>
      </w:pPr>
    </w:p>
    <w:p w:rsidR="005D3D10" w:rsidRPr="000E7AD3" w:rsidRDefault="000E7AD3" w:rsidP="000E7AD3">
      <w:pPr>
        <w:spacing w:after="88" w:line="264" w:lineRule="auto"/>
        <w:ind w:left="-851" w:right="-964" w:firstLine="0"/>
        <w:jc w:val="center"/>
        <w:rPr>
          <w:rFonts w:cs="Times New Roman"/>
          <w:b/>
          <w:sz w:val="21"/>
          <w:szCs w:val="21"/>
        </w:rPr>
      </w:pPr>
      <w:r w:rsidRPr="000E7AD3">
        <w:rPr>
          <w:rFonts w:cs="Times New Roman"/>
          <w:b/>
          <w:sz w:val="21"/>
          <w:szCs w:val="21"/>
        </w:rPr>
        <w:t>Uchwała nr 37</w:t>
      </w:r>
    </w:p>
    <w:p w:rsidR="0086489A" w:rsidRPr="000E7AD3" w:rsidRDefault="007F0C26" w:rsidP="000E7AD3">
      <w:pPr>
        <w:spacing w:after="88" w:line="264" w:lineRule="auto"/>
        <w:ind w:left="-851" w:right="-964" w:firstLine="0"/>
        <w:jc w:val="center"/>
        <w:rPr>
          <w:rFonts w:cs="Times New Roman"/>
          <w:b/>
          <w:sz w:val="21"/>
          <w:szCs w:val="21"/>
        </w:rPr>
      </w:pPr>
      <w:r w:rsidRPr="000E7AD3">
        <w:rPr>
          <w:rFonts w:cs="Times New Roman"/>
          <w:b/>
          <w:sz w:val="21"/>
          <w:szCs w:val="21"/>
        </w:rPr>
        <w:t>Z</w:t>
      </w:r>
      <w:r w:rsidR="0086489A" w:rsidRPr="000E7AD3">
        <w:rPr>
          <w:rFonts w:cs="Times New Roman"/>
          <w:b/>
          <w:sz w:val="21"/>
          <w:szCs w:val="21"/>
        </w:rPr>
        <w:t>wyczajnego Walnego Zgromadzenia Spółki</w:t>
      </w:r>
    </w:p>
    <w:p w:rsidR="005D3D10" w:rsidRPr="000E7AD3" w:rsidRDefault="0086489A" w:rsidP="002E1DF4">
      <w:pPr>
        <w:spacing w:after="88" w:line="265" w:lineRule="auto"/>
        <w:ind w:left="-851" w:right="-963" w:firstLine="0"/>
        <w:jc w:val="center"/>
        <w:rPr>
          <w:rFonts w:cs="Times New Roman"/>
          <w:b/>
          <w:sz w:val="21"/>
          <w:szCs w:val="21"/>
        </w:rPr>
      </w:pPr>
      <w:r w:rsidRPr="000E7AD3">
        <w:rPr>
          <w:rFonts w:cs="Times New Roman"/>
          <w:b/>
          <w:sz w:val="21"/>
          <w:szCs w:val="21"/>
        </w:rPr>
        <w:t xml:space="preserve">Giełda Papierów Wartościowych w Warszawie S.A. („Spółka”) </w:t>
      </w:r>
    </w:p>
    <w:p w:rsidR="005D3D10" w:rsidRPr="000E7AD3" w:rsidRDefault="007F0C26" w:rsidP="000E7AD3">
      <w:pPr>
        <w:spacing w:after="85" w:line="265" w:lineRule="auto"/>
        <w:ind w:left="-851" w:right="-963" w:firstLine="0"/>
        <w:jc w:val="center"/>
        <w:rPr>
          <w:rFonts w:cs="Times New Roman"/>
          <w:b/>
          <w:sz w:val="21"/>
          <w:szCs w:val="21"/>
        </w:rPr>
      </w:pPr>
      <w:r w:rsidRPr="000E7AD3">
        <w:rPr>
          <w:rFonts w:cs="Times New Roman"/>
          <w:b/>
          <w:sz w:val="21"/>
          <w:szCs w:val="21"/>
        </w:rPr>
        <w:t>z dnia 17</w:t>
      </w:r>
      <w:r w:rsidR="0086489A" w:rsidRPr="000E7AD3">
        <w:rPr>
          <w:rFonts w:cs="Times New Roman"/>
          <w:b/>
          <w:sz w:val="21"/>
          <w:szCs w:val="21"/>
        </w:rPr>
        <w:t xml:space="preserve"> </w:t>
      </w:r>
      <w:r w:rsidRPr="000E7AD3">
        <w:rPr>
          <w:rFonts w:cs="Times New Roman"/>
          <w:b/>
          <w:sz w:val="21"/>
          <w:szCs w:val="21"/>
        </w:rPr>
        <w:t>czerwca 2019</w:t>
      </w:r>
      <w:r w:rsidR="0086489A" w:rsidRPr="000E7AD3">
        <w:rPr>
          <w:rFonts w:cs="Times New Roman"/>
          <w:b/>
          <w:sz w:val="21"/>
          <w:szCs w:val="21"/>
        </w:rPr>
        <w:t xml:space="preserve"> r. </w:t>
      </w:r>
    </w:p>
    <w:p w:rsidR="005D3D10" w:rsidRPr="000E7AD3" w:rsidRDefault="0086489A" w:rsidP="000E7AD3">
      <w:pPr>
        <w:spacing w:after="88" w:line="264" w:lineRule="auto"/>
        <w:ind w:left="-851" w:right="-964" w:firstLine="0"/>
        <w:jc w:val="center"/>
        <w:rPr>
          <w:rFonts w:cs="Times New Roman"/>
          <w:b/>
          <w:sz w:val="21"/>
          <w:szCs w:val="21"/>
        </w:rPr>
      </w:pPr>
      <w:r w:rsidRPr="000E7AD3">
        <w:rPr>
          <w:rFonts w:cs="Times New Roman"/>
          <w:b/>
          <w:sz w:val="21"/>
          <w:szCs w:val="21"/>
        </w:rPr>
        <w:t xml:space="preserve">w sprawie ustalenia zasad kształtowania wynagrodzeń Członków Rady </w:t>
      </w:r>
    </w:p>
    <w:p w:rsidR="005D3D10" w:rsidRPr="000E7AD3" w:rsidRDefault="0086489A" w:rsidP="002E1DF4">
      <w:pPr>
        <w:spacing w:after="91" w:line="265" w:lineRule="auto"/>
        <w:ind w:left="-851" w:right="-963" w:firstLine="0"/>
        <w:jc w:val="center"/>
        <w:rPr>
          <w:rFonts w:cs="Times New Roman"/>
          <w:b/>
          <w:sz w:val="21"/>
          <w:szCs w:val="21"/>
        </w:rPr>
      </w:pPr>
      <w:r w:rsidRPr="000E7AD3">
        <w:rPr>
          <w:rFonts w:cs="Times New Roman"/>
          <w:b/>
          <w:sz w:val="21"/>
          <w:szCs w:val="21"/>
        </w:rPr>
        <w:t>Nadzorczej Giełdy Papierów Wartościow</w:t>
      </w:r>
      <w:r w:rsidR="007F0C26" w:rsidRPr="000E7AD3">
        <w:rPr>
          <w:rFonts w:cs="Times New Roman"/>
          <w:b/>
          <w:sz w:val="21"/>
          <w:szCs w:val="21"/>
        </w:rPr>
        <w:t>ych w Warszawie Spółka Akcyjna</w:t>
      </w:r>
    </w:p>
    <w:p w:rsidR="005D3D10" w:rsidRPr="00C31467" w:rsidRDefault="0086489A" w:rsidP="002E1DF4">
      <w:pPr>
        <w:spacing w:after="289" w:line="259" w:lineRule="auto"/>
        <w:ind w:left="-851" w:right="-963" w:firstLine="0"/>
        <w:jc w:val="left"/>
        <w:rPr>
          <w:rFonts w:cs="Times New Roman"/>
          <w:sz w:val="21"/>
          <w:szCs w:val="21"/>
        </w:rPr>
      </w:pPr>
      <w:r w:rsidRPr="00C31467">
        <w:rPr>
          <w:rFonts w:cs="Times New Roman"/>
          <w:sz w:val="21"/>
          <w:szCs w:val="21"/>
        </w:rPr>
        <w:t xml:space="preserve"> </w:t>
      </w:r>
    </w:p>
    <w:p w:rsidR="005D3D10" w:rsidRPr="00C31467" w:rsidRDefault="0086489A" w:rsidP="000E7AD3">
      <w:pPr>
        <w:spacing w:after="199"/>
        <w:ind w:left="-851" w:right="-964" w:firstLine="0"/>
        <w:rPr>
          <w:rFonts w:cs="Times New Roman"/>
          <w:sz w:val="21"/>
          <w:szCs w:val="21"/>
        </w:rPr>
      </w:pPr>
      <w:r w:rsidRPr="00C31467">
        <w:rPr>
          <w:rFonts w:cs="Times New Roman"/>
          <w:sz w:val="21"/>
          <w:szCs w:val="21"/>
        </w:rPr>
        <w:t>Działając na podstawie art. 2 ust. 2 pkt 1 i art. 10 ustawy z dnia 9 czerwca 2016 r. o zasadach kształtowania wynagrodzeń osób kierujących niektórymi spółkami (</w:t>
      </w:r>
      <w:r w:rsidR="007F0C26" w:rsidRPr="00C31467">
        <w:rPr>
          <w:rFonts w:cs="Times New Roman"/>
          <w:sz w:val="21"/>
          <w:szCs w:val="21"/>
        </w:rPr>
        <w:t>Dz. U. z 2017 r. poz. 2190 z późn. zm.</w:t>
      </w:r>
      <w:r w:rsidRPr="00C31467">
        <w:rPr>
          <w:rFonts w:cs="Times New Roman"/>
          <w:sz w:val="21"/>
          <w:szCs w:val="21"/>
        </w:rPr>
        <w:t xml:space="preserve">) oraz § 19 ust. 2 Statutu Giełdy Papierów Wartościowych w Warszawie S.A. Walne Zgromadzenie Spółki Giełdy Papierów Wartościowych w Warszawie Spółka Akcyjna (Spółka) uchwala, co następuje: </w:t>
      </w:r>
    </w:p>
    <w:p w:rsidR="005D3D10" w:rsidRPr="00C31467" w:rsidRDefault="0086489A" w:rsidP="000E7AD3">
      <w:pPr>
        <w:spacing w:after="120" w:line="264" w:lineRule="auto"/>
        <w:ind w:left="-851" w:right="-964" w:firstLine="0"/>
        <w:jc w:val="center"/>
        <w:rPr>
          <w:rFonts w:cs="Times New Roman"/>
          <w:sz w:val="21"/>
          <w:szCs w:val="21"/>
        </w:rPr>
      </w:pPr>
      <w:r w:rsidRPr="00C31467">
        <w:rPr>
          <w:rFonts w:cs="Times New Roman"/>
          <w:sz w:val="21"/>
          <w:szCs w:val="21"/>
        </w:rPr>
        <w:t xml:space="preserve">§ 1 </w:t>
      </w:r>
    </w:p>
    <w:p w:rsidR="005E5696" w:rsidRPr="00C31467" w:rsidRDefault="0086489A" w:rsidP="000E7AD3">
      <w:pPr>
        <w:pStyle w:val="Akapitzlist"/>
        <w:numPr>
          <w:ilvl w:val="0"/>
          <w:numId w:val="12"/>
        </w:numPr>
        <w:ind w:left="-426" w:right="-963"/>
        <w:rPr>
          <w:rFonts w:cs="Times New Roman"/>
          <w:sz w:val="21"/>
          <w:szCs w:val="21"/>
        </w:rPr>
      </w:pPr>
      <w:r w:rsidRPr="00C31467">
        <w:rPr>
          <w:rFonts w:cs="Times New Roman"/>
          <w:sz w:val="21"/>
          <w:szCs w:val="21"/>
        </w:rPr>
        <w:t xml:space="preserve">Ustala się miesięczne wynagrodzenie Członków Rady Nadzorczej, jako iloczyn </w:t>
      </w:r>
      <w:r w:rsidR="000E7AD3">
        <w:rPr>
          <w:rFonts w:cs="Times New Roman"/>
          <w:sz w:val="21"/>
          <w:szCs w:val="21"/>
        </w:rPr>
        <w:t xml:space="preserve">podstawy wymiaru, </w:t>
      </w:r>
      <w:r w:rsidR="005E5696" w:rsidRPr="00C31467">
        <w:rPr>
          <w:rFonts w:cs="Times New Roman"/>
          <w:sz w:val="21"/>
          <w:szCs w:val="21"/>
        </w:rPr>
        <w:t xml:space="preserve">o której mowa w art. 1 ust. 3 pkt 11 ustawy z dnia 9 czerwca </w:t>
      </w:r>
      <w:r w:rsidR="000E7AD3">
        <w:rPr>
          <w:rFonts w:cs="Times New Roman"/>
          <w:sz w:val="21"/>
          <w:szCs w:val="21"/>
        </w:rPr>
        <w:br/>
      </w:r>
      <w:r w:rsidR="005E5696" w:rsidRPr="00C31467">
        <w:rPr>
          <w:rFonts w:cs="Times New Roman"/>
          <w:sz w:val="21"/>
          <w:szCs w:val="21"/>
        </w:rPr>
        <w:t xml:space="preserve">2016 r. o zasadach kształtowania wynagrodzeń osób kierujących niektórymi </w:t>
      </w:r>
      <w:r w:rsidR="000E7AD3">
        <w:rPr>
          <w:rFonts w:cs="Times New Roman"/>
          <w:sz w:val="21"/>
          <w:szCs w:val="21"/>
        </w:rPr>
        <w:br/>
      </w:r>
      <w:r w:rsidR="005E5696" w:rsidRPr="00C31467">
        <w:rPr>
          <w:rFonts w:cs="Times New Roman"/>
          <w:sz w:val="21"/>
          <w:szCs w:val="21"/>
        </w:rPr>
        <w:t xml:space="preserve">spółkami </w:t>
      </w:r>
      <w:r w:rsidRPr="00C31467">
        <w:rPr>
          <w:rFonts w:cs="Times New Roman"/>
          <w:sz w:val="21"/>
          <w:szCs w:val="21"/>
        </w:rPr>
        <w:t>oraz mnożnika 1,5.</w:t>
      </w:r>
    </w:p>
    <w:p w:rsidR="005E5696" w:rsidRPr="00C31467" w:rsidRDefault="0086489A" w:rsidP="000E7AD3">
      <w:pPr>
        <w:pStyle w:val="Akapitzlist"/>
        <w:numPr>
          <w:ilvl w:val="0"/>
          <w:numId w:val="12"/>
        </w:numPr>
        <w:ind w:left="-426" w:right="-963"/>
        <w:rPr>
          <w:rFonts w:cs="Times New Roman"/>
          <w:sz w:val="21"/>
          <w:szCs w:val="21"/>
        </w:rPr>
      </w:pPr>
      <w:r w:rsidRPr="00C31467">
        <w:rPr>
          <w:rFonts w:cs="Times New Roman"/>
          <w:sz w:val="21"/>
          <w:szCs w:val="21"/>
        </w:rPr>
        <w:t xml:space="preserve"> Dla Przewodniczącego Rady Nadzorczej podwyższa się o 10% miesięczne wynagrodzenie określone w ust. 1.</w:t>
      </w:r>
    </w:p>
    <w:p w:rsidR="005E5696" w:rsidRPr="00C31467" w:rsidRDefault="0086489A" w:rsidP="000E7AD3">
      <w:pPr>
        <w:pStyle w:val="Akapitzlist"/>
        <w:numPr>
          <w:ilvl w:val="0"/>
          <w:numId w:val="12"/>
        </w:numPr>
        <w:ind w:left="-426" w:right="-963"/>
        <w:rPr>
          <w:rFonts w:cs="Times New Roman"/>
          <w:sz w:val="21"/>
          <w:szCs w:val="21"/>
        </w:rPr>
      </w:pPr>
      <w:r w:rsidRPr="00C31467">
        <w:rPr>
          <w:rFonts w:cs="Times New Roman"/>
          <w:sz w:val="21"/>
          <w:szCs w:val="21"/>
        </w:rPr>
        <w:t>Dla Wiceprzewodniczącego Rady Nadzorczej podwyższa się o 9% miesięczne wynagrodzenie określone w ust. 1.</w:t>
      </w:r>
    </w:p>
    <w:p w:rsidR="005E5696" w:rsidRPr="00C31467" w:rsidRDefault="0086489A" w:rsidP="000E7AD3">
      <w:pPr>
        <w:pStyle w:val="Akapitzlist"/>
        <w:numPr>
          <w:ilvl w:val="0"/>
          <w:numId w:val="12"/>
        </w:numPr>
        <w:ind w:left="-426" w:right="-963"/>
        <w:rPr>
          <w:rFonts w:cs="Times New Roman"/>
          <w:sz w:val="21"/>
          <w:szCs w:val="21"/>
        </w:rPr>
      </w:pPr>
      <w:r w:rsidRPr="00C31467">
        <w:rPr>
          <w:rFonts w:cs="Times New Roman"/>
          <w:sz w:val="21"/>
          <w:szCs w:val="21"/>
        </w:rPr>
        <w:t>Dla Sekretarza Rady Nadzorczej podwyższa się o 8% miesięczne wynagrodzenie określone w ust. 1.</w:t>
      </w:r>
    </w:p>
    <w:p w:rsidR="005E5696" w:rsidRPr="00C31467" w:rsidRDefault="0086489A" w:rsidP="000E7AD3">
      <w:pPr>
        <w:pStyle w:val="Akapitzlist"/>
        <w:numPr>
          <w:ilvl w:val="0"/>
          <w:numId w:val="12"/>
        </w:numPr>
        <w:ind w:left="-426" w:right="-963"/>
        <w:rPr>
          <w:rFonts w:cs="Times New Roman"/>
          <w:sz w:val="21"/>
          <w:szCs w:val="21"/>
        </w:rPr>
      </w:pPr>
      <w:r w:rsidRPr="00C31467">
        <w:rPr>
          <w:rFonts w:cs="Times New Roman"/>
          <w:sz w:val="21"/>
          <w:szCs w:val="21"/>
        </w:rPr>
        <w:t xml:space="preserve">Dla Przewodniczących funkcjonujących w Radzie Nadzorczej komitetów </w:t>
      </w:r>
      <w:r w:rsidR="000E7AD3">
        <w:rPr>
          <w:rFonts w:cs="Times New Roman"/>
          <w:sz w:val="21"/>
          <w:szCs w:val="21"/>
        </w:rPr>
        <w:br/>
      </w:r>
      <w:r w:rsidRPr="00C31467">
        <w:rPr>
          <w:rFonts w:cs="Times New Roman"/>
          <w:sz w:val="21"/>
          <w:szCs w:val="21"/>
        </w:rPr>
        <w:t>podwyższa się o 9 % wynagrodzenia określonego w ust. 1.</w:t>
      </w:r>
    </w:p>
    <w:p w:rsidR="00550843" w:rsidRPr="000E7AD3" w:rsidRDefault="0086489A" w:rsidP="000E7AD3">
      <w:pPr>
        <w:pStyle w:val="Akapitzlist"/>
        <w:numPr>
          <w:ilvl w:val="0"/>
          <w:numId w:val="12"/>
        </w:numPr>
        <w:ind w:left="-426" w:right="-963"/>
        <w:rPr>
          <w:rFonts w:cs="Times New Roman"/>
          <w:sz w:val="21"/>
          <w:szCs w:val="21"/>
        </w:rPr>
      </w:pPr>
      <w:r w:rsidRPr="00C31467">
        <w:rPr>
          <w:rFonts w:cs="Times New Roman"/>
          <w:sz w:val="21"/>
          <w:szCs w:val="21"/>
        </w:rPr>
        <w:t xml:space="preserve">Dodatkowe wynagrodzenia określone w ust. 2-4 i  ust. 5 nie sumują się .  </w:t>
      </w:r>
    </w:p>
    <w:p w:rsidR="005D3D10" w:rsidRPr="00C31467" w:rsidRDefault="0086489A" w:rsidP="000E7AD3">
      <w:pPr>
        <w:spacing w:after="120" w:line="264" w:lineRule="auto"/>
        <w:ind w:left="-851" w:right="-964" w:firstLine="0"/>
        <w:jc w:val="center"/>
        <w:rPr>
          <w:rFonts w:cs="Times New Roman"/>
          <w:sz w:val="21"/>
          <w:szCs w:val="21"/>
        </w:rPr>
      </w:pPr>
      <w:r w:rsidRPr="00C31467">
        <w:rPr>
          <w:rFonts w:cs="Times New Roman"/>
          <w:sz w:val="21"/>
          <w:szCs w:val="21"/>
        </w:rPr>
        <w:t xml:space="preserve">§ 2 </w:t>
      </w:r>
    </w:p>
    <w:p w:rsidR="00550843" w:rsidRPr="00C31467" w:rsidRDefault="00550843" w:rsidP="00550843">
      <w:pPr>
        <w:spacing w:after="0"/>
        <w:ind w:left="-851" w:right="-964" w:firstLine="0"/>
        <w:rPr>
          <w:rFonts w:cs="Times New Roman"/>
          <w:sz w:val="21"/>
          <w:szCs w:val="21"/>
        </w:rPr>
      </w:pPr>
      <w:r w:rsidRPr="00C31467">
        <w:rPr>
          <w:rFonts w:cs="Times New Roman"/>
          <w:sz w:val="21"/>
          <w:szCs w:val="21"/>
        </w:rPr>
        <w:t>Uchyla się Uchwałę nr 4 Nadzwyczajnego Walnego Zgromadzenia Spółki Giełda Papierów Wartościowych w Warszawie S.A. („Spółka”) z dnia 30 listopada 2016 r. w sprawie ustalenia zasad kształtowania wynagrodzeń Członków Nadzorczej Giełdy Papierów Wartościowych w Warszawie Spółka Akcyjna.</w:t>
      </w:r>
    </w:p>
    <w:p w:rsidR="00550843" w:rsidRPr="00C31467" w:rsidRDefault="00550843" w:rsidP="000E7AD3">
      <w:pPr>
        <w:spacing w:after="120" w:line="264" w:lineRule="auto"/>
        <w:ind w:left="-851" w:right="-964" w:firstLine="0"/>
        <w:jc w:val="center"/>
        <w:rPr>
          <w:rFonts w:cs="Times New Roman"/>
          <w:sz w:val="21"/>
          <w:szCs w:val="21"/>
        </w:rPr>
      </w:pPr>
      <w:r w:rsidRPr="00C31467">
        <w:rPr>
          <w:rFonts w:cs="Times New Roman"/>
          <w:sz w:val="21"/>
          <w:szCs w:val="21"/>
        </w:rPr>
        <w:t>§ 3</w:t>
      </w:r>
    </w:p>
    <w:p w:rsidR="005D3D10" w:rsidRPr="00C31467" w:rsidRDefault="0086489A" w:rsidP="002E1DF4">
      <w:pPr>
        <w:spacing w:after="291" w:line="259" w:lineRule="auto"/>
        <w:ind w:left="-851" w:right="-963" w:firstLine="0"/>
        <w:rPr>
          <w:rFonts w:cs="Times New Roman"/>
          <w:sz w:val="21"/>
          <w:szCs w:val="21"/>
        </w:rPr>
      </w:pPr>
      <w:r w:rsidRPr="00C31467">
        <w:rPr>
          <w:rFonts w:cs="Times New Roman"/>
          <w:sz w:val="21"/>
          <w:szCs w:val="21"/>
        </w:rPr>
        <w:t>Uchwała wch</w:t>
      </w:r>
      <w:r w:rsidR="00B2374A" w:rsidRPr="00C31467">
        <w:rPr>
          <w:rFonts w:cs="Times New Roman"/>
          <w:sz w:val="21"/>
          <w:szCs w:val="21"/>
        </w:rPr>
        <w:t xml:space="preserve">odzi w życie z dniem podjęcia. </w:t>
      </w:r>
    </w:p>
    <w:sectPr w:rsidR="005D3D10" w:rsidRPr="00C31467" w:rsidSect="00716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2489" w:bottom="1701" w:left="2155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509" w:rsidRDefault="00A46509">
      <w:pPr>
        <w:spacing w:after="0" w:line="240" w:lineRule="auto"/>
      </w:pPr>
      <w:r>
        <w:separator/>
      </w:r>
    </w:p>
  </w:endnote>
  <w:endnote w:type="continuationSeparator" w:id="0">
    <w:p w:rsidR="00A46509" w:rsidRDefault="00A4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8F" w:rsidRDefault="00F90A8F">
    <w:pPr>
      <w:pStyle w:val="Stopka"/>
      <w:jc w:val="right"/>
    </w:pPr>
  </w:p>
  <w:p w:rsidR="005D3D10" w:rsidRDefault="005D3D10">
    <w:pPr>
      <w:tabs>
        <w:tab w:val="center" w:pos="3298"/>
      </w:tabs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10" w:rsidRDefault="005D3D10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10" w:rsidRDefault="005D3D1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509" w:rsidRDefault="00A46509">
      <w:pPr>
        <w:spacing w:after="0" w:line="240" w:lineRule="auto"/>
      </w:pPr>
      <w:r>
        <w:separator/>
      </w:r>
    </w:p>
  </w:footnote>
  <w:footnote w:type="continuationSeparator" w:id="0">
    <w:p w:rsidR="00A46509" w:rsidRDefault="00A46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10" w:rsidRDefault="005D3D10">
    <w:pPr>
      <w:spacing w:after="0" w:line="259" w:lineRule="auto"/>
      <w:ind w:left="0"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10" w:rsidRDefault="005D3D10">
    <w:pPr>
      <w:spacing w:after="0" w:line="259" w:lineRule="auto"/>
      <w:ind w:lef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10" w:rsidRDefault="0086489A">
    <w:pPr>
      <w:spacing w:after="0" w:line="259" w:lineRule="auto"/>
      <w:ind w:left="0" w:firstLine="0"/>
      <w:jc w:val="center"/>
    </w:pPr>
    <w:r>
      <w:t xml:space="preserve">Uchwała nr </w:t>
    </w: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64C9"/>
    <w:multiLevelType w:val="hybridMultilevel"/>
    <w:tmpl w:val="FA82E58E"/>
    <w:lvl w:ilvl="0" w:tplc="FEC08E6E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9848E1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D0F73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18DD8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08B18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3491A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EE2CC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F8983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EEA56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5767A0"/>
    <w:multiLevelType w:val="hybridMultilevel"/>
    <w:tmpl w:val="7A0EC84E"/>
    <w:lvl w:ilvl="0" w:tplc="0F26970A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4AB05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B41ED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04539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6240A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C899F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0ABD8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88ACF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9A675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390F7F"/>
    <w:multiLevelType w:val="hybridMultilevel"/>
    <w:tmpl w:val="6CC06844"/>
    <w:lvl w:ilvl="0" w:tplc="522CF414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3F6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CE97A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F6F6A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D6CF0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5EF3A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36C2C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B274E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FC836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C6314C"/>
    <w:multiLevelType w:val="hybridMultilevel"/>
    <w:tmpl w:val="F84C0D18"/>
    <w:lvl w:ilvl="0" w:tplc="CD0848BA">
      <w:start w:val="1"/>
      <w:numFmt w:val="bullet"/>
      <w:lvlText w:val="-"/>
      <w:lvlJc w:val="left"/>
      <w:pPr>
        <w:ind w:left="199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0EEFE90">
      <w:start w:val="23"/>
      <w:numFmt w:val="lowerLetter"/>
      <w:lvlText w:val="%2"/>
      <w:lvlJc w:val="left"/>
      <w:pPr>
        <w:ind w:left="16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3CA41C">
      <w:start w:val="26"/>
      <w:numFmt w:val="lowerLetter"/>
      <w:lvlText w:val="%3"/>
      <w:lvlJc w:val="left"/>
      <w:pPr>
        <w:ind w:left="23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2A0AA8">
      <w:start w:val="1"/>
      <w:numFmt w:val="decimal"/>
      <w:lvlText w:val="%4"/>
      <w:lvlJc w:val="left"/>
      <w:pPr>
        <w:ind w:left="34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C6B3B0">
      <w:start w:val="1"/>
      <w:numFmt w:val="lowerLetter"/>
      <w:lvlText w:val="%5"/>
      <w:lvlJc w:val="left"/>
      <w:pPr>
        <w:ind w:left="42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96F604">
      <w:start w:val="1"/>
      <w:numFmt w:val="lowerRoman"/>
      <w:lvlText w:val="%6"/>
      <w:lvlJc w:val="left"/>
      <w:pPr>
        <w:ind w:left="49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7E6E82">
      <w:start w:val="1"/>
      <w:numFmt w:val="decimal"/>
      <w:lvlText w:val="%7"/>
      <w:lvlJc w:val="left"/>
      <w:pPr>
        <w:ind w:left="56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CEEB74">
      <w:start w:val="1"/>
      <w:numFmt w:val="lowerLetter"/>
      <w:lvlText w:val="%8"/>
      <w:lvlJc w:val="left"/>
      <w:pPr>
        <w:ind w:left="63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0C875A8">
      <w:start w:val="1"/>
      <w:numFmt w:val="lowerRoman"/>
      <w:lvlText w:val="%9"/>
      <w:lvlJc w:val="left"/>
      <w:pPr>
        <w:ind w:left="70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581BC5"/>
    <w:multiLevelType w:val="hybridMultilevel"/>
    <w:tmpl w:val="3524FED8"/>
    <w:lvl w:ilvl="0" w:tplc="6D5CFDBE">
      <w:start w:val="1"/>
      <w:numFmt w:val="bullet"/>
      <w:lvlText w:val="-"/>
      <w:lvlJc w:val="left"/>
      <w:pPr>
        <w:ind w:left="144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0A5BF4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DE883E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ADC84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C604FC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247DFE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E8CF36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1E190C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9C9EFE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687028"/>
    <w:multiLevelType w:val="hybridMultilevel"/>
    <w:tmpl w:val="8C5E9162"/>
    <w:lvl w:ilvl="0" w:tplc="D5801390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0EDCD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BE2288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FCA5F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ACCC3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92AC6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CA881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181FD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D0A32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254299"/>
    <w:multiLevelType w:val="hybridMultilevel"/>
    <w:tmpl w:val="EC24A408"/>
    <w:lvl w:ilvl="0" w:tplc="3962DE1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511F5DEC"/>
    <w:multiLevelType w:val="hybridMultilevel"/>
    <w:tmpl w:val="B0460938"/>
    <w:lvl w:ilvl="0" w:tplc="47480E5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 w15:restartNumberingAfterBreak="0">
    <w:nsid w:val="529E3096"/>
    <w:multiLevelType w:val="hybridMultilevel"/>
    <w:tmpl w:val="41DAC6EE"/>
    <w:lvl w:ilvl="0" w:tplc="16C49F96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8ADB9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474E6F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1C43E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AB84CF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A624C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32563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A164DA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58978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1117C5"/>
    <w:multiLevelType w:val="hybridMultilevel"/>
    <w:tmpl w:val="357C2568"/>
    <w:lvl w:ilvl="0" w:tplc="8E804800">
      <w:start w:val="1"/>
      <w:numFmt w:val="bullet"/>
      <w:lvlText w:val="-"/>
      <w:lvlJc w:val="left"/>
      <w:pPr>
        <w:ind w:left="154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30A2662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1A8B80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E03212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0AD7C6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66BB66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DA2852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5C4A82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840D12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0D6BF9"/>
    <w:multiLevelType w:val="hybridMultilevel"/>
    <w:tmpl w:val="D8DAA3B4"/>
    <w:lvl w:ilvl="0" w:tplc="E2EACF2C">
      <w:start w:val="1"/>
      <w:numFmt w:val="bullet"/>
      <w:lvlText w:val="-"/>
      <w:lvlJc w:val="left"/>
      <w:pPr>
        <w:ind w:left="144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36C266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269E56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C437FC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08F4B6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88AC96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3E8C38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72E8CE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802C1E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8A0261"/>
    <w:multiLevelType w:val="hybridMultilevel"/>
    <w:tmpl w:val="4F18DCEE"/>
    <w:lvl w:ilvl="0" w:tplc="4B00A210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E26272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1211F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E0BD8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544F3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4C8E3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26F8D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80E60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FA7F8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9E54CD"/>
    <w:multiLevelType w:val="hybridMultilevel"/>
    <w:tmpl w:val="5BDEB0A0"/>
    <w:lvl w:ilvl="0" w:tplc="7C369C24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C6489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94E57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8CC9E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B82CD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E0CAF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8A0E9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E839B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A4415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390802"/>
    <w:multiLevelType w:val="hybridMultilevel"/>
    <w:tmpl w:val="7A489956"/>
    <w:lvl w:ilvl="0" w:tplc="173A8DF4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7E866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627AB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EE2AC0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8605F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8C31B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840FA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B0406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8C713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AF25C22"/>
    <w:multiLevelType w:val="hybridMultilevel"/>
    <w:tmpl w:val="7F8C91EC"/>
    <w:lvl w:ilvl="0" w:tplc="ABE8896A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DCAA3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C2FE5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FA4BF3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4E8DD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FED1E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002BE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CCC55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4C5D3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11"/>
  </w:num>
  <w:num w:numId="7">
    <w:abstractNumId w:val="12"/>
  </w:num>
  <w:num w:numId="8">
    <w:abstractNumId w:val="0"/>
  </w:num>
  <w:num w:numId="9">
    <w:abstractNumId w:val="5"/>
  </w:num>
  <w:num w:numId="10">
    <w:abstractNumId w:val="8"/>
  </w:num>
  <w:num w:numId="11">
    <w:abstractNumId w:val="10"/>
  </w:num>
  <w:num w:numId="12">
    <w:abstractNumId w:val="14"/>
  </w:num>
  <w:num w:numId="13">
    <w:abstractNumId w:val="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10"/>
    <w:rsid w:val="000647D8"/>
    <w:rsid w:val="000E7AD3"/>
    <w:rsid w:val="002A3BA2"/>
    <w:rsid w:val="002A7417"/>
    <w:rsid w:val="002E1DF4"/>
    <w:rsid w:val="0038244F"/>
    <w:rsid w:val="004109D0"/>
    <w:rsid w:val="00550843"/>
    <w:rsid w:val="005D0F4B"/>
    <w:rsid w:val="005D3D10"/>
    <w:rsid w:val="005E5696"/>
    <w:rsid w:val="006243D9"/>
    <w:rsid w:val="00716F20"/>
    <w:rsid w:val="00720352"/>
    <w:rsid w:val="007511B3"/>
    <w:rsid w:val="007E4EC8"/>
    <w:rsid w:val="007F0C26"/>
    <w:rsid w:val="0086489A"/>
    <w:rsid w:val="00A23247"/>
    <w:rsid w:val="00A23BE6"/>
    <w:rsid w:val="00A46509"/>
    <w:rsid w:val="00AF5979"/>
    <w:rsid w:val="00B2374A"/>
    <w:rsid w:val="00B70AD9"/>
    <w:rsid w:val="00B97D78"/>
    <w:rsid w:val="00BB1E1F"/>
    <w:rsid w:val="00BE51C0"/>
    <w:rsid w:val="00C31467"/>
    <w:rsid w:val="00C5177C"/>
    <w:rsid w:val="00E53B3D"/>
    <w:rsid w:val="00E73F46"/>
    <w:rsid w:val="00F059C4"/>
    <w:rsid w:val="00F16213"/>
    <w:rsid w:val="00F470F5"/>
    <w:rsid w:val="00F90A8F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88F717-943A-46BD-88E2-C2470BB7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4" w:line="360" w:lineRule="auto"/>
      <w:ind w:left="370" w:right="9" w:hanging="370"/>
      <w:jc w:val="both"/>
    </w:pPr>
    <w:rPr>
      <w:rFonts w:ascii="Verdana" w:eastAsia="Verdana" w:hAnsi="Verdana" w:cs="Verdana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A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E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EC8"/>
    <w:rPr>
      <w:rFonts w:ascii="Segoe UI" w:eastAsia="Verdana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90A8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F90A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18790-64CF-4D71-8246-5645B0EB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Racibórz, dn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Racibórz, dn</dc:title>
  <dc:subject/>
  <dc:creator>OEM</dc:creator>
  <cp:keywords/>
  <cp:lastModifiedBy>Gajda Joanna</cp:lastModifiedBy>
  <cp:revision>2</cp:revision>
  <cp:lastPrinted>2019-05-27T10:19:00Z</cp:lastPrinted>
  <dcterms:created xsi:type="dcterms:W3CDTF">2020-07-16T12:35:00Z</dcterms:created>
  <dcterms:modified xsi:type="dcterms:W3CDTF">2020-07-16T12:35:00Z</dcterms:modified>
</cp:coreProperties>
</file>