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846310">
        <w:trPr>
          <w:trHeight w:val="1440"/>
        </w:trPr>
        <w:tc>
          <w:tcPr>
            <w:tcW w:w="2381" w:type="dxa"/>
            <w:tcBorders>
              <w:top w:val="nil"/>
              <w:left w:val="nil"/>
              <w:bottom w:val="nil"/>
              <w:right w:val="nil"/>
            </w:tcBorders>
          </w:tcPr>
          <w:p w:rsidR="00846310" w:rsidRDefault="00D046B3">
            <w:pPr>
              <w:pStyle w:val="ZCom"/>
            </w:pPr>
            <w:r>
              <w:rPr>
                <w:noProof/>
                <w:sz w:val="20"/>
                <w:szCs w:val="20"/>
                <w:lang w:val="pl-PL" w:eastAsia="pl-PL"/>
              </w:rPr>
              <w:drawing>
                <wp:inline distT="0" distB="0" distL="0" distR="0">
                  <wp:extent cx="1367790" cy="675640"/>
                  <wp:effectExtent l="0" t="0" r="3810" b="0"/>
                  <wp:docPr id="1" name="Picture 1" descr="C:\WINNT\Profiles\Administrator\Desktop\logo_ec_17_colors_300d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NT\Profiles\Administrator\Desktop\logo_ec_17_colors_300dpi.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7790" cy="675640"/>
                          </a:xfrm>
                          <a:prstGeom prst="rect">
                            <a:avLst/>
                          </a:prstGeom>
                          <a:noFill/>
                          <a:ln>
                            <a:noFill/>
                          </a:ln>
                        </pic:spPr>
                      </pic:pic>
                    </a:graphicData>
                  </a:graphic>
                </wp:inline>
              </w:drawing>
            </w:r>
          </w:p>
        </w:tc>
        <w:tc>
          <w:tcPr>
            <w:tcW w:w="7087" w:type="dxa"/>
            <w:tcBorders>
              <w:top w:val="nil"/>
              <w:left w:val="nil"/>
              <w:bottom w:val="nil"/>
              <w:right w:val="nil"/>
            </w:tcBorders>
          </w:tcPr>
          <w:p w:rsidR="00846310" w:rsidRDefault="00846310">
            <w:pPr>
              <w:pStyle w:val="ZCom"/>
              <w:spacing w:before="90"/>
            </w:pPr>
            <w:r>
              <w:t>EUROPEAN COMMISSION</w:t>
            </w:r>
          </w:p>
          <w:p w:rsidR="00846310" w:rsidRDefault="00846310">
            <w:pPr>
              <w:pStyle w:val="ZDGName"/>
            </w:pPr>
            <w:r>
              <w:t>DIRECTORATE-GENERAL HOME AFFAIRS</w:t>
            </w:r>
          </w:p>
          <w:p w:rsidR="00846310" w:rsidRDefault="00846310">
            <w:pPr>
              <w:pStyle w:val="ZDGName"/>
            </w:pPr>
          </w:p>
          <w:p w:rsidR="00846310" w:rsidRDefault="00846310">
            <w:pPr>
              <w:pStyle w:val="ZDGName"/>
            </w:pPr>
            <w:r>
              <w:t>Directorate D: Strategy and Delivery Steering</w:t>
            </w:r>
          </w:p>
          <w:p w:rsidR="00846310" w:rsidRDefault="00846310">
            <w:pPr>
              <w:pStyle w:val="ZDGName"/>
            </w:pPr>
            <w:r>
              <w:rPr>
                <w:b/>
                <w:bCs/>
              </w:rPr>
              <w:t>Unit D.3: MFF Programming</w:t>
            </w:r>
          </w:p>
          <w:p w:rsidR="00846310" w:rsidRDefault="00846310">
            <w:pPr>
              <w:pStyle w:val="ZDGName"/>
            </w:pPr>
          </w:p>
        </w:tc>
      </w:tr>
    </w:tbl>
    <w:p w:rsidR="00846310" w:rsidRPr="00846310" w:rsidRDefault="00846310" w:rsidP="00846310">
      <w:pPr>
        <w:pBdr>
          <w:top w:val="single" w:sz="4" w:space="1" w:color="auto"/>
          <w:left w:val="single" w:sz="4" w:space="4" w:color="auto"/>
          <w:bottom w:val="single" w:sz="4" w:space="1" w:color="auto"/>
          <w:right w:val="single" w:sz="4" w:space="0" w:color="auto"/>
        </w:pBdr>
        <w:spacing w:after="100" w:afterAutospacing="1"/>
        <w:jc w:val="center"/>
        <w:rPr>
          <w:rFonts w:ascii="Verdana" w:hAnsi="Verdana" w:cs="Calibri"/>
          <w:b/>
          <w:u w:val="single"/>
        </w:rPr>
      </w:pPr>
    </w:p>
    <w:p w:rsidR="00846310" w:rsidRPr="00846310" w:rsidRDefault="00846310" w:rsidP="00846310">
      <w:pPr>
        <w:pBdr>
          <w:top w:val="single" w:sz="4" w:space="1" w:color="auto"/>
          <w:left w:val="single" w:sz="4" w:space="4" w:color="auto"/>
          <w:bottom w:val="single" w:sz="4" w:space="1" w:color="auto"/>
          <w:right w:val="single" w:sz="4" w:space="0" w:color="auto"/>
        </w:pBdr>
        <w:spacing w:after="100" w:afterAutospacing="1"/>
        <w:jc w:val="center"/>
        <w:rPr>
          <w:rFonts w:ascii="Verdana" w:hAnsi="Verdana" w:cs="Calibri"/>
          <w:b/>
          <w:u w:val="single"/>
        </w:rPr>
      </w:pPr>
      <w:r w:rsidRPr="00846310">
        <w:rPr>
          <w:rFonts w:ascii="Verdana" w:hAnsi="Verdana" w:cs="Calibri"/>
          <w:b/>
          <w:u w:val="single"/>
        </w:rPr>
        <w:t>SPECIFIC ACTIONS</w:t>
      </w:r>
    </w:p>
    <w:p w:rsidR="00846310" w:rsidRPr="00846310" w:rsidRDefault="00846310" w:rsidP="00846310">
      <w:pPr>
        <w:pBdr>
          <w:top w:val="single" w:sz="4" w:space="1" w:color="auto"/>
          <w:left w:val="single" w:sz="4" w:space="4" w:color="auto"/>
          <w:bottom w:val="single" w:sz="4" w:space="1" w:color="auto"/>
          <w:right w:val="single" w:sz="4" w:space="0" w:color="auto"/>
        </w:pBdr>
        <w:spacing w:after="100" w:afterAutospacing="1"/>
        <w:jc w:val="center"/>
        <w:rPr>
          <w:rFonts w:ascii="Verdana" w:hAnsi="Verdana" w:cs="Calibri"/>
          <w:b/>
          <w:u w:val="single"/>
        </w:rPr>
      </w:pPr>
    </w:p>
    <w:p w:rsidR="00846310" w:rsidRPr="00846310" w:rsidRDefault="00846310" w:rsidP="00846310">
      <w:pPr>
        <w:spacing w:after="100" w:afterAutospacing="1"/>
        <w:rPr>
          <w:rFonts w:ascii="Verdana" w:hAnsi="Verdana" w:cs="Calibri"/>
          <w:b/>
          <w:u w:val="single"/>
        </w:rPr>
      </w:pPr>
      <w:r w:rsidRPr="00846310">
        <w:rPr>
          <w:rFonts w:ascii="Verdana" w:hAnsi="Verdana" w:cs="Calibri"/>
          <w:b/>
          <w:u w:val="single"/>
        </w:rPr>
        <w:t>Introduction</w:t>
      </w:r>
    </w:p>
    <w:p w:rsidR="00846310" w:rsidRPr="00846310" w:rsidRDefault="00846310" w:rsidP="00846310">
      <w:pPr>
        <w:rPr>
          <w:rFonts w:ascii="Verdana" w:hAnsi="Verdana" w:cs="Calibri"/>
        </w:rPr>
      </w:pPr>
      <w:r w:rsidRPr="00846310">
        <w:rPr>
          <w:rFonts w:ascii="Verdana" w:hAnsi="Verdana" w:cs="Calibri"/>
        </w:rPr>
        <w:t>The Asylum, Migration and Integration Fund (AMIF) and the Borders and visa component of the Internal Security Fund (ISF-Borders) offers the possibility of additional funding to the Member States in the form of 'Specific Actions':</w:t>
      </w:r>
    </w:p>
    <w:p w:rsidR="00846310" w:rsidRPr="00846310" w:rsidRDefault="00846310" w:rsidP="00846310">
      <w:pPr>
        <w:pStyle w:val="Akapitzlist"/>
        <w:numPr>
          <w:ilvl w:val="0"/>
          <w:numId w:val="23"/>
        </w:numPr>
        <w:spacing w:after="240"/>
        <w:jc w:val="both"/>
        <w:rPr>
          <w:rFonts w:ascii="Verdana" w:hAnsi="Verdana" w:cs="Calibri"/>
          <w:sz w:val="24"/>
          <w:szCs w:val="24"/>
        </w:rPr>
      </w:pPr>
      <w:r w:rsidRPr="00846310">
        <w:rPr>
          <w:rFonts w:ascii="Verdana" w:hAnsi="Verdana" w:cs="Calibri"/>
          <w:sz w:val="24"/>
          <w:szCs w:val="24"/>
        </w:rPr>
        <w:t>AMIF: EUR 80 million</w:t>
      </w:r>
      <w:r w:rsidRPr="00846310">
        <w:rPr>
          <w:rStyle w:val="Odwoanieprzypisudolnego"/>
          <w:rFonts w:ascii="Verdana" w:hAnsi="Verdana" w:cs="Calibri"/>
          <w:sz w:val="24"/>
          <w:szCs w:val="24"/>
          <w:lang w:val="fr-BE"/>
        </w:rPr>
        <w:footnoteReference w:id="1"/>
      </w:r>
      <w:r w:rsidRPr="00846310">
        <w:rPr>
          <w:rFonts w:ascii="Verdana" w:hAnsi="Verdana" w:cs="Calibri"/>
          <w:sz w:val="24"/>
          <w:szCs w:val="24"/>
        </w:rPr>
        <w:t xml:space="preserve"> (Article 15(1)(b) and (2)(a); Article 16; Annex II); </w:t>
      </w:r>
    </w:p>
    <w:p w:rsidR="00846310" w:rsidRPr="00846310" w:rsidRDefault="00846310" w:rsidP="00846310">
      <w:pPr>
        <w:pStyle w:val="Akapitzlist"/>
        <w:numPr>
          <w:ilvl w:val="0"/>
          <w:numId w:val="23"/>
        </w:numPr>
        <w:spacing w:after="240"/>
        <w:jc w:val="both"/>
        <w:rPr>
          <w:rFonts w:ascii="Verdana" w:hAnsi="Verdana" w:cs="Calibri"/>
          <w:sz w:val="24"/>
          <w:szCs w:val="24"/>
          <w:lang w:val="fr-BE"/>
        </w:rPr>
      </w:pPr>
      <w:r w:rsidRPr="00846310">
        <w:rPr>
          <w:rFonts w:ascii="Verdana" w:hAnsi="Verdana" w:cs="Calibri"/>
          <w:sz w:val="24"/>
          <w:szCs w:val="24"/>
          <w:lang w:val="fr-BE"/>
        </w:rPr>
        <w:t>ISF-Borders: EUR 147 million (Article 6(1)(b); Article 7; Annex II).</w:t>
      </w:r>
    </w:p>
    <w:p w:rsidR="00846310" w:rsidRPr="00846310" w:rsidRDefault="00846310" w:rsidP="00846310">
      <w:pPr>
        <w:rPr>
          <w:rFonts w:ascii="Verdana" w:hAnsi="Verdana" w:cs="Calibri"/>
        </w:rPr>
      </w:pPr>
      <w:r w:rsidRPr="00846310">
        <w:rPr>
          <w:rFonts w:ascii="Verdana" w:hAnsi="Verdana" w:cs="Calibri"/>
        </w:rPr>
        <w:t xml:space="preserve">Specific Actions are designed as 'top-up funding', i.e. additional amounts that will be added to Member States' basic amounts depending on their willingness to implement under their national programmes actions that respond to specific Union priorities. These Specific Actions are defined exhaustively in the Annexes II to the AMIF and ISF-Borders Regulations. </w:t>
      </w:r>
    </w:p>
    <w:p w:rsidR="00846310" w:rsidRPr="00846310" w:rsidRDefault="00846310" w:rsidP="00846310">
      <w:pPr>
        <w:rPr>
          <w:rFonts w:ascii="Verdana" w:hAnsi="Verdana" w:cs="Calibri"/>
        </w:rPr>
      </w:pPr>
      <w:r w:rsidRPr="00846310">
        <w:rPr>
          <w:rFonts w:ascii="Verdana" w:hAnsi="Verdana" w:cs="Calibri"/>
        </w:rPr>
        <w:t>Whereas the standard co-financing rate under the national programmes is 75%, Specific Actions may benefit from an increased co-financing rate of 90% (Article 16(4) of the Horizontal Regulation).</w:t>
      </w:r>
    </w:p>
    <w:p w:rsidR="00A91D73" w:rsidRDefault="00846310" w:rsidP="00846310">
      <w:pPr>
        <w:rPr>
          <w:rFonts w:ascii="Verdana" w:hAnsi="Verdana" w:cs="Calibri"/>
        </w:rPr>
      </w:pPr>
      <w:r w:rsidRPr="00846310">
        <w:rPr>
          <w:rFonts w:ascii="Verdana" w:hAnsi="Verdana" w:cs="Calibri"/>
        </w:rPr>
        <w:t xml:space="preserve">The present note sets out how the additional amounts will be allocated to the Member States, in particular how and when Member States may apply for Specific Actions, </w:t>
      </w:r>
      <w:r w:rsidR="00DF1A69">
        <w:rPr>
          <w:rFonts w:ascii="Verdana" w:hAnsi="Verdana" w:cs="Calibri"/>
        </w:rPr>
        <w:t xml:space="preserve">preferences for assessing the </w:t>
      </w:r>
      <w:r w:rsidRPr="00846310">
        <w:rPr>
          <w:rFonts w:ascii="Verdana" w:hAnsi="Verdana" w:cs="Calibri"/>
        </w:rPr>
        <w:t>proposals, some implementation rules, as well as</w:t>
      </w:r>
      <w:r w:rsidR="00B24E82">
        <w:rPr>
          <w:rFonts w:ascii="Verdana" w:hAnsi="Verdana" w:cs="Calibri"/>
        </w:rPr>
        <w:t xml:space="preserve"> the models for</w:t>
      </w:r>
      <w:r w:rsidRPr="00846310">
        <w:rPr>
          <w:rFonts w:ascii="Verdana" w:hAnsi="Verdana" w:cs="Calibri"/>
        </w:rPr>
        <w:t xml:space="preserve"> the application forms.</w:t>
      </w:r>
      <w:r w:rsidR="00B24E82">
        <w:rPr>
          <w:rFonts w:ascii="Verdana" w:hAnsi="Verdana" w:cs="Calibri"/>
        </w:rPr>
        <w:t xml:space="preserve"> </w:t>
      </w:r>
    </w:p>
    <w:p w:rsidR="00846310" w:rsidRPr="00846310" w:rsidRDefault="00B24E82" w:rsidP="00846310">
      <w:pPr>
        <w:rPr>
          <w:rFonts w:ascii="Verdana" w:hAnsi="Verdana" w:cs="Calibri"/>
        </w:rPr>
      </w:pPr>
      <w:r>
        <w:rPr>
          <w:rFonts w:ascii="Verdana" w:hAnsi="Verdana" w:cs="Calibri"/>
        </w:rPr>
        <w:t xml:space="preserve">For further issues and clarifications the Commission stands ready to assist MS at the next expert group meeting or at any other time in the </w:t>
      </w:r>
      <w:r>
        <w:rPr>
          <w:rFonts w:ascii="Verdana" w:hAnsi="Verdana" w:cs="Calibri"/>
        </w:rPr>
        <w:lastRenderedPageBreak/>
        <w:t>context of the exchange of information on the preparation of the policy dialogues.</w:t>
      </w:r>
    </w:p>
    <w:p w:rsidR="00846310" w:rsidRPr="00846310" w:rsidRDefault="00846310" w:rsidP="00846310">
      <w:pPr>
        <w:pStyle w:val="Akapitzlist"/>
        <w:numPr>
          <w:ilvl w:val="0"/>
          <w:numId w:val="21"/>
        </w:numPr>
        <w:spacing w:after="100" w:afterAutospacing="1"/>
        <w:jc w:val="both"/>
        <w:rPr>
          <w:rFonts w:ascii="Verdana" w:hAnsi="Verdana" w:cs="Calibri"/>
          <w:b/>
          <w:sz w:val="24"/>
          <w:szCs w:val="24"/>
          <w:u w:val="single"/>
        </w:rPr>
      </w:pPr>
      <w:r w:rsidRPr="00846310">
        <w:rPr>
          <w:rFonts w:ascii="Verdana" w:hAnsi="Verdana" w:cs="Calibri"/>
          <w:b/>
          <w:sz w:val="24"/>
          <w:szCs w:val="24"/>
          <w:u w:val="single"/>
        </w:rPr>
        <w:t>General principles</w:t>
      </w:r>
    </w:p>
    <w:p w:rsidR="00846310" w:rsidRPr="00846310" w:rsidRDefault="00846310" w:rsidP="00846310">
      <w:pPr>
        <w:rPr>
          <w:rFonts w:ascii="Verdana" w:hAnsi="Verdana" w:cs="Calibri"/>
        </w:rPr>
      </w:pPr>
      <w:r w:rsidRPr="00846310">
        <w:rPr>
          <w:rFonts w:ascii="Verdana" w:hAnsi="Verdana" w:cs="Calibri"/>
        </w:rPr>
        <w:t>The additional amounts available for Specific Actions will be allocated to the Member States on the basis of their pledges, i.e. proposals that will be assessed by the Commission. If a proposal for Specific Action(s) is accepted by the Commission, the action and the corresponding amount will be included in the relevant national programme(s).</w:t>
      </w:r>
    </w:p>
    <w:p w:rsidR="00846310" w:rsidRPr="00846310" w:rsidRDefault="00846310" w:rsidP="00846310">
      <w:pPr>
        <w:rPr>
          <w:rFonts w:ascii="Verdana" w:hAnsi="Verdana" w:cs="Calibri"/>
        </w:rPr>
      </w:pPr>
      <w:r w:rsidRPr="00846310">
        <w:rPr>
          <w:rFonts w:ascii="Verdana" w:hAnsi="Verdana" w:cs="Calibri"/>
        </w:rPr>
        <w:t>It is useful to distinguish between two types of Specific Actions, i.e. those to be implemented by one Member State (hereinafter referred to as 'single actions') and those that require joint efforts by Member States (hereinafter referred to as 'joint' actions):</w:t>
      </w:r>
    </w:p>
    <w:p w:rsidR="00846310" w:rsidRPr="00846310" w:rsidRDefault="00846310" w:rsidP="00846310">
      <w:pPr>
        <w:pStyle w:val="Akapitzlist"/>
        <w:numPr>
          <w:ilvl w:val="0"/>
          <w:numId w:val="23"/>
        </w:numPr>
        <w:spacing w:after="240"/>
        <w:jc w:val="both"/>
        <w:rPr>
          <w:rFonts w:ascii="Verdana" w:hAnsi="Verdana" w:cs="Calibri"/>
          <w:sz w:val="24"/>
          <w:szCs w:val="24"/>
        </w:rPr>
      </w:pPr>
      <w:r w:rsidRPr="00846310">
        <w:rPr>
          <w:rFonts w:ascii="Verdana" w:hAnsi="Verdana" w:cs="Calibri"/>
          <w:sz w:val="24"/>
          <w:szCs w:val="24"/>
        </w:rPr>
        <w:t xml:space="preserve">Single actions: a Member State may present a proposal for Specific Action(s) and be allocated additional funding under its national programme provided that the Specific Action(s) has been approved by the Commission in the national programme. </w:t>
      </w:r>
    </w:p>
    <w:p w:rsidR="00846310" w:rsidRPr="00846310" w:rsidRDefault="00846310" w:rsidP="00846310">
      <w:pPr>
        <w:pStyle w:val="Akapitzlist"/>
        <w:numPr>
          <w:ilvl w:val="0"/>
          <w:numId w:val="23"/>
        </w:numPr>
        <w:spacing w:after="240"/>
        <w:jc w:val="both"/>
        <w:rPr>
          <w:rFonts w:ascii="Verdana" w:hAnsi="Verdana" w:cs="Calibri"/>
          <w:sz w:val="24"/>
          <w:szCs w:val="24"/>
        </w:rPr>
      </w:pPr>
      <w:r w:rsidRPr="00846310">
        <w:rPr>
          <w:rFonts w:ascii="Verdana" w:hAnsi="Verdana" w:cs="Calibri"/>
          <w:sz w:val="24"/>
          <w:szCs w:val="24"/>
        </w:rPr>
        <w:t>Joint actions: the proposal for Specific Action(s) is presented by a lead Member State on behalf of other participating Member States ('partners'). Additional funding will be allocated to the national programme of the lead Member State who will be responsible for the implementation of the joint action.</w:t>
      </w:r>
    </w:p>
    <w:p w:rsidR="00846310" w:rsidRPr="00846310" w:rsidRDefault="00846310" w:rsidP="00846310">
      <w:pPr>
        <w:pStyle w:val="Akapitzlist"/>
        <w:numPr>
          <w:ilvl w:val="0"/>
          <w:numId w:val="21"/>
        </w:numPr>
        <w:spacing w:after="240"/>
        <w:ind w:left="357" w:hanging="357"/>
        <w:jc w:val="both"/>
        <w:rPr>
          <w:rFonts w:ascii="Verdana" w:hAnsi="Verdana" w:cs="Calibri"/>
          <w:b/>
          <w:sz w:val="24"/>
          <w:szCs w:val="24"/>
          <w:u w:val="single"/>
        </w:rPr>
      </w:pPr>
      <w:r w:rsidRPr="00846310">
        <w:rPr>
          <w:rFonts w:ascii="Verdana" w:hAnsi="Verdana" w:cs="Calibri"/>
          <w:b/>
          <w:sz w:val="24"/>
          <w:szCs w:val="24"/>
          <w:u w:val="single"/>
        </w:rPr>
        <w:t>Pledging exercise</w:t>
      </w:r>
    </w:p>
    <w:p w:rsidR="00846310" w:rsidRPr="00846310" w:rsidRDefault="00846310" w:rsidP="00846310">
      <w:pPr>
        <w:spacing w:before="120" w:after="120"/>
        <w:rPr>
          <w:rFonts w:ascii="Verdana" w:hAnsi="Verdana" w:cs="Calibri"/>
        </w:rPr>
      </w:pPr>
      <w:r w:rsidRPr="00846310">
        <w:rPr>
          <w:rFonts w:ascii="Verdana" w:hAnsi="Verdana" w:cs="Calibri"/>
        </w:rPr>
        <w:t xml:space="preserve">In order to allow the Commission to allocate the available additional funding, all proposals from Member States for Specific Actions must be assessed at the same time. </w:t>
      </w:r>
    </w:p>
    <w:p w:rsidR="00846310" w:rsidRDefault="00846310" w:rsidP="00846310">
      <w:pPr>
        <w:spacing w:before="120" w:after="120"/>
        <w:rPr>
          <w:rFonts w:ascii="Verdana" w:hAnsi="Verdana" w:cs="Calibri"/>
        </w:rPr>
      </w:pPr>
      <w:r w:rsidRPr="00846310">
        <w:rPr>
          <w:rFonts w:ascii="Verdana" w:hAnsi="Verdana" w:cs="Calibri"/>
        </w:rPr>
        <w:t xml:space="preserve">To this end, Member States are invited to submit their proposals by </w:t>
      </w:r>
      <w:r w:rsidRPr="00846310">
        <w:rPr>
          <w:rFonts w:ascii="Verdana" w:hAnsi="Verdana" w:cs="Calibri"/>
          <w:b/>
          <w:u w:val="single"/>
        </w:rPr>
        <w:t>30 April 2014</w:t>
      </w:r>
      <w:r w:rsidRPr="00846310">
        <w:rPr>
          <w:rFonts w:ascii="Verdana" w:hAnsi="Verdana" w:cs="Calibri"/>
          <w:b/>
        </w:rPr>
        <w:t xml:space="preserve"> </w:t>
      </w:r>
      <w:r w:rsidRPr="00846310">
        <w:rPr>
          <w:rFonts w:ascii="Verdana" w:hAnsi="Verdana" w:cs="Calibri"/>
        </w:rPr>
        <w:t>using the forms in annex. All proposals must correspond to one of the Specific Actions defined in the exhaustive lists (mixed actions will not be considered).</w:t>
      </w:r>
    </w:p>
    <w:p w:rsidR="00846310" w:rsidRDefault="00846310" w:rsidP="00846310">
      <w:pPr>
        <w:spacing w:before="120" w:after="120"/>
        <w:rPr>
          <w:rFonts w:ascii="Verdana" w:hAnsi="Verdana" w:cs="Calibri"/>
        </w:rPr>
      </w:pPr>
      <w:r>
        <w:rPr>
          <w:rFonts w:ascii="Verdana" w:hAnsi="Verdana" w:cs="Calibri"/>
        </w:rPr>
        <w:t>In the event that one or more Specific Actions are over-subscribed or participation confirmations are needed, a two-step procedure may be used to refine the selection</w:t>
      </w:r>
      <w:r w:rsidR="00B24E82">
        <w:rPr>
          <w:rFonts w:ascii="Verdana" w:hAnsi="Verdana" w:cs="Calibri"/>
        </w:rPr>
        <w:t xml:space="preserve">, where the Commission </w:t>
      </w:r>
      <w:r w:rsidR="00A91D73">
        <w:rPr>
          <w:rFonts w:ascii="Verdana" w:hAnsi="Verdana" w:cs="Calibri"/>
        </w:rPr>
        <w:t xml:space="preserve">may </w:t>
      </w:r>
      <w:r w:rsidR="00B24E82">
        <w:rPr>
          <w:rFonts w:ascii="Verdana" w:hAnsi="Verdana" w:cs="Calibri"/>
        </w:rPr>
        <w:t>ask for further information</w:t>
      </w:r>
      <w:r>
        <w:rPr>
          <w:rFonts w:ascii="Verdana" w:hAnsi="Verdana" w:cs="Calibri"/>
        </w:rPr>
        <w:t xml:space="preserve">.   </w:t>
      </w:r>
    </w:p>
    <w:p w:rsidR="00846310" w:rsidRPr="00846310" w:rsidRDefault="00846310" w:rsidP="00846310">
      <w:pPr>
        <w:spacing w:before="120" w:after="120"/>
        <w:rPr>
          <w:rFonts w:ascii="Verdana" w:hAnsi="Verdana" w:cs="Calibri"/>
        </w:rPr>
      </w:pPr>
      <w:r w:rsidRPr="00846310">
        <w:rPr>
          <w:rFonts w:ascii="Verdana" w:hAnsi="Verdana" w:cs="Calibri"/>
        </w:rPr>
        <w:t>The awarded Specific Action and the corresponding amount will be included in the draft national programme of the Member State responsible for the implementation of the Specific Action.</w:t>
      </w:r>
    </w:p>
    <w:p w:rsidR="00846310" w:rsidRPr="00685F99" w:rsidRDefault="00846310" w:rsidP="00CD1540">
      <w:pPr>
        <w:pStyle w:val="Nagwek2"/>
        <w:numPr>
          <w:ilvl w:val="0"/>
          <w:numId w:val="26"/>
        </w:numPr>
        <w:rPr>
          <w:rFonts w:ascii="Verdana" w:hAnsi="Verdana"/>
          <w:i/>
          <w:color w:val="000000"/>
          <w:szCs w:val="24"/>
        </w:rPr>
      </w:pPr>
      <w:r w:rsidRPr="00685F99">
        <w:rPr>
          <w:rFonts w:ascii="Verdana" w:hAnsi="Verdana"/>
          <w:i/>
          <w:color w:val="000000"/>
          <w:szCs w:val="24"/>
        </w:rPr>
        <w:t>Preferences</w:t>
      </w:r>
    </w:p>
    <w:p w:rsidR="00846310" w:rsidRPr="00685F99" w:rsidRDefault="00846310" w:rsidP="00846310">
      <w:pPr>
        <w:spacing w:after="100" w:afterAutospacing="1"/>
        <w:rPr>
          <w:rFonts w:ascii="Verdana" w:hAnsi="Verdana" w:cs="Calibri"/>
          <w:i/>
          <w:u w:val="single"/>
        </w:rPr>
      </w:pPr>
      <w:r w:rsidRPr="00685F99">
        <w:rPr>
          <w:rFonts w:ascii="Verdana" w:hAnsi="Verdana" w:cs="Calibri"/>
          <w:i/>
          <w:u w:val="single"/>
        </w:rPr>
        <w:t xml:space="preserve">General preferences (except for </w:t>
      </w:r>
      <w:proofErr w:type="spellStart"/>
      <w:r w:rsidRPr="00685F99">
        <w:rPr>
          <w:rFonts w:ascii="Verdana" w:hAnsi="Verdana" w:cs="Calibri"/>
          <w:i/>
          <w:u w:val="single"/>
        </w:rPr>
        <w:t>Frontex</w:t>
      </w:r>
      <w:proofErr w:type="spellEnd"/>
      <w:r w:rsidRPr="00685F99">
        <w:rPr>
          <w:rFonts w:ascii="Verdana" w:hAnsi="Verdana" w:cs="Calibri"/>
          <w:i/>
          <w:u w:val="single"/>
        </w:rPr>
        <w:t xml:space="preserve"> equipment)</w:t>
      </w:r>
    </w:p>
    <w:p w:rsidR="00846310" w:rsidRPr="00417D12" w:rsidRDefault="00846310" w:rsidP="00846310">
      <w:pPr>
        <w:rPr>
          <w:rFonts w:ascii="Verdana" w:hAnsi="Verdana"/>
        </w:rPr>
      </w:pPr>
      <w:r w:rsidRPr="00846310">
        <w:rPr>
          <w:rFonts w:ascii="Verdana" w:hAnsi="Verdana" w:cs="Calibri"/>
        </w:rPr>
        <w:lastRenderedPageBreak/>
        <w:t>When assessing the submitted proposals, the Commission will look in particular for the following:</w:t>
      </w:r>
    </w:p>
    <w:p w:rsidR="00846310" w:rsidRPr="00846310" w:rsidRDefault="00846310" w:rsidP="00846310">
      <w:pPr>
        <w:pStyle w:val="Akapitzlist"/>
        <w:numPr>
          <w:ilvl w:val="0"/>
          <w:numId w:val="24"/>
        </w:numPr>
        <w:rPr>
          <w:rFonts w:ascii="Verdana" w:hAnsi="Verdana" w:cs="Calibri"/>
          <w:sz w:val="24"/>
          <w:szCs w:val="24"/>
        </w:rPr>
      </w:pPr>
      <w:r w:rsidRPr="00417D12">
        <w:rPr>
          <w:rFonts w:ascii="Verdana" w:hAnsi="Verdana"/>
          <w:sz w:val="24"/>
          <w:szCs w:val="24"/>
        </w:rPr>
        <w:t>number of Member States involved in the action (for joint actions)</w:t>
      </w:r>
    </w:p>
    <w:p w:rsidR="00846310" w:rsidRPr="00846310" w:rsidRDefault="00846310" w:rsidP="00846310">
      <w:pPr>
        <w:pStyle w:val="Akapitzlist"/>
        <w:rPr>
          <w:rFonts w:ascii="Verdana" w:hAnsi="Verdana" w:cs="Calibri"/>
          <w:sz w:val="24"/>
          <w:szCs w:val="24"/>
        </w:rPr>
      </w:pPr>
    </w:p>
    <w:p w:rsidR="00846310" w:rsidRPr="00846310" w:rsidRDefault="00846310" w:rsidP="00846310">
      <w:pPr>
        <w:pStyle w:val="Akapitzlist"/>
        <w:numPr>
          <w:ilvl w:val="0"/>
          <w:numId w:val="24"/>
        </w:numPr>
        <w:spacing w:after="240"/>
        <w:ind w:left="714" w:hanging="357"/>
        <w:jc w:val="both"/>
        <w:rPr>
          <w:rFonts w:ascii="Verdana" w:hAnsi="Verdana" w:cs="Calibri"/>
          <w:sz w:val="24"/>
          <w:szCs w:val="24"/>
        </w:rPr>
      </w:pPr>
      <w:r w:rsidRPr="00846310">
        <w:rPr>
          <w:rFonts w:ascii="Verdana" w:hAnsi="Verdana" w:cs="Calibri"/>
          <w:sz w:val="24"/>
          <w:szCs w:val="24"/>
        </w:rPr>
        <w:t>duration of the action with a preference for long-term actions over short-term actions;</w:t>
      </w:r>
    </w:p>
    <w:p w:rsidR="00846310" w:rsidRPr="00846310" w:rsidRDefault="00846310" w:rsidP="00846310">
      <w:pPr>
        <w:pStyle w:val="Akapitzlist"/>
        <w:numPr>
          <w:ilvl w:val="0"/>
          <w:numId w:val="24"/>
        </w:numPr>
        <w:spacing w:after="240"/>
        <w:ind w:left="714" w:hanging="357"/>
        <w:jc w:val="both"/>
        <w:rPr>
          <w:rFonts w:ascii="Verdana" w:hAnsi="Verdana" w:cs="Calibri"/>
          <w:sz w:val="24"/>
          <w:szCs w:val="24"/>
        </w:rPr>
      </w:pPr>
      <w:r w:rsidRPr="00846310">
        <w:rPr>
          <w:rFonts w:ascii="Verdana" w:hAnsi="Verdana" w:cs="Calibri"/>
          <w:sz w:val="24"/>
          <w:szCs w:val="24"/>
        </w:rPr>
        <w:t>diversity of actions (comparative assessment will be organised for the same type of Specific Action);</w:t>
      </w:r>
    </w:p>
    <w:p w:rsidR="00846310" w:rsidRPr="00846310" w:rsidRDefault="00846310" w:rsidP="00846310">
      <w:pPr>
        <w:pStyle w:val="Akapitzlist"/>
        <w:numPr>
          <w:ilvl w:val="0"/>
          <w:numId w:val="24"/>
        </w:numPr>
        <w:spacing w:after="240"/>
        <w:ind w:left="714" w:hanging="357"/>
        <w:jc w:val="both"/>
        <w:rPr>
          <w:rFonts w:ascii="Verdana" w:hAnsi="Verdana" w:cs="Calibri"/>
          <w:sz w:val="24"/>
          <w:szCs w:val="24"/>
        </w:rPr>
      </w:pPr>
      <w:r w:rsidRPr="00846310">
        <w:rPr>
          <w:rFonts w:ascii="Verdana" w:hAnsi="Verdana" w:cs="Calibri"/>
          <w:sz w:val="24"/>
          <w:szCs w:val="24"/>
        </w:rPr>
        <w:t>expected impact of the action in terms of results and persons affected;</w:t>
      </w:r>
    </w:p>
    <w:p w:rsidR="00846310" w:rsidRPr="00846310" w:rsidRDefault="00846310" w:rsidP="00846310">
      <w:pPr>
        <w:pStyle w:val="Akapitzlist"/>
        <w:numPr>
          <w:ilvl w:val="0"/>
          <w:numId w:val="24"/>
        </w:numPr>
        <w:spacing w:after="240"/>
        <w:ind w:left="714" w:hanging="357"/>
        <w:jc w:val="both"/>
        <w:rPr>
          <w:rFonts w:ascii="Verdana" w:hAnsi="Verdana" w:cs="Calibri"/>
          <w:sz w:val="24"/>
          <w:szCs w:val="24"/>
        </w:rPr>
      </w:pPr>
      <w:r w:rsidRPr="00846310">
        <w:rPr>
          <w:rFonts w:ascii="Verdana" w:hAnsi="Verdana" w:cs="Calibri"/>
          <w:sz w:val="24"/>
          <w:szCs w:val="24"/>
        </w:rPr>
        <w:t>feasibility of the action and likelihood of success;</w:t>
      </w:r>
    </w:p>
    <w:p w:rsidR="00846310" w:rsidRPr="00846310" w:rsidRDefault="00846310" w:rsidP="00846310">
      <w:pPr>
        <w:pStyle w:val="Akapitzlist"/>
        <w:numPr>
          <w:ilvl w:val="0"/>
          <w:numId w:val="24"/>
        </w:numPr>
        <w:spacing w:after="100" w:afterAutospacing="1"/>
        <w:jc w:val="both"/>
        <w:rPr>
          <w:rFonts w:ascii="Verdana" w:hAnsi="Verdana" w:cs="Calibri"/>
          <w:sz w:val="24"/>
          <w:szCs w:val="24"/>
        </w:rPr>
      </w:pPr>
      <w:r w:rsidRPr="00846310">
        <w:rPr>
          <w:rFonts w:ascii="Verdana" w:hAnsi="Verdana" w:cs="Calibri"/>
          <w:sz w:val="24"/>
          <w:szCs w:val="24"/>
        </w:rPr>
        <w:t>level of development and planning of the action.</w:t>
      </w:r>
    </w:p>
    <w:p w:rsidR="00846310" w:rsidRPr="00846310" w:rsidRDefault="00846310" w:rsidP="00846310">
      <w:pPr>
        <w:spacing w:after="100" w:afterAutospacing="1"/>
        <w:rPr>
          <w:rFonts w:ascii="Verdana" w:hAnsi="Verdana" w:cs="Calibri"/>
          <w:b/>
          <w:i/>
          <w:u w:val="single"/>
        </w:rPr>
      </w:pPr>
      <w:r w:rsidRPr="00846310">
        <w:rPr>
          <w:rFonts w:ascii="Verdana" w:hAnsi="Verdana" w:cs="Calibri"/>
        </w:rPr>
        <w:t xml:space="preserve">These preferences do not apply to the Specific Actions related to the purchase of equipment for </w:t>
      </w:r>
      <w:proofErr w:type="spellStart"/>
      <w:r w:rsidRPr="00846310">
        <w:rPr>
          <w:rFonts w:ascii="Verdana" w:hAnsi="Verdana" w:cs="Calibri"/>
        </w:rPr>
        <w:t>Frontex</w:t>
      </w:r>
      <w:proofErr w:type="spellEnd"/>
      <w:r w:rsidRPr="00846310">
        <w:rPr>
          <w:rFonts w:ascii="Verdana" w:hAnsi="Verdana" w:cs="Calibri"/>
        </w:rPr>
        <w:t xml:space="preserve"> (ISF-Borders). </w:t>
      </w:r>
    </w:p>
    <w:p w:rsidR="00846310" w:rsidRPr="00CD1540" w:rsidRDefault="00846310" w:rsidP="00CD1540">
      <w:pPr>
        <w:pStyle w:val="Akapitzlist"/>
        <w:numPr>
          <w:ilvl w:val="0"/>
          <w:numId w:val="21"/>
        </w:numPr>
        <w:spacing w:after="240"/>
        <w:ind w:left="357" w:hanging="357"/>
        <w:jc w:val="both"/>
        <w:rPr>
          <w:rFonts w:ascii="Verdana" w:hAnsi="Verdana"/>
          <w:b/>
          <w:sz w:val="24"/>
          <w:szCs w:val="24"/>
          <w:u w:val="single"/>
        </w:rPr>
      </w:pPr>
      <w:r w:rsidRPr="00CD1540">
        <w:rPr>
          <w:rFonts w:ascii="Verdana" w:hAnsi="Verdana"/>
          <w:b/>
          <w:sz w:val="24"/>
          <w:szCs w:val="24"/>
          <w:u w:val="single"/>
        </w:rPr>
        <w:t>Specific Actions</w:t>
      </w:r>
    </w:p>
    <w:p w:rsidR="00846310" w:rsidRPr="00685F99" w:rsidRDefault="00846310" w:rsidP="00CD1540">
      <w:pPr>
        <w:pStyle w:val="Nagwek2"/>
        <w:numPr>
          <w:ilvl w:val="0"/>
          <w:numId w:val="30"/>
        </w:numPr>
        <w:rPr>
          <w:rFonts w:ascii="Verdana" w:hAnsi="Verdana"/>
          <w:i/>
        </w:rPr>
      </w:pPr>
      <w:r w:rsidRPr="00685F99">
        <w:rPr>
          <w:rFonts w:ascii="Verdana" w:hAnsi="Verdana"/>
          <w:i/>
        </w:rPr>
        <w:t>AMIF</w:t>
      </w:r>
    </w:p>
    <w:p w:rsidR="00846310" w:rsidRPr="00846310" w:rsidRDefault="00846310" w:rsidP="00846310">
      <w:pPr>
        <w:spacing w:after="100" w:afterAutospacing="1"/>
        <w:rPr>
          <w:rFonts w:ascii="Verdana" w:hAnsi="Verdana" w:cs="Calibri"/>
        </w:rPr>
      </w:pPr>
      <w:r w:rsidRPr="00846310">
        <w:rPr>
          <w:rFonts w:ascii="Verdana" w:hAnsi="Verdana" w:cs="Calibri"/>
        </w:rPr>
        <w:t>The list of Specific Actions is defined exhaustively in Annex II of the AMIF Regulation:</w:t>
      </w:r>
    </w:p>
    <w:p w:rsidR="00846310" w:rsidRPr="00846310" w:rsidRDefault="00846310" w:rsidP="00846310">
      <w:pPr>
        <w:pStyle w:val="Akapitzlist"/>
        <w:numPr>
          <w:ilvl w:val="0"/>
          <w:numId w:val="25"/>
        </w:numPr>
        <w:spacing w:after="240"/>
        <w:ind w:left="714" w:hanging="357"/>
        <w:jc w:val="both"/>
        <w:rPr>
          <w:rFonts w:ascii="Verdana" w:hAnsi="Verdana" w:cs="Calibri"/>
          <w:sz w:val="24"/>
          <w:szCs w:val="24"/>
        </w:rPr>
      </w:pPr>
      <w:r w:rsidRPr="00846310">
        <w:rPr>
          <w:rFonts w:ascii="Verdana" w:hAnsi="Verdana" w:cs="Calibri"/>
          <w:sz w:val="24"/>
          <w:szCs w:val="24"/>
        </w:rPr>
        <w:t>Establishment and development in the Union of transit and processing centres for refugees, in particular to support resettlement operations in cooperation with the UNHCR.</w:t>
      </w:r>
    </w:p>
    <w:p w:rsidR="00846310" w:rsidRPr="00846310" w:rsidRDefault="00846310" w:rsidP="00846310">
      <w:pPr>
        <w:pStyle w:val="Akapitzlist"/>
        <w:numPr>
          <w:ilvl w:val="0"/>
          <w:numId w:val="25"/>
        </w:numPr>
        <w:spacing w:after="240"/>
        <w:ind w:left="714" w:hanging="357"/>
        <w:jc w:val="both"/>
        <w:rPr>
          <w:rFonts w:ascii="Verdana" w:hAnsi="Verdana" w:cs="Calibri"/>
          <w:sz w:val="24"/>
          <w:szCs w:val="24"/>
        </w:rPr>
      </w:pPr>
      <w:r w:rsidRPr="00846310">
        <w:rPr>
          <w:rFonts w:ascii="Verdana" w:hAnsi="Verdana" w:cs="Calibri"/>
          <w:sz w:val="24"/>
          <w:szCs w:val="24"/>
        </w:rPr>
        <w:t>New approaches, in cooperation with the UNHCR, concerning access to asylum procedures targeting main countries of transit such as protection programmes for particular groups or certain procedures for examination of applications for asylum.</w:t>
      </w:r>
    </w:p>
    <w:p w:rsidR="00846310" w:rsidRPr="00846310" w:rsidRDefault="00846310" w:rsidP="00846310">
      <w:pPr>
        <w:pStyle w:val="Akapitzlist"/>
        <w:numPr>
          <w:ilvl w:val="0"/>
          <w:numId w:val="25"/>
        </w:numPr>
        <w:spacing w:after="240"/>
        <w:ind w:left="714" w:hanging="357"/>
        <w:jc w:val="both"/>
        <w:rPr>
          <w:rFonts w:ascii="Verdana" w:hAnsi="Verdana" w:cs="Calibri"/>
          <w:sz w:val="24"/>
          <w:szCs w:val="24"/>
        </w:rPr>
      </w:pPr>
      <w:r w:rsidRPr="00846310">
        <w:rPr>
          <w:rFonts w:ascii="Verdana" w:hAnsi="Verdana" w:cs="Calibri"/>
          <w:sz w:val="24"/>
          <w:szCs w:val="24"/>
        </w:rPr>
        <w:t>Joint initiatives amongst Member States in the field of integration, such as benchmarking exercises, peer reviews or testing of European modules, for example on the acquisition of language skills or the organisation of introductory programmes and with the aim of improving the coordination of policies between Member States, regions and local authorities.</w:t>
      </w:r>
    </w:p>
    <w:p w:rsidR="00846310" w:rsidRPr="00846310" w:rsidRDefault="00846310" w:rsidP="00846310">
      <w:pPr>
        <w:pStyle w:val="Akapitzlist"/>
        <w:numPr>
          <w:ilvl w:val="0"/>
          <w:numId w:val="25"/>
        </w:numPr>
        <w:spacing w:after="240"/>
        <w:ind w:left="714" w:hanging="357"/>
        <w:jc w:val="both"/>
        <w:rPr>
          <w:rFonts w:ascii="Verdana" w:hAnsi="Verdana" w:cs="Calibri"/>
          <w:sz w:val="24"/>
          <w:szCs w:val="24"/>
        </w:rPr>
      </w:pPr>
      <w:r w:rsidRPr="00846310">
        <w:rPr>
          <w:rFonts w:ascii="Verdana" w:hAnsi="Verdana" w:cs="Calibri"/>
          <w:sz w:val="24"/>
          <w:szCs w:val="24"/>
        </w:rPr>
        <w:t>Joint initiatives aimed at identification and implementation of new approaches concerning the procedures at first encounter, standards of protection of and assistance for unaccompanied minors.</w:t>
      </w:r>
    </w:p>
    <w:p w:rsidR="00846310" w:rsidRPr="00846310" w:rsidRDefault="00846310" w:rsidP="00846310">
      <w:pPr>
        <w:pStyle w:val="Akapitzlist"/>
        <w:numPr>
          <w:ilvl w:val="0"/>
          <w:numId w:val="25"/>
        </w:numPr>
        <w:spacing w:after="240"/>
        <w:ind w:left="714" w:hanging="357"/>
        <w:jc w:val="both"/>
        <w:rPr>
          <w:rFonts w:ascii="Verdana" w:hAnsi="Verdana" w:cs="Calibri"/>
          <w:sz w:val="24"/>
          <w:szCs w:val="24"/>
        </w:rPr>
      </w:pPr>
      <w:r w:rsidRPr="00846310">
        <w:rPr>
          <w:rFonts w:ascii="Verdana" w:hAnsi="Verdana" w:cs="Calibri"/>
          <w:sz w:val="24"/>
          <w:szCs w:val="24"/>
        </w:rPr>
        <w:lastRenderedPageBreak/>
        <w:t xml:space="preserve">Joint return operations, including joint actions on implementation of Union readmission agreements. </w:t>
      </w:r>
    </w:p>
    <w:p w:rsidR="00846310" w:rsidRPr="00846310" w:rsidRDefault="00846310" w:rsidP="00846310">
      <w:pPr>
        <w:pStyle w:val="Akapitzlist"/>
        <w:numPr>
          <w:ilvl w:val="0"/>
          <w:numId w:val="25"/>
        </w:numPr>
        <w:spacing w:after="240"/>
        <w:ind w:left="714" w:hanging="357"/>
        <w:jc w:val="both"/>
        <w:rPr>
          <w:rFonts w:ascii="Verdana" w:hAnsi="Verdana" w:cs="Calibri"/>
          <w:sz w:val="24"/>
          <w:szCs w:val="24"/>
        </w:rPr>
      </w:pPr>
      <w:r w:rsidRPr="00846310">
        <w:rPr>
          <w:rFonts w:ascii="Verdana" w:hAnsi="Verdana" w:cs="Calibri"/>
          <w:sz w:val="24"/>
          <w:szCs w:val="24"/>
        </w:rPr>
        <w:t xml:space="preserve">Joint reintegration projects in the countries of origin with a view to sustainable return, as well as joint actions to strengthen third countries' capacities to implement Union readmission agreements. </w:t>
      </w:r>
    </w:p>
    <w:p w:rsidR="00846310" w:rsidRPr="00846310" w:rsidRDefault="00846310" w:rsidP="00846310">
      <w:pPr>
        <w:pStyle w:val="Akapitzlist"/>
        <w:numPr>
          <w:ilvl w:val="0"/>
          <w:numId w:val="25"/>
        </w:numPr>
        <w:spacing w:after="240"/>
        <w:ind w:left="714" w:hanging="357"/>
        <w:jc w:val="both"/>
        <w:rPr>
          <w:rFonts w:ascii="Verdana" w:hAnsi="Verdana" w:cs="Calibri"/>
          <w:sz w:val="24"/>
          <w:szCs w:val="24"/>
        </w:rPr>
      </w:pPr>
      <w:r w:rsidRPr="00846310">
        <w:rPr>
          <w:rFonts w:ascii="Verdana" w:hAnsi="Verdana" w:cs="Calibri"/>
          <w:sz w:val="24"/>
          <w:szCs w:val="24"/>
        </w:rPr>
        <w:t xml:space="preserve">Joint initiatives aimed at restoring family unity and reintegration of unaccompanied minors in their countries of origin. </w:t>
      </w:r>
    </w:p>
    <w:p w:rsidR="00846310" w:rsidRPr="00846310" w:rsidRDefault="00846310" w:rsidP="00846310">
      <w:pPr>
        <w:pStyle w:val="Akapitzlist"/>
        <w:numPr>
          <w:ilvl w:val="0"/>
          <w:numId w:val="25"/>
        </w:numPr>
        <w:spacing w:after="100" w:afterAutospacing="1"/>
        <w:jc w:val="both"/>
        <w:rPr>
          <w:rFonts w:ascii="Verdana" w:hAnsi="Verdana" w:cs="Calibri"/>
          <w:sz w:val="24"/>
          <w:szCs w:val="24"/>
        </w:rPr>
      </w:pPr>
      <w:r w:rsidRPr="00846310">
        <w:rPr>
          <w:rFonts w:ascii="Verdana" w:hAnsi="Verdana" w:cs="Calibri"/>
          <w:sz w:val="24"/>
          <w:szCs w:val="24"/>
        </w:rPr>
        <w:t>Joint initiatives among Member States in the field of legal migration, including the setting up of joint migration centres in third-countries, as well as joint projects to promote cooperation between Member States with a view to encouraging the use of exclusively legal migration channels and informing on the risks of illegal immigration.</w:t>
      </w:r>
    </w:p>
    <w:p w:rsidR="00846310" w:rsidRPr="00846310" w:rsidRDefault="00846310" w:rsidP="00CD1540">
      <w:pPr>
        <w:pStyle w:val="Nagwek2"/>
        <w:numPr>
          <w:ilvl w:val="0"/>
          <w:numId w:val="30"/>
        </w:numPr>
        <w:rPr>
          <w:rFonts w:ascii="Verdana" w:hAnsi="Verdana" w:cs="Calibri"/>
          <w:b w:val="0"/>
          <w:i/>
        </w:rPr>
      </w:pPr>
      <w:r w:rsidRPr="00846310">
        <w:rPr>
          <w:rFonts w:ascii="Verdana" w:hAnsi="Verdana" w:cs="Calibri"/>
          <w:i/>
        </w:rPr>
        <w:t>ISF-Borders</w:t>
      </w:r>
    </w:p>
    <w:p w:rsidR="00846310" w:rsidRPr="00417D12" w:rsidRDefault="00846310" w:rsidP="00846310">
      <w:pPr>
        <w:spacing w:after="100" w:afterAutospacing="1"/>
        <w:rPr>
          <w:rFonts w:ascii="Verdana" w:hAnsi="Verdana"/>
          <w:noProof/>
        </w:rPr>
      </w:pPr>
      <w:r w:rsidRPr="00417D12">
        <w:rPr>
          <w:rFonts w:ascii="Verdana" w:hAnsi="Verdana"/>
          <w:noProof/>
        </w:rPr>
        <w:t>Annex II to the ISF-Borders Regulation provides for two categories of Specific Actions, namely actions in the area of consular coperation and actions linked to the purchase of Frontex equipment. The amounts earmarked for each category are EUR 30 million and EUR 117 million respectively.</w:t>
      </w:r>
    </w:p>
    <w:p w:rsidR="00846310" w:rsidRPr="00417D12" w:rsidRDefault="00846310" w:rsidP="00846310">
      <w:pPr>
        <w:ind w:firstLine="720"/>
        <w:rPr>
          <w:rFonts w:ascii="Verdana" w:hAnsi="Verdana"/>
          <w:noProof/>
        </w:rPr>
      </w:pPr>
      <w:r w:rsidRPr="00417D12">
        <w:rPr>
          <w:rFonts w:ascii="Verdana" w:hAnsi="Verdana"/>
          <w:i/>
          <w:noProof/>
          <w:u w:val="single"/>
        </w:rPr>
        <w:t>Consular cooperation</w:t>
      </w:r>
    </w:p>
    <w:p w:rsidR="00846310" w:rsidRPr="00417D12" w:rsidRDefault="00846310" w:rsidP="00846310">
      <w:pPr>
        <w:spacing w:after="100" w:afterAutospacing="1"/>
        <w:rPr>
          <w:rFonts w:ascii="Verdana" w:hAnsi="Verdana"/>
          <w:i/>
          <w:noProof/>
        </w:rPr>
      </w:pPr>
      <w:r w:rsidRPr="00417D12">
        <w:rPr>
          <w:rFonts w:ascii="Verdana" w:hAnsi="Verdana"/>
          <w:noProof/>
        </w:rPr>
        <w:t xml:space="preserve">The first category of Specific Actions relates to the </w:t>
      </w:r>
      <w:r w:rsidRPr="00417D12">
        <w:rPr>
          <w:rFonts w:ascii="Verdana" w:hAnsi="Verdana"/>
          <w:i/>
          <w:noProof/>
        </w:rPr>
        <w:t xml:space="preserve">"setting up </w:t>
      </w:r>
      <w:r w:rsidRPr="00417D12">
        <w:rPr>
          <w:rFonts w:ascii="Verdana" w:hAnsi="Verdana"/>
          <w:i/>
          <w:noProof/>
          <w:u w:val="single"/>
        </w:rPr>
        <w:t>consular cooperation mechanisms</w:t>
      </w:r>
      <w:r w:rsidRPr="00417D12">
        <w:rPr>
          <w:rFonts w:ascii="Verdana" w:hAnsi="Verdana"/>
          <w:i/>
          <w:noProof/>
        </w:rPr>
        <w:t xml:space="preserve"> between at least two Member States resulting in economies of scale as regards the processing of applications and the issuing of visas at consulates in accordance with the principles on co-operation laid down in the Visa Code, including common visa application centres".</w:t>
      </w:r>
    </w:p>
    <w:p w:rsidR="00846310" w:rsidRPr="00846310" w:rsidRDefault="00846310" w:rsidP="00846310">
      <w:pPr>
        <w:rPr>
          <w:rFonts w:ascii="Verdana" w:hAnsi="Verdana" w:cs="Calibri"/>
          <w:color w:val="000000"/>
        </w:rPr>
      </w:pPr>
      <w:r w:rsidRPr="00846310">
        <w:rPr>
          <w:rFonts w:ascii="Verdana" w:hAnsi="Verdana" w:cs="Calibri"/>
          <w:color w:val="000000"/>
        </w:rPr>
        <w:t>Please note that for consular cooperation, 1 application form for each mechanism/location of cooperation is required.</w:t>
      </w:r>
    </w:p>
    <w:p w:rsidR="00846310" w:rsidRPr="00846310" w:rsidRDefault="00846310" w:rsidP="00846310">
      <w:pPr>
        <w:spacing w:after="100" w:afterAutospacing="1"/>
        <w:ind w:firstLine="720"/>
        <w:rPr>
          <w:rFonts w:ascii="Verdana" w:hAnsi="Verdana" w:cs="Calibri"/>
        </w:rPr>
      </w:pPr>
      <w:r w:rsidRPr="00417D12">
        <w:rPr>
          <w:rFonts w:ascii="Verdana" w:hAnsi="Verdana"/>
          <w:i/>
          <w:noProof/>
          <w:u w:val="single"/>
        </w:rPr>
        <w:t>Frontex equipment</w:t>
      </w:r>
    </w:p>
    <w:p w:rsidR="00846310" w:rsidRPr="00417D12" w:rsidRDefault="00846310" w:rsidP="00846310">
      <w:pPr>
        <w:pStyle w:val="Akapitzlist"/>
        <w:spacing w:after="100" w:afterAutospacing="1"/>
        <w:ind w:left="0"/>
        <w:jc w:val="both"/>
        <w:rPr>
          <w:rFonts w:ascii="Verdana" w:hAnsi="Verdana"/>
          <w:noProof/>
          <w:sz w:val="24"/>
          <w:szCs w:val="24"/>
        </w:rPr>
      </w:pPr>
      <w:r w:rsidRPr="00417D12">
        <w:rPr>
          <w:rFonts w:ascii="Verdana" w:hAnsi="Verdana"/>
          <w:noProof/>
          <w:sz w:val="24"/>
          <w:szCs w:val="24"/>
        </w:rPr>
        <w:t>The second type of specific action relates to "</w:t>
      </w:r>
      <w:r w:rsidRPr="00417D12">
        <w:rPr>
          <w:rFonts w:ascii="Verdana" w:hAnsi="Verdana"/>
          <w:i/>
          <w:noProof/>
          <w:sz w:val="24"/>
          <w:szCs w:val="24"/>
          <w:u w:val="single"/>
        </w:rPr>
        <w:t>Purchasing means of transport and operating equipment that are considered necessary for the deployment during joint operations by the Frontex Agency</w:t>
      </w:r>
      <w:r w:rsidRPr="00417D12">
        <w:rPr>
          <w:rFonts w:ascii="Verdana" w:hAnsi="Verdana"/>
          <w:i/>
          <w:noProof/>
          <w:sz w:val="24"/>
          <w:szCs w:val="24"/>
        </w:rPr>
        <w:t xml:space="preserve"> and which shall be put at the disposal of the Agency in accordance with the criteria established in Article 7(5) 2nd and 3rd paragraph of Regulation No 1168/2011</w:t>
      </w:r>
      <w:r w:rsidRPr="00417D12">
        <w:rPr>
          <w:rStyle w:val="Odwoanieprzypisudolnego"/>
          <w:rFonts w:ascii="Verdana" w:hAnsi="Verdana"/>
          <w:noProof/>
          <w:sz w:val="24"/>
          <w:szCs w:val="24"/>
        </w:rPr>
        <w:footnoteReference w:id="2"/>
      </w:r>
      <w:r w:rsidRPr="00417D12">
        <w:rPr>
          <w:rFonts w:ascii="Verdana" w:hAnsi="Verdana"/>
          <w:noProof/>
          <w:sz w:val="24"/>
          <w:szCs w:val="24"/>
        </w:rPr>
        <w:t>."</w:t>
      </w:r>
    </w:p>
    <w:p w:rsidR="00846310" w:rsidRPr="00846310" w:rsidRDefault="00846310" w:rsidP="00846310">
      <w:pPr>
        <w:spacing w:after="100" w:afterAutospacing="1"/>
        <w:rPr>
          <w:rFonts w:ascii="Verdana" w:hAnsi="Verdana" w:cs="Calibri"/>
        </w:rPr>
      </w:pPr>
      <w:r w:rsidRPr="00846310">
        <w:rPr>
          <w:rFonts w:ascii="Verdana" w:hAnsi="Verdana" w:cs="Calibri"/>
        </w:rPr>
        <w:lastRenderedPageBreak/>
        <w:t xml:space="preserve">In consultation with </w:t>
      </w:r>
      <w:proofErr w:type="spellStart"/>
      <w:r w:rsidRPr="00846310">
        <w:rPr>
          <w:rFonts w:ascii="Verdana" w:hAnsi="Verdana" w:cs="Calibri"/>
        </w:rPr>
        <w:t>Frontex</w:t>
      </w:r>
      <w:proofErr w:type="spellEnd"/>
      <w:r w:rsidRPr="00846310">
        <w:rPr>
          <w:rFonts w:ascii="Verdana" w:hAnsi="Verdana" w:cs="Calibri"/>
        </w:rPr>
        <w:t>, the list of mobile equipment</w:t>
      </w:r>
      <w:r w:rsidRPr="00846310">
        <w:rPr>
          <w:rStyle w:val="Odwoanieprzypisudolnego"/>
          <w:rFonts w:ascii="Verdana" w:hAnsi="Verdana" w:cs="Calibri"/>
        </w:rPr>
        <w:footnoteReference w:id="3"/>
      </w:r>
      <w:r w:rsidRPr="00846310">
        <w:rPr>
          <w:rFonts w:ascii="Verdana" w:hAnsi="Verdana" w:cs="Calibri"/>
        </w:rPr>
        <w:t xml:space="preserve"> has been identified for purchase by Member States: </w:t>
      </w:r>
    </w:p>
    <w:p w:rsidR="00846310" w:rsidRPr="00846310" w:rsidRDefault="00846310" w:rsidP="00846310">
      <w:pPr>
        <w:numPr>
          <w:ilvl w:val="0"/>
          <w:numId w:val="19"/>
        </w:numPr>
        <w:spacing w:after="120"/>
        <w:ind w:left="714" w:hanging="357"/>
        <w:rPr>
          <w:rFonts w:ascii="Verdana" w:hAnsi="Verdana" w:cs="Calibri"/>
        </w:rPr>
      </w:pPr>
      <w:r w:rsidRPr="00846310">
        <w:rPr>
          <w:rFonts w:ascii="Verdana" w:hAnsi="Verdana" w:cs="Calibri"/>
          <w:u w:val="single"/>
        </w:rPr>
        <w:t xml:space="preserve"> Offshore patrol vessels</w:t>
      </w:r>
      <w:r w:rsidRPr="00846310">
        <w:rPr>
          <w:rFonts w:ascii="Verdana" w:hAnsi="Verdana" w:cs="Calibri"/>
        </w:rPr>
        <w:t>, both aerial and maritime, with modern surveillance equipment. Specifically, there is a lack of cost efficient and multi-functional offshore patrol vessels having their own helicopters which enable them to extend their surveillance range and capabilities;</w:t>
      </w:r>
    </w:p>
    <w:p w:rsidR="00846310" w:rsidRPr="00846310" w:rsidRDefault="00846310" w:rsidP="00846310">
      <w:pPr>
        <w:numPr>
          <w:ilvl w:val="0"/>
          <w:numId w:val="19"/>
        </w:numPr>
        <w:spacing w:after="120"/>
        <w:ind w:left="714" w:hanging="357"/>
        <w:rPr>
          <w:rFonts w:ascii="Verdana" w:hAnsi="Verdana" w:cs="Calibri"/>
        </w:rPr>
      </w:pPr>
      <w:r w:rsidRPr="00846310">
        <w:rPr>
          <w:rFonts w:ascii="Verdana" w:hAnsi="Verdana" w:cs="Calibri"/>
        </w:rPr>
        <w:t xml:space="preserve"> Modern and efficient </w:t>
      </w:r>
      <w:r w:rsidRPr="00846310">
        <w:rPr>
          <w:rFonts w:ascii="Verdana" w:hAnsi="Verdana" w:cs="Calibri"/>
          <w:u w:val="single"/>
        </w:rPr>
        <w:t>maritime helicopters</w:t>
      </w:r>
      <w:r w:rsidRPr="00846310">
        <w:rPr>
          <w:rFonts w:ascii="Verdana" w:hAnsi="Verdana" w:cs="Calibri"/>
        </w:rPr>
        <w:t xml:space="preserve"> with appropriate, state-of-the-art, on-board surveillance equipment in addition to being capable of carrying out Search and Rescue (SAR) activities;</w:t>
      </w:r>
    </w:p>
    <w:p w:rsidR="00846310" w:rsidRPr="00846310" w:rsidRDefault="00846310" w:rsidP="00846310">
      <w:pPr>
        <w:numPr>
          <w:ilvl w:val="0"/>
          <w:numId w:val="19"/>
        </w:numPr>
        <w:spacing w:after="120"/>
        <w:ind w:left="714" w:hanging="357"/>
        <w:rPr>
          <w:rFonts w:ascii="Verdana" w:hAnsi="Verdana" w:cs="Calibri"/>
        </w:rPr>
      </w:pPr>
      <w:r w:rsidRPr="00846310">
        <w:rPr>
          <w:rFonts w:ascii="Verdana" w:hAnsi="Verdana" w:cs="Calibri"/>
          <w:u w:val="single"/>
        </w:rPr>
        <w:t xml:space="preserve"> Long range fixed wing aircrafts</w:t>
      </w:r>
      <w:r w:rsidRPr="00846310">
        <w:rPr>
          <w:rFonts w:ascii="Verdana" w:hAnsi="Verdana" w:cs="Calibri"/>
        </w:rPr>
        <w:t xml:space="preserve"> equipped with modern surveillance technology enabling the aircraft to perform most of the Coastguard functions at sea;</w:t>
      </w:r>
    </w:p>
    <w:p w:rsidR="00846310" w:rsidRPr="00846310" w:rsidRDefault="00846310" w:rsidP="00846310">
      <w:pPr>
        <w:numPr>
          <w:ilvl w:val="0"/>
          <w:numId w:val="19"/>
        </w:numPr>
        <w:spacing w:after="120"/>
        <w:ind w:left="714" w:hanging="357"/>
        <w:rPr>
          <w:rFonts w:ascii="Verdana" w:hAnsi="Verdana" w:cs="Calibri"/>
        </w:rPr>
      </w:pPr>
      <w:r w:rsidRPr="00846310">
        <w:rPr>
          <w:rFonts w:ascii="Verdana" w:hAnsi="Verdana" w:cs="Calibri"/>
          <w:u w:val="single"/>
        </w:rPr>
        <w:t xml:space="preserve"> Thermal Vision Vehicles (TVVs)</w:t>
      </w:r>
      <w:r w:rsidRPr="00846310">
        <w:rPr>
          <w:rFonts w:ascii="Verdana" w:hAnsi="Verdana" w:cs="Calibri"/>
        </w:rPr>
        <w:t>: a need to increase the number of TVVs available for carrying out routine surveillance operations;</w:t>
      </w:r>
    </w:p>
    <w:p w:rsidR="00846310" w:rsidRPr="00846310" w:rsidRDefault="00846310" w:rsidP="00846310">
      <w:pPr>
        <w:numPr>
          <w:ilvl w:val="0"/>
          <w:numId w:val="19"/>
        </w:numPr>
        <w:spacing w:after="120"/>
        <w:ind w:left="714" w:hanging="357"/>
        <w:rPr>
          <w:rFonts w:ascii="Verdana" w:hAnsi="Verdana" w:cs="Calibri"/>
        </w:rPr>
      </w:pPr>
      <w:r w:rsidRPr="00846310">
        <w:rPr>
          <w:rFonts w:ascii="Verdana" w:hAnsi="Verdana" w:cs="Calibri"/>
          <w:u w:val="single"/>
        </w:rPr>
        <w:t xml:space="preserve"> Mobile land and coastal surveillance vehicles</w:t>
      </w:r>
      <w:r w:rsidRPr="00846310">
        <w:rPr>
          <w:rFonts w:ascii="Verdana" w:hAnsi="Verdana" w:cs="Calibri"/>
        </w:rPr>
        <w:t xml:space="preserve"> equipped with thermal cameras, land and coastal surveillance radars, special optical equipment, as well as secure radio communication and data transfer equipment;</w:t>
      </w:r>
    </w:p>
    <w:p w:rsidR="00846310" w:rsidRPr="00846310" w:rsidRDefault="00846310" w:rsidP="00846310">
      <w:pPr>
        <w:numPr>
          <w:ilvl w:val="0"/>
          <w:numId w:val="19"/>
        </w:numPr>
        <w:spacing w:after="120"/>
        <w:ind w:left="714" w:hanging="357"/>
        <w:rPr>
          <w:rFonts w:ascii="Verdana" w:hAnsi="Verdana" w:cs="Calibri"/>
        </w:rPr>
      </w:pPr>
      <w:r w:rsidRPr="00846310">
        <w:rPr>
          <w:rFonts w:ascii="Verdana" w:hAnsi="Verdana" w:cs="Calibri"/>
          <w:u w:val="single"/>
        </w:rPr>
        <w:t xml:space="preserve"> Mobile offices</w:t>
      </w:r>
      <w:r w:rsidRPr="00846310">
        <w:rPr>
          <w:rFonts w:ascii="Verdana" w:hAnsi="Verdana" w:cs="Calibri"/>
        </w:rPr>
        <w:t>: There is a need to provide suitably equipped mobile offices (e.g. with heating, air conditioning, radio, telecommunication and internet equipment, as well as furniture), for the processing of migrants, as well as providing appropriate working conditions for border guards in the operational area. It should be possible to set up such offices at short notice in the operational area in response to specific local migratory pressure.</w:t>
      </w:r>
    </w:p>
    <w:p w:rsidR="00846310" w:rsidRPr="00846310" w:rsidRDefault="00846310" w:rsidP="00846310">
      <w:pPr>
        <w:numPr>
          <w:ilvl w:val="0"/>
          <w:numId w:val="19"/>
        </w:numPr>
        <w:spacing w:after="120"/>
        <w:ind w:left="714" w:hanging="357"/>
        <w:rPr>
          <w:rFonts w:ascii="Verdana" w:hAnsi="Verdana" w:cs="Calibri"/>
        </w:rPr>
      </w:pPr>
      <w:r w:rsidRPr="00846310">
        <w:rPr>
          <w:rFonts w:ascii="Verdana" w:hAnsi="Verdana" w:cs="Calibri"/>
          <w:u w:val="single"/>
        </w:rPr>
        <w:t xml:space="preserve"> Special secure busses for the transportation of migrants</w:t>
      </w:r>
      <w:r w:rsidRPr="00846310">
        <w:rPr>
          <w:rFonts w:ascii="Verdana" w:hAnsi="Verdana" w:cs="Calibri"/>
        </w:rPr>
        <w:t xml:space="preserve"> in the operational areas;</w:t>
      </w:r>
    </w:p>
    <w:p w:rsidR="00846310" w:rsidRPr="00846310" w:rsidRDefault="00846310" w:rsidP="00846310">
      <w:pPr>
        <w:numPr>
          <w:ilvl w:val="0"/>
          <w:numId w:val="19"/>
        </w:numPr>
        <w:spacing w:after="120"/>
        <w:ind w:left="714" w:hanging="357"/>
        <w:rPr>
          <w:rFonts w:ascii="Verdana" w:hAnsi="Verdana" w:cs="Calibri"/>
        </w:rPr>
      </w:pPr>
      <w:r w:rsidRPr="00846310">
        <w:rPr>
          <w:rFonts w:ascii="Verdana" w:hAnsi="Verdana" w:cs="Calibri"/>
          <w:u w:val="single"/>
        </w:rPr>
        <w:t>Miscellaneous</w:t>
      </w:r>
      <w:r w:rsidRPr="00846310">
        <w:rPr>
          <w:rFonts w:ascii="Verdana" w:hAnsi="Verdana" w:cs="Calibri"/>
        </w:rPr>
        <w:t xml:space="preserve">, mainly small-scale equipment could be of great benefit for </w:t>
      </w:r>
      <w:proofErr w:type="spellStart"/>
      <w:r w:rsidRPr="00846310">
        <w:rPr>
          <w:rFonts w:ascii="Verdana" w:hAnsi="Verdana" w:cs="Calibri"/>
        </w:rPr>
        <w:t>Frontex</w:t>
      </w:r>
      <w:proofErr w:type="spellEnd"/>
      <w:r w:rsidRPr="00846310">
        <w:rPr>
          <w:rFonts w:ascii="Verdana" w:hAnsi="Verdana" w:cs="Calibri"/>
        </w:rPr>
        <w:t xml:space="preserve"> if more were available from the Member States:</w:t>
      </w:r>
    </w:p>
    <w:p w:rsidR="00846310" w:rsidRPr="00846310" w:rsidRDefault="00846310" w:rsidP="00846310">
      <w:pPr>
        <w:numPr>
          <w:ilvl w:val="5"/>
          <w:numId w:val="20"/>
        </w:numPr>
        <w:spacing w:after="0"/>
        <w:rPr>
          <w:rFonts w:ascii="Verdana" w:hAnsi="Verdana" w:cs="Calibri"/>
        </w:rPr>
      </w:pPr>
      <w:r w:rsidRPr="00846310">
        <w:rPr>
          <w:rFonts w:ascii="Verdana" w:hAnsi="Verdana" w:cs="Calibri"/>
        </w:rPr>
        <w:t xml:space="preserve"> Heart beat detectors;</w:t>
      </w:r>
    </w:p>
    <w:p w:rsidR="00846310" w:rsidRPr="00846310" w:rsidRDefault="00846310" w:rsidP="00846310">
      <w:pPr>
        <w:numPr>
          <w:ilvl w:val="5"/>
          <w:numId w:val="20"/>
        </w:numPr>
        <w:spacing w:after="0"/>
        <w:rPr>
          <w:rFonts w:ascii="Verdana" w:hAnsi="Verdana" w:cs="Calibri"/>
        </w:rPr>
      </w:pPr>
      <w:r w:rsidRPr="00846310">
        <w:rPr>
          <w:rFonts w:ascii="Verdana" w:hAnsi="Verdana" w:cs="Calibri"/>
        </w:rPr>
        <w:t xml:space="preserve"> CO2 detectors;</w:t>
      </w:r>
    </w:p>
    <w:p w:rsidR="00846310" w:rsidRPr="00846310" w:rsidRDefault="00846310" w:rsidP="00846310">
      <w:pPr>
        <w:numPr>
          <w:ilvl w:val="5"/>
          <w:numId w:val="20"/>
        </w:numPr>
        <w:spacing w:after="0"/>
        <w:rPr>
          <w:rFonts w:ascii="Verdana" w:hAnsi="Verdana" w:cs="Calibri"/>
        </w:rPr>
      </w:pPr>
      <w:r w:rsidRPr="00846310">
        <w:rPr>
          <w:rFonts w:ascii="Verdana" w:hAnsi="Verdana" w:cs="Calibri"/>
        </w:rPr>
        <w:t xml:space="preserve"> Mobile x-ray machines;</w:t>
      </w:r>
    </w:p>
    <w:p w:rsidR="00846310" w:rsidRPr="00846310" w:rsidRDefault="00846310" w:rsidP="00846310">
      <w:pPr>
        <w:numPr>
          <w:ilvl w:val="5"/>
          <w:numId w:val="20"/>
        </w:numPr>
        <w:spacing w:after="0"/>
        <w:rPr>
          <w:rFonts w:ascii="Verdana" w:hAnsi="Verdana" w:cs="Calibri"/>
        </w:rPr>
      </w:pPr>
      <w:r w:rsidRPr="00846310">
        <w:rPr>
          <w:rFonts w:ascii="Verdana" w:hAnsi="Verdana" w:cs="Calibri"/>
        </w:rPr>
        <w:t xml:space="preserve"> Mobile laboratories;</w:t>
      </w:r>
    </w:p>
    <w:p w:rsidR="00846310" w:rsidRPr="00846310" w:rsidRDefault="00846310" w:rsidP="00846310">
      <w:pPr>
        <w:numPr>
          <w:ilvl w:val="5"/>
          <w:numId w:val="20"/>
        </w:numPr>
        <w:ind w:left="2154" w:hanging="357"/>
        <w:rPr>
          <w:rFonts w:ascii="Verdana" w:hAnsi="Verdana" w:cs="Calibri"/>
        </w:rPr>
      </w:pPr>
      <w:r w:rsidRPr="00846310">
        <w:rPr>
          <w:rFonts w:ascii="Verdana" w:hAnsi="Verdana" w:cs="Calibri"/>
        </w:rPr>
        <w:t xml:space="preserve"> Hand held radio communication equipment.</w:t>
      </w:r>
    </w:p>
    <w:p w:rsidR="00846310" w:rsidRPr="00846310" w:rsidRDefault="00846310" w:rsidP="00846310">
      <w:pPr>
        <w:spacing w:after="100" w:afterAutospacing="1"/>
        <w:rPr>
          <w:rFonts w:ascii="Verdana" w:hAnsi="Verdana" w:cs="Calibri"/>
        </w:rPr>
      </w:pPr>
      <w:r w:rsidRPr="00846310">
        <w:rPr>
          <w:rFonts w:ascii="Verdana" w:hAnsi="Verdana" w:cs="Calibri"/>
        </w:rPr>
        <w:t>The assessment of the Specific Actions proposed under this category will be based on the following criteria:</w:t>
      </w:r>
    </w:p>
    <w:p w:rsidR="00846310" w:rsidRPr="00846310" w:rsidRDefault="00846310" w:rsidP="00846310">
      <w:pPr>
        <w:pStyle w:val="Akapitzlist"/>
        <w:numPr>
          <w:ilvl w:val="0"/>
          <w:numId w:val="23"/>
        </w:numPr>
        <w:spacing w:after="240"/>
        <w:jc w:val="both"/>
        <w:rPr>
          <w:rFonts w:ascii="Verdana" w:hAnsi="Verdana" w:cs="Calibri"/>
          <w:sz w:val="24"/>
          <w:szCs w:val="24"/>
        </w:rPr>
      </w:pPr>
      <w:r w:rsidRPr="00846310">
        <w:rPr>
          <w:rFonts w:ascii="Verdana" w:hAnsi="Verdana" w:cs="Calibri"/>
          <w:sz w:val="24"/>
          <w:szCs w:val="24"/>
        </w:rPr>
        <w:lastRenderedPageBreak/>
        <w:t xml:space="preserve">Compliance with the minimum standards/requirements for technical specifications based on selection criteria for technical equipment to be included in the </w:t>
      </w:r>
      <w:proofErr w:type="spellStart"/>
      <w:r w:rsidRPr="00846310">
        <w:rPr>
          <w:rFonts w:ascii="Verdana" w:hAnsi="Verdana" w:cs="Calibri"/>
          <w:sz w:val="24"/>
          <w:szCs w:val="24"/>
        </w:rPr>
        <w:t>Frontex</w:t>
      </w:r>
      <w:proofErr w:type="spellEnd"/>
      <w:r w:rsidRPr="00846310">
        <w:rPr>
          <w:rFonts w:ascii="Verdana" w:hAnsi="Verdana" w:cs="Calibri"/>
          <w:sz w:val="24"/>
          <w:szCs w:val="24"/>
        </w:rPr>
        <w:t xml:space="preserve"> Overall Minimum Number of Technical Equipment (OMNTE);</w:t>
      </w:r>
    </w:p>
    <w:p w:rsidR="00846310" w:rsidRPr="00846310" w:rsidRDefault="00846310" w:rsidP="00846310">
      <w:pPr>
        <w:pStyle w:val="Akapitzlist"/>
        <w:numPr>
          <w:ilvl w:val="0"/>
          <w:numId w:val="23"/>
        </w:numPr>
        <w:spacing w:after="240"/>
        <w:jc w:val="both"/>
        <w:rPr>
          <w:rFonts w:ascii="Verdana" w:hAnsi="Verdana" w:cs="Calibri"/>
          <w:sz w:val="24"/>
          <w:szCs w:val="24"/>
        </w:rPr>
      </w:pPr>
      <w:r w:rsidRPr="00846310">
        <w:rPr>
          <w:rFonts w:ascii="Verdana" w:hAnsi="Verdana" w:cs="Calibri"/>
          <w:sz w:val="24"/>
          <w:szCs w:val="24"/>
        </w:rPr>
        <w:t xml:space="preserve">Feasibility of project implementation in particular the timing/planning of procurement procedures; </w:t>
      </w:r>
    </w:p>
    <w:p w:rsidR="00846310" w:rsidRPr="00846310" w:rsidRDefault="00846310" w:rsidP="00846310">
      <w:pPr>
        <w:pStyle w:val="Akapitzlist"/>
        <w:numPr>
          <w:ilvl w:val="0"/>
          <w:numId w:val="23"/>
        </w:numPr>
        <w:spacing w:after="240"/>
        <w:jc w:val="both"/>
        <w:rPr>
          <w:rFonts w:ascii="Verdana" w:hAnsi="Verdana" w:cs="Calibri"/>
          <w:sz w:val="24"/>
          <w:szCs w:val="24"/>
        </w:rPr>
      </w:pPr>
      <w:r w:rsidRPr="00846310">
        <w:rPr>
          <w:rFonts w:ascii="Verdana" w:hAnsi="Verdana" w:cs="Calibri"/>
          <w:sz w:val="24"/>
          <w:szCs w:val="24"/>
        </w:rPr>
        <w:t xml:space="preserve">Timing of making the equipment available to </w:t>
      </w:r>
      <w:proofErr w:type="spellStart"/>
      <w:r w:rsidRPr="00846310">
        <w:rPr>
          <w:rFonts w:ascii="Verdana" w:hAnsi="Verdana" w:cs="Calibri"/>
          <w:sz w:val="24"/>
          <w:szCs w:val="24"/>
        </w:rPr>
        <w:t>Frontex</w:t>
      </w:r>
      <w:proofErr w:type="spellEnd"/>
      <w:r w:rsidRPr="00846310">
        <w:rPr>
          <w:rFonts w:ascii="Verdana" w:hAnsi="Verdana" w:cs="Calibri"/>
          <w:sz w:val="24"/>
          <w:szCs w:val="24"/>
        </w:rPr>
        <w:t>;</w:t>
      </w:r>
    </w:p>
    <w:p w:rsidR="00846310" w:rsidRPr="00846310" w:rsidRDefault="00846310" w:rsidP="00846310">
      <w:pPr>
        <w:pStyle w:val="Akapitzlist"/>
        <w:numPr>
          <w:ilvl w:val="0"/>
          <w:numId w:val="22"/>
        </w:numPr>
        <w:spacing w:after="100" w:afterAutospacing="1"/>
        <w:jc w:val="both"/>
        <w:rPr>
          <w:rFonts w:ascii="Verdana" w:hAnsi="Verdana" w:cs="Calibri"/>
          <w:sz w:val="24"/>
          <w:szCs w:val="24"/>
        </w:rPr>
      </w:pPr>
      <w:r w:rsidRPr="00846310">
        <w:rPr>
          <w:rFonts w:ascii="Verdana" w:hAnsi="Verdana" w:cs="Calibri"/>
          <w:sz w:val="24"/>
          <w:szCs w:val="24"/>
        </w:rPr>
        <w:t xml:space="preserve">Balanced coverage of </w:t>
      </w:r>
      <w:proofErr w:type="spellStart"/>
      <w:r w:rsidRPr="00846310">
        <w:rPr>
          <w:rFonts w:ascii="Verdana" w:hAnsi="Verdana" w:cs="Calibri"/>
          <w:sz w:val="24"/>
          <w:szCs w:val="24"/>
        </w:rPr>
        <w:t>Frontex</w:t>
      </w:r>
      <w:proofErr w:type="spellEnd"/>
      <w:r w:rsidRPr="00846310">
        <w:rPr>
          <w:rFonts w:ascii="Verdana" w:hAnsi="Verdana" w:cs="Calibri"/>
          <w:sz w:val="24"/>
          <w:szCs w:val="24"/>
        </w:rPr>
        <w:t xml:space="preserve"> needs in line with the above list.</w:t>
      </w:r>
    </w:p>
    <w:p w:rsidR="00846310" w:rsidRPr="00846310" w:rsidRDefault="00846310" w:rsidP="00846310">
      <w:pPr>
        <w:pStyle w:val="Akapitzlist"/>
        <w:numPr>
          <w:ilvl w:val="0"/>
          <w:numId w:val="21"/>
        </w:numPr>
        <w:spacing w:after="240"/>
        <w:ind w:left="357" w:hanging="357"/>
        <w:jc w:val="both"/>
        <w:rPr>
          <w:rFonts w:ascii="Verdana" w:hAnsi="Verdana" w:cs="Calibri"/>
          <w:b/>
          <w:sz w:val="24"/>
          <w:szCs w:val="24"/>
          <w:u w:val="single"/>
        </w:rPr>
      </w:pPr>
      <w:r w:rsidRPr="00846310">
        <w:rPr>
          <w:rFonts w:ascii="Verdana" w:hAnsi="Verdana" w:cs="Calibri"/>
          <w:b/>
          <w:sz w:val="24"/>
          <w:szCs w:val="24"/>
          <w:u w:val="single"/>
        </w:rPr>
        <w:t>Implementation issues</w:t>
      </w:r>
    </w:p>
    <w:p w:rsidR="00846310" w:rsidRPr="0015312A" w:rsidRDefault="00846310" w:rsidP="00CD1540">
      <w:pPr>
        <w:pStyle w:val="Akapitzlist"/>
        <w:numPr>
          <w:ilvl w:val="0"/>
          <w:numId w:val="32"/>
        </w:numPr>
        <w:spacing w:after="100" w:afterAutospacing="1"/>
        <w:rPr>
          <w:rFonts w:ascii="Verdana" w:hAnsi="Verdana" w:cs="Calibri"/>
          <w:b/>
          <w:i/>
          <w:sz w:val="24"/>
          <w:szCs w:val="24"/>
        </w:rPr>
      </w:pPr>
      <w:r w:rsidRPr="0015312A">
        <w:rPr>
          <w:rFonts w:ascii="Verdana" w:hAnsi="Verdana" w:cs="Calibri"/>
          <w:b/>
          <w:i/>
          <w:sz w:val="24"/>
          <w:szCs w:val="24"/>
        </w:rPr>
        <w:t>General</w:t>
      </w:r>
    </w:p>
    <w:p w:rsidR="00846310" w:rsidRPr="00846310" w:rsidRDefault="00846310" w:rsidP="00846310">
      <w:pPr>
        <w:spacing w:after="100" w:afterAutospacing="1"/>
        <w:rPr>
          <w:rFonts w:ascii="Verdana" w:hAnsi="Verdana" w:cs="Calibri"/>
        </w:rPr>
      </w:pPr>
      <w:r w:rsidRPr="00846310">
        <w:rPr>
          <w:rFonts w:ascii="Verdana" w:hAnsi="Verdana" w:cs="Calibri"/>
        </w:rPr>
        <w:t xml:space="preserve">The duration of Specific Actions may cover the full period of the Multiannual Financial Framework 2014-2020, so may run from 2014 until 2023. </w:t>
      </w:r>
    </w:p>
    <w:p w:rsidR="00846310" w:rsidRPr="00846310" w:rsidRDefault="00846310" w:rsidP="00846310">
      <w:pPr>
        <w:spacing w:after="100" w:afterAutospacing="1"/>
        <w:rPr>
          <w:rFonts w:ascii="Verdana" w:hAnsi="Verdana" w:cs="Calibri"/>
        </w:rPr>
      </w:pPr>
      <w:r w:rsidRPr="00846310">
        <w:rPr>
          <w:rFonts w:ascii="Verdana" w:hAnsi="Verdana" w:cs="Calibri"/>
        </w:rPr>
        <w:t>The additional funding allocated for a Specific Action to the national programme of a given Member State may not be used for any other purpose than that of implementing the Specific Action awarded. This means that in case of under spending or non-implementation of the Specific Action, the corresponding amount cannot be transferred to any other part of the national programme. Any unused amounts for which payments have been made by the Commission will have to be reimbursed to the Union budget.</w:t>
      </w:r>
    </w:p>
    <w:p w:rsidR="00846310" w:rsidRPr="0015312A" w:rsidRDefault="00846310" w:rsidP="0015312A">
      <w:pPr>
        <w:pStyle w:val="Akapitzlist"/>
        <w:numPr>
          <w:ilvl w:val="0"/>
          <w:numId w:val="32"/>
        </w:numPr>
        <w:spacing w:after="100" w:afterAutospacing="1"/>
        <w:rPr>
          <w:rFonts w:ascii="Verdana" w:hAnsi="Verdana" w:cs="Calibri"/>
          <w:b/>
          <w:i/>
          <w:sz w:val="24"/>
          <w:szCs w:val="24"/>
        </w:rPr>
      </w:pPr>
      <w:r w:rsidRPr="00846310">
        <w:rPr>
          <w:rFonts w:ascii="Verdana" w:hAnsi="Verdana" w:cs="Calibri"/>
        </w:rPr>
        <w:t xml:space="preserve"> </w:t>
      </w:r>
      <w:r w:rsidRPr="0015312A">
        <w:rPr>
          <w:rFonts w:ascii="Verdana" w:hAnsi="Verdana" w:cs="Calibri"/>
          <w:b/>
          <w:i/>
          <w:sz w:val="24"/>
          <w:szCs w:val="24"/>
        </w:rPr>
        <w:t>Joint actions</w:t>
      </w:r>
    </w:p>
    <w:p w:rsidR="00846310" w:rsidRPr="00846310" w:rsidRDefault="00846310" w:rsidP="00846310">
      <w:pPr>
        <w:spacing w:after="100" w:afterAutospacing="1"/>
        <w:rPr>
          <w:rFonts w:ascii="Verdana" w:hAnsi="Verdana" w:cs="Calibri"/>
        </w:rPr>
      </w:pPr>
      <w:r w:rsidRPr="00846310">
        <w:rPr>
          <w:rFonts w:ascii="Verdana" w:hAnsi="Verdana" w:cs="Calibri"/>
        </w:rPr>
        <w:t xml:space="preserve">In relation to joint actions, the lead Member State will be responsible for the implementation of the Action. Nevertheless, the participation and role of each Member State must be described in their respective national programmes. </w:t>
      </w:r>
    </w:p>
    <w:p w:rsidR="00846310" w:rsidRPr="00846310" w:rsidRDefault="00846310" w:rsidP="00846310">
      <w:pPr>
        <w:spacing w:after="100" w:afterAutospacing="1"/>
        <w:rPr>
          <w:rFonts w:ascii="Verdana" w:hAnsi="Verdana" w:cs="Calibri"/>
        </w:rPr>
      </w:pPr>
      <w:r w:rsidRPr="00846310">
        <w:rPr>
          <w:rFonts w:ascii="Verdana" w:hAnsi="Verdana" w:cs="Calibri"/>
        </w:rPr>
        <w:t>As the additional funding allocated for the Specific Action will be included in the national programme of the lead Member State, that Member State will also be responsible for presenting all the costs of the Action as part of its annual implementation reports. In terms of the costs linked to the participation of other Member States, the lead Member State may choose to cover these:</w:t>
      </w:r>
    </w:p>
    <w:p w:rsidR="00846310" w:rsidRPr="00846310" w:rsidRDefault="00846310" w:rsidP="00846310">
      <w:pPr>
        <w:pStyle w:val="Akapitzlist"/>
        <w:numPr>
          <w:ilvl w:val="0"/>
          <w:numId w:val="22"/>
        </w:numPr>
        <w:spacing w:after="240"/>
        <w:ind w:left="714" w:hanging="357"/>
        <w:jc w:val="both"/>
        <w:rPr>
          <w:rFonts w:ascii="Verdana" w:hAnsi="Verdana" w:cs="Calibri"/>
          <w:sz w:val="24"/>
          <w:szCs w:val="24"/>
        </w:rPr>
      </w:pPr>
      <w:r w:rsidRPr="00846310">
        <w:rPr>
          <w:rFonts w:ascii="Verdana" w:hAnsi="Verdana" w:cs="Calibri"/>
          <w:sz w:val="24"/>
          <w:szCs w:val="24"/>
        </w:rPr>
        <w:t>Directly, by paying for all the costs and thereby incurring all the expenditure itself. In this case, only the lead Member State is responsible for complying with all audit requirements.</w:t>
      </w:r>
    </w:p>
    <w:p w:rsidR="00846310" w:rsidRPr="00846310" w:rsidRDefault="00846310" w:rsidP="00846310">
      <w:pPr>
        <w:pStyle w:val="Akapitzlist"/>
        <w:numPr>
          <w:ilvl w:val="0"/>
          <w:numId w:val="22"/>
        </w:numPr>
        <w:spacing w:after="100" w:afterAutospacing="1"/>
        <w:jc w:val="both"/>
        <w:rPr>
          <w:rFonts w:ascii="Verdana" w:hAnsi="Verdana" w:cs="Calibri"/>
          <w:sz w:val="24"/>
          <w:szCs w:val="24"/>
        </w:rPr>
      </w:pPr>
      <w:r w:rsidRPr="00846310">
        <w:rPr>
          <w:rFonts w:ascii="Verdana" w:hAnsi="Verdana" w:cs="Calibri"/>
          <w:sz w:val="24"/>
          <w:szCs w:val="24"/>
        </w:rPr>
        <w:t xml:space="preserve">Indirectly, by reimbursing the partner Member States for the expenditure incurred by them upon presentation of a declaration of expenditure approved by their respective audit authorities. In </w:t>
      </w:r>
      <w:r w:rsidRPr="00846310">
        <w:rPr>
          <w:rFonts w:ascii="Verdana" w:hAnsi="Verdana" w:cs="Calibri"/>
          <w:sz w:val="24"/>
          <w:szCs w:val="24"/>
        </w:rPr>
        <w:lastRenderedPageBreak/>
        <w:t>this case, the partner Member States are responsible for complying with all audit requirements.</w:t>
      </w:r>
    </w:p>
    <w:p w:rsidR="00846310" w:rsidRPr="00846310" w:rsidRDefault="00846310" w:rsidP="00846310">
      <w:pPr>
        <w:spacing w:after="100" w:afterAutospacing="1"/>
        <w:rPr>
          <w:rFonts w:ascii="Verdana" w:hAnsi="Verdana" w:cs="Calibri"/>
        </w:rPr>
      </w:pPr>
      <w:r w:rsidRPr="00846310">
        <w:rPr>
          <w:rFonts w:ascii="Verdana" w:hAnsi="Verdana" w:cs="Calibri"/>
        </w:rPr>
        <w:t xml:space="preserve">In the event a partner Member State leaves the Action, the remaining Member States may either find a new participating Member State or reassign the tasks of the Member State that left to the remaining participants. The main objectives of the Action should remain essentially unchanged. </w:t>
      </w:r>
    </w:p>
    <w:p w:rsidR="00846310" w:rsidRPr="00846310" w:rsidRDefault="00846310" w:rsidP="00846310">
      <w:pPr>
        <w:spacing w:after="100" w:afterAutospacing="1"/>
        <w:rPr>
          <w:rFonts w:ascii="Verdana" w:hAnsi="Verdana" w:cs="Calibri"/>
        </w:rPr>
      </w:pPr>
      <w:r w:rsidRPr="00846310">
        <w:rPr>
          <w:rFonts w:ascii="Verdana" w:hAnsi="Verdana" w:cs="Calibri"/>
        </w:rPr>
        <w:t>The additional amounts allocated for Specific Action(s) to the national programmes will be taken into account for calculating the technical assistance to which the lead Member State is entitled.</w:t>
      </w:r>
    </w:p>
    <w:p w:rsidR="00846310" w:rsidRPr="0015312A" w:rsidRDefault="00846310" w:rsidP="0015312A">
      <w:pPr>
        <w:pStyle w:val="Akapitzlist"/>
        <w:numPr>
          <w:ilvl w:val="0"/>
          <w:numId w:val="32"/>
        </w:numPr>
        <w:spacing w:after="100" w:afterAutospacing="1"/>
        <w:rPr>
          <w:rFonts w:ascii="Verdana" w:hAnsi="Verdana" w:cs="Calibri"/>
          <w:b/>
          <w:i/>
          <w:sz w:val="24"/>
          <w:szCs w:val="24"/>
        </w:rPr>
      </w:pPr>
      <w:proofErr w:type="spellStart"/>
      <w:r w:rsidRPr="0015312A">
        <w:rPr>
          <w:rFonts w:ascii="Verdana" w:hAnsi="Verdana" w:cs="Calibri"/>
          <w:b/>
          <w:i/>
          <w:sz w:val="24"/>
          <w:szCs w:val="24"/>
        </w:rPr>
        <w:t>Frontex</w:t>
      </w:r>
      <w:proofErr w:type="spellEnd"/>
      <w:r w:rsidRPr="0015312A">
        <w:rPr>
          <w:rFonts w:ascii="Verdana" w:hAnsi="Verdana" w:cs="Calibri"/>
          <w:b/>
          <w:i/>
          <w:sz w:val="24"/>
          <w:szCs w:val="24"/>
        </w:rPr>
        <w:t xml:space="preserve"> equipment</w:t>
      </w:r>
    </w:p>
    <w:p w:rsidR="00846310" w:rsidRPr="00846310" w:rsidRDefault="00846310" w:rsidP="00846310">
      <w:pPr>
        <w:spacing w:after="100" w:afterAutospacing="1"/>
        <w:rPr>
          <w:rFonts w:ascii="Verdana" w:hAnsi="Verdana" w:cs="Calibri"/>
        </w:rPr>
      </w:pPr>
      <w:r w:rsidRPr="00846310">
        <w:rPr>
          <w:rFonts w:ascii="Verdana" w:hAnsi="Verdana" w:cs="Calibri"/>
        </w:rPr>
        <w:t xml:space="preserve">Member States are expected to register the equipment purchased under the Specific Action in the </w:t>
      </w:r>
      <w:proofErr w:type="spellStart"/>
      <w:r w:rsidRPr="00846310">
        <w:rPr>
          <w:rFonts w:ascii="Verdana" w:hAnsi="Verdana" w:cs="Calibri"/>
        </w:rPr>
        <w:t>Frontex</w:t>
      </w:r>
      <w:proofErr w:type="spellEnd"/>
      <w:r w:rsidRPr="00846310">
        <w:rPr>
          <w:rFonts w:ascii="Verdana" w:hAnsi="Verdana" w:cs="Calibri"/>
        </w:rPr>
        <w:t xml:space="preserve"> Technical Equipment Pool and to make it available to </w:t>
      </w:r>
      <w:proofErr w:type="spellStart"/>
      <w:r w:rsidRPr="00846310">
        <w:rPr>
          <w:rFonts w:ascii="Verdana" w:hAnsi="Verdana" w:cs="Calibri"/>
        </w:rPr>
        <w:t>Frontex</w:t>
      </w:r>
      <w:proofErr w:type="spellEnd"/>
      <w:r w:rsidRPr="00846310">
        <w:rPr>
          <w:rFonts w:ascii="Verdana" w:hAnsi="Verdana" w:cs="Calibri"/>
        </w:rPr>
        <w:t xml:space="preserve"> when needed. It should be noted that the equipment could be used for </w:t>
      </w:r>
      <w:proofErr w:type="spellStart"/>
      <w:r w:rsidRPr="00846310">
        <w:rPr>
          <w:rFonts w:ascii="Verdana" w:hAnsi="Verdana" w:cs="Calibri"/>
        </w:rPr>
        <w:t>Frontex</w:t>
      </w:r>
      <w:proofErr w:type="spellEnd"/>
      <w:r w:rsidRPr="00846310">
        <w:rPr>
          <w:rFonts w:ascii="Verdana" w:hAnsi="Verdana" w:cs="Calibri"/>
        </w:rPr>
        <w:t xml:space="preserve">-coordinated operations carried out in another host Member State. </w:t>
      </w:r>
    </w:p>
    <w:p w:rsidR="00846310" w:rsidRPr="00846310" w:rsidRDefault="00846310" w:rsidP="00846310">
      <w:pPr>
        <w:spacing w:after="100" w:afterAutospacing="1"/>
        <w:rPr>
          <w:rFonts w:ascii="Verdana" w:hAnsi="Verdana" w:cs="Calibri"/>
        </w:rPr>
      </w:pPr>
      <w:r w:rsidRPr="00846310">
        <w:rPr>
          <w:rFonts w:ascii="Verdana" w:hAnsi="Verdana" w:cs="Calibri"/>
        </w:rPr>
        <w:t xml:space="preserve">The maintenance costs for equipment at the time when it is not being used in </w:t>
      </w:r>
      <w:proofErr w:type="spellStart"/>
      <w:r w:rsidRPr="00846310">
        <w:rPr>
          <w:rFonts w:ascii="Verdana" w:hAnsi="Verdana" w:cs="Calibri"/>
        </w:rPr>
        <w:t>Frontex</w:t>
      </w:r>
      <w:proofErr w:type="spellEnd"/>
      <w:r w:rsidRPr="00846310">
        <w:rPr>
          <w:rFonts w:ascii="Verdana" w:hAnsi="Verdana" w:cs="Calibri"/>
        </w:rPr>
        <w:t xml:space="preserve"> joint operations (i.e. when it is being used for tasks of a national character at the Member State's own borders) are to be borne by the Member State who owns it. These costs are eligible for support from Operating Support under ISF-Borders. </w:t>
      </w:r>
    </w:p>
    <w:p w:rsidR="00846310" w:rsidRPr="00846310" w:rsidRDefault="00846310" w:rsidP="00846310">
      <w:pPr>
        <w:spacing w:after="200" w:line="276" w:lineRule="auto"/>
        <w:jc w:val="right"/>
        <w:rPr>
          <w:rFonts w:ascii="Verdana" w:hAnsi="Verdana" w:cs="Calibri"/>
        </w:rPr>
      </w:pPr>
      <w:r>
        <w:rPr>
          <w:rFonts w:ascii="Verdana" w:hAnsi="Verdana" w:cs="Calibri"/>
        </w:rPr>
        <w:br w:type="page"/>
      </w:r>
      <w:r w:rsidRPr="00846310">
        <w:rPr>
          <w:rFonts w:ascii="Verdana" w:hAnsi="Verdana" w:cs="Calibri"/>
        </w:rPr>
        <w:lastRenderedPageBreak/>
        <w:t>Annex A</w:t>
      </w:r>
    </w:p>
    <w:p w:rsidR="00846310" w:rsidRPr="00846310" w:rsidRDefault="00846310" w:rsidP="0015312A">
      <w:pPr>
        <w:rPr>
          <w:rFonts w:ascii="Verdana" w:hAnsi="Verdana" w:cs="Calibri"/>
        </w:rPr>
      </w:pPr>
    </w:p>
    <w:p w:rsidR="00846310" w:rsidRPr="00846310" w:rsidRDefault="00846310" w:rsidP="00846310">
      <w:pPr>
        <w:spacing w:after="100" w:afterAutospacing="1"/>
        <w:jc w:val="center"/>
        <w:rPr>
          <w:rFonts w:ascii="Verdana" w:hAnsi="Verdana" w:cs="Calibri"/>
          <w:b/>
          <w:u w:val="single"/>
        </w:rPr>
      </w:pPr>
      <w:r w:rsidRPr="00846310">
        <w:rPr>
          <w:rFonts w:ascii="Verdana" w:hAnsi="Verdana" w:cs="Calibri"/>
          <w:b/>
          <w:u w:val="single"/>
        </w:rPr>
        <w:t>Application form for Specific Actions</w:t>
      </w:r>
    </w:p>
    <w:p w:rsidR="00846310" w:rsidRPr="00846310" w:rsidRDefault="00846310" w:rsidP="00846310">
      <w:pPr>
        <w:rPr>
          <w:rFonts w:ascii="Verdana" w:hAnsi="Verdana" w:cs="Calibri"/>
        </w:rPr>
      </w:pPr>
    </w:p>
    <w:tbl>
      <w:tblPr>
        <w:tblStyle w:val="Tabela-Siatka"/>
        <w:tblW w:w="9606" w:type="dxa"/>
        <w:tblLayout w:type="fixed"/>
        <w:tblLook w:val="04A0" w:firstRow="1" w:lastRow="0" w:firstColumn="1" w:lastColumn="0" w:noHBand="0" w:noVBand="1"/>
      </w:tblPr>
      <w:tblGrid>
        <w:gridCol w:w="3098"/>
        <w:gridCol w:w="1705"/>
        <w:gridCol w:w="1390"/>
        <w:gridCol w:w="3413"/>
      </w:tblGrid>
      <w:tr w:rsidR="00846310" w:rsidRPr="00417D12" w:rsidTr="001A789C">
        <w:tc>
          <w:tcPr>
            <w:tcW w:w="3098" w:type="dxa"/>
          </w:tcPr>
          <w:p w:rsidR="00846310" w:rsidRPr="00846310" w:rsidRDefault="00846310" w:rsidP="001A789C">
            <w:pPr>
              <w:spacing w:after="100" w:afterAutospacing="1"/>
              <w:rPr>
                <w:rFonts w:ascii="Verdana" w:hAnsi="Verdana" w:cs="Calibri"/>
              </w:rPr>
            </w:pPr>
            <w:r w:rsidRPr="00846310">
              <w:rPr>
                <w:rFonts w:ascii="Verdana" w:hAnsi="Verdana" w:cs="Calibri"/>
              </w:rPr>
              <w:t>Member State:</w:t>
            </w:r>
          </w:p>
        </w:tc>
        <w:tc>
          <w:tcPr>
            <w:tcW w:w="3095" w:type="dxa"/>
            <w:gridSpan w:val="2"/>
          </w:tcPr>
          <w:p w:rsidR="00846310" w:rsidRPr="00846310" w:rsidRDefault="00846310" w:rsidP="001A789C">
            <w:pPr>
              <w:spacing w:after="100" w:afterAutospacing="1"/>
              <w:rPr>
                <w:rFonts w:ascii="Verdana" w:hAnsi="Verdana" w:cs="Calibri"/>
              </w:rPr>
            </w:pPr>
          </w:p>
        </w:tc>
        <w:tc>
          <w:tcPr>
            <w:tcW w:w="3413" w:type="dxa"/>
          </w:tcPr>
          <w:p w:rsidR="00846310" w:rsidRPr="00846310" w:rsidRDefault="00846310" w:rsidP="001A789C">
            <w:pPr>
              <w:spacing w:after="100" w:afterAutospacing="1"/>
              <w:rPr>
                <w:rFonts w:ascii="Verdana" w:hAnsi="Verdana" w:cs="Calibri"/>
              </w:rPr>
            </w:pPr>
            <w:r w:rsidRPr="00846310">
              <w:rPr>
                <w:rFonts w:ascii="Verdana" w:hAnsi="Verdana" w:cs="Calibri"/>
              </w:rPr>
              <w:t>Date:</w:t>
            </w:r>
          </w:p>
        </w:tc>
      </w:tr>
      <w:tr w:rsidR="00846310" w:rsidRPr="00417D12" w:rsidTr="001A789C">
        <w:tc>
          <w:tcPr>
            <w:tcW w:w="3098" w:type="dxa"/>
          </w:tcPr>
          <w:p w:rsidR="00846310" w:rsidRPr="00846310" w:rsidRDefault="00846310" w:rsidP="001A789C">
            <w:pPr>
              <w:spacing w:after="100" w:afterAutospacing="1"/>
              <w:rPr>
                <w:rFonts w:ascii="Verdana" w:hAnsi="Verdana" w:cs="Calibri"/>
              </w:rPr>
            </w:pPr>
            <w:r w:rsidRPr="00846310">
              <w:rPr>
                <w:rFonts w:ascii="Verdana" w:hAnsi="Verdana" w:cs="Calibri"/>
              </w:rPr>
              <w:t xml:space="preserve">Fund: </w:t>
            </w:r>
          </w:p>
        </w:tc>
        <w:tc>
          <w:tcPr>
            <w:tcW w:w="3095" w:type="dxa"/>
            <w:gridSpan w:val="2"/>
          </w:tcPr>
          <w:p w:rsidR="00846310" w:rsidRPr="00846310" w:rsidRDefault="00846310" w:rsidP="001A789C">
            <w:pPr>
              <w:spacing w:after="100" w:afterAutospacing="1"/>
              <w:rPr>
                <w:rFonts w:ascii="Verdana" w:hAnsi="Verdana" w:cs="Calibri"/>
              </w:rPr>
            </w:pPr>
            <w:r w:rsidRPr="00846310">
              <w:rPr>
                <w:rFonts w:ascii="Verdana" w:hAnsi="Verdana" w:cs="Calibri"/>
              </w:rPr>
              <w:t>Specific Objective:</w:t>
            </w:r>
          </w:p>
        </w:tc>
        <w:tc>
          <w:tcPr>
            <w:tcW w:w="3413" w:type="dxa"/>
          </w:tcPr>
          <w:p w:rsidR="00846310" w:rsidRPr="00846310" w:rsidRDefault="00846310" w:rsidP="001A789C">
            <w:pPr>
              <w:spacing w:after="100" w:afterAutospacing="1"/>
              <w:rPr>
                <w:rFonts w:ascii="Verdana" w:hAnsi="Verdana" w:cs="Calibri"/>
              </w:rPr>
            </w:pPr>
            <w:r w:rsidRPr="00846310">
              <w:rPr>
                <w:rFonts w:ascii="Verdana" w:hAnsi="Verdana" w:cs="Calibri"/>
              </w:rPr>
              <w:t>Specific Action Number:</w:t>
            </w:r>
          </w:p>
        </w:tc>
      </w:tr>
      <w:tr w:rsidR="00846310" w:rsidRPr="00417D12" w:rsidTr="001A789C">
        <w:tc>
          <w:tcPr>
            <w:tcW w:w="4803" w:type="dxa"/>
            <w:gridSpan w:val="2"/>
          </w:tcPr>
          <w:p w:rsidR="00846310" w:rsidRPr="00846310" w:rsidRDefault="00846310" w:rsidP="001A789C">
            <w:pPr>
              <w:spacing w:after="100" w:afterAutospacing="1"/>
              <w:rPr>
                <w:rFonts w:ascii="Verdana" w:hAnsi="Verdana" w:cs="Calibri"/>
              </w:rPr>
            </w:pPr>
            <w:r w:rsidRPr="00846310">
              <w:rPr>
                <w:rFonts w:ascii="Verdana" w:hAnsi="Verdana" w:cs="Calibri"/>
              </w:rPr>
              <w:t>Total budget:</w:t>
            </w:r>
          </w:p>
        </w:tc>
        <w:tc>
          <w:tcPr>
            <w:tcW w:w="4803" w:type="dxa"/>
            <w:gridSpan w:val="2"/>
          </w:tcPr>
          <w:p w:rsidR="00846310" w:rsidRPr="00846310" w:rsidRDefault="00846310" w:rsidP="001A789C">
            <w:pPr>
              <w:spacing w:after="100" w:afterAutospacing="1"/>
              <w:rPr>
                <w:rFonts w:ascii="Verdana" w:hAnsi="Verdana" w:cs="Calibri"/>
              </w:rPr>
            </w:pPr>
            <w:r w:rsidRPr="00846310">
              <w:rPr>
                <w:rFonts w:ascii="Verdana" w:hAnsi="Verdana" w:cs="Calibri"/>
              </w:rPr>
              <w:t>Location:</w:t>
            </w:r>
          </w:p>
        </w:tc>
      </w:tr>
      <w:tr w:rsidR="00846310" w:rsidRPr="00417D12" w:rsidTr="001A789C">
        <w:tc>
          <w:tcPr>
            <w:tcW w:w="9606" w:type="dxa"/>
            <w:gridSpan w:val="4"/>
          </w:tcPr>
          <w:p w:rsidR="00846310" w:rsidRPr="00846310" w:rsidRDefault="00846310" w:rsidP="001A789C">
            <w:pPr>
              <w:spacing w:after="100" w:afterAutospacing="1"/>
              <w:rPr>
                <w:rFonts w:ascii="Verdana" w:hAnsi="Verdana" w:cs="Calibri"/>
              </w:rPr>
            </w:pPr>
            <w:r w:rsidRPr="00846310">
              <w:rPr>
                <w:rFonts w:ascii="Verdana" w:hAnsi="Verdana" w:cs="Calibri"/>
              </w:rPr>
              <w:t>Title:</w:t>
            </w:r>
          </w:p>
          <w:p w:rsidR="00846310" w:rsidRPr="00846310" w:rsidRDefault="00846310" w:rsidP="001A789C">
            <w:pPr>
              <w:spacing w:after="100" w:afterAutospacing="1"/>
              <w:rPr>
                <w:rFonts w:ascii="Verdana" w:hAnsi="Verdana" w:cs="Calibri"/>
              </w:rPr>
            </w:pPr>
          </w:p>
        </w:tc>
      </w:tr>
      <w:tr w:rsidR="00846310" w:rsidRPr="00417D12" w:rsidTr="001A789C">
        <w:trPr>
          <w:trHeight w:val="593"/>
        </w:trPr>
        <w:tc>
          <w:tcPr>
            <w:tcW w:w="9606" w:type="dxa"/>
            <w:gridSpan w:val="4"/>
          </w:tcPr>
          <w:p w:rsidR="00846310" w:rsidRPr="00417D12" w:rsidRDefault="00846310" w:rsidP="001A789C">
            <w:pPr>
              <w:pStyle w:val="Text1"/>
              <w:ind w:left="0"/>
              <w:rPr>
                <w:rFonts w:ascii="Verdana" w:hAnsi="Verdana" w:cs="Calibri"/>
              </w:rPr>
            </w:pPr>
            <w:r w:rsidRPr="00417D12">
              <w:rPr>
                <w:rFonts w:ascii="Verdana" w:hAnsi="Verdana" w:cs="Calibri"/>
              </w:rPr>
              <w:t xml:space="preserve">Describe how the action will be carried out and justification for the budgeted amount. </w:t>
            </w:r>
          </w:p>
          <w:p w:rsidR="00846310" w:rsidRPr="00846310" w:rsidRDefault="00846310" w:rsidP="001A789C">
            <w:pPr>
              <w:pStyle w:val="Text1"/>
              <w:ind w:left="0"/>
              <w:rPr>
                <w:rFonts w:ascii="Verdana" w:hAnsi="Verdana" w:cs="Calibri"/>
                <w:color w:val="000000"/>
              </w:rPr>
            </w:pPr>
            <w:r w:rsidRPr="00846310">
              <w:rPr>
                <w:rFonts w:ascii="Verdana" w:hAnsi="Verdana" w:cs="Calibri"/>
                <w:color w:val="000000"/>
              </w:rPr>
              <w:t>Trans-national projects: for the lead Member State only: list the participating Member States, including their role and possible financial re-partition if applicable.</w:t>
            </w:r>
          </w:p>
          <w:p w:rsidR="00846310" w:rsidRPr="00846310" w:rsidRDefault="00846310" w:rsidP="001A789C">
            <w:pPr>
              <w:pStyle w:val="Text1"/>
              <w:ind w:left="0"/>
              <w:rPr>
                <w:rFonts w:ascii="Verdana" w:hAnsi="Verdana" w:cs="Calibri"/>
                <w:color w:val="000000"/>
              </w:rPr>
            </w:pPr>
            <w:r w:rsidRPr="00846310">
              <w:rPr>
                <w:rFonts w:ascii="Verdana" w:hAnsi="Verdana" w:cs="Calibri"/>
                <w:color w:val="000000"/>
              </w:rPr>
              <w:t>For participating Member States: describe your role and any possible financial re-partition.</w:t>
            </w:r>
          </w:p>
          <w:p w:rsidR="00846310" w:rsidRPr="00846310" w:rsidRDefault="00846310" w:rsidP="001A789C">
            <w:pPr>
              <w:pStyle w:val="Text1"/>
              <w:ind w:left="0"/>
              <w:rPr>
                <w:rFonts w:ascii="Verdana" w:hAnsi="Verdana" w:cs="Calibri"/>
                <w:color w:val="000000"/>
              </w:rPr>
            </w:pPr>
          </w:p>
          <w:p w:rsidR="00846310" w:rsidRPr="00846310" w:rsidRDefault="00846310" w:rsidP="001A789C">
            <w:pPr>
              <w:pStyle w:val="Text1"/>
              <w:ind w:left="0"/>
              <w:rPr>
                <w:rFonts w:ascii="Verdana" w:hAnsi="Verdana" w:cs="Calibri"/>
                <w:color w:val="000000"/>
              </w:rPr>
            </w:pPr>
          </w:p>
          <w:p w:rsidR="00846310" w:rsidRPr="00846310" w:rsidRDefault="00846310" w:rsidP="001A789C">
            <w:pPr>
              <w:pStyle w:val="Text1"/>
              <w:ind w:left="0"/>
              <w:rPr>
                <w:rFonts w:ascii="Verdana" w:hAnsi="Verdana" w:cs="Calibri"/>
                <w:color w:val="000000"/>
              </w:rPr>
            </w:pPr>
          </w:p>
          <w:p w:rsidR="00846310" w:rsidRPr="00846310" w:rsidRDefault="00846310" w:rsidP="001A789C">
            <w:pPr>
              <w:spacing w:after="100" w:afterAutospacing="1"/>
              <w:rPr>
                <w:rFonts w:ascii="Verdana" w:hAnsi="Verdana" w:cs="Calibri"/>
              </w:rPr>
            </w:pPr>
          </w:p>
        </w:tc>
      </w:tr>
      <w:tr w:rsidR="00846310" w:rsidRPr="00417D12" w:rsidTr="001A789C">
        <w:tc>
          <w:tcPr>
            <w:tcW w:w="9606" w:type="dxa"/>
            <w:gridSpan w:val="4"/>
          </w:tcPr>
          <w:p w:rsidR="00846310" w:rsidRPr="00846310" w:rsidRDefault="00846310" w:rsidP="001A789C">
            <w:pPr>
              <w:spacing w:after="100" w:afterAutospacing="1"/>
              <w:rPr>
                <w:rFonts w:ascii="Verdana" w:hAnsi="Verdana" w:cs="Calibri"/>
              </w:rPr>
            </w:pPr>
            <w:r w:rsidRPr="00846310">
              <w:rPr>
                <w:rFonts w:ascii="Verdana" w:hAnsi="Verdana" w:cs="Calibri"/>
              </w:rPr>
              <w:t>Other information (for the assessment):</w:t>
            </w:r>
          </w:p>
          <w:p w:rsidR="00846310" w:rsidRPr="00846310" w:rsidRDefault="00846310" w:rsidP="001A789C">
            <w:pPr>
              <w:spacing w:after="100" w:afterAutospacing="1"/>
              <w:rPr>
                <w:rFonts w:ascii="Verdana" w:hAnsi="Verdana" w:cs="Calibri"/>
              </w:rPr>
            </w:pPr>
            <w:r w:rsidRPr="00846310">
              <w:rPr>
                <w:rFonts w:ascii="Verdana" w:hAnsi="Verdana" w:cs="Calibri"/>
              </w:rPr>
              <w:t xml:space="preserve">number and types of final beneficiaries or visas applications, expected results and outcomes, risks and mitigating factors,  </w:t>
            </w:r>
          </w:p>
          <w:p w:rsidR="00846310" w:rsidRPr="00846310" w:rsidRDefault="00846310" w:rsidP="001A789C">
            <w:pPr>
              <w:spacing w:after="100" w:afterAutospacing="1"/>
              <w:rPr>
                <w:rFonts w:ascii="Verdana" w:hAnsi="Verdana" w:cs="Calibri"/>
              </w:rPr>
            </w:pPr>
          </w:p>
        </w:tc>
      </w:tr>
      <w:tr w:rsidR="00846310" w:rsidRPr="00417D12" w:rsidTr="001A789C">
        <w:trPr>
          <w:trHeight w:val="593"/>
        </w:trPr>
        <w:tc>
          <w:tcPr>
            <w:tcW w:w="9606" w:type="dxa"/>
            <w:gridSpan w:val="4"/>
          </w:tcPr>
          <w:tbl>
            <w:tblPr>
              <w:tblW w:w="9792" w:type="dxa"/>
              <w:tblLayout w:type="fixed"/>
              <w:tblLook w:val="04A0" w:firstRow="1" w:lastRow="0" w:firstColumn="1" w:lastColumn="0" w:noHBand="0" w:noVBand="1"/>
            </w:tblPr>
            <w:tblGrid>
              <w:gridCol w:w="3539"/>
              <w:gridCol w:w="851"/>
              <w:gridCol w:w="850"/>
              <w:gridCol w:w="851"/>
              <w:gridCol w:w="850"/>
              <w:gridCol w:w="851"/>
              <w:gridCol w:w="850"/>
              <w:gridCol w:w="1150"/>
            </w:tblGrid>
            <w:tr w:rsidR="00846310" w:rsidRPr="00417D12" w:rsidTr="00DD0F43">
              <w:trPr>
                <w:trHeight w:val="495"/>
              </w:trPr>
              <w:tc>
                <w:tcPr>
                  <w:tcW w:w="3539" w:type="dxa"/>
                  <w:tcBorders>
                    <w:top w:val="nil"/>
                    <w:left w:val="single" w:sz="4" w:space="0" w:color="auto"/>
                    <w:bottom w:val="single" w:sz="4" w:space="0" w:color="auto"/>
                    <w:right w:val="single" w:sz="4" w:space="0" w:color="auto"/>
                  </w:tcBorders>
                  <w:shd w:val="clear" w:color="auto" w:fill="EAF1DD"/>
                  <w:vAlign w:val="center"/>
                  <w:hideMark/>
                </w:tcPr>
                <w:p w:rsidR="00846310" w:rsidRPr="00417D12" w:rsidRDefault="00846310" w:rsidP="001A789C">
                  <w:pPr>
                    <w:rPr>
                      <w:rFonts w:ascii="Verdana" w:hAnsi="Verdana" w:cs="Calibri"/>
                      <w:color w:val="000000"/>
                    </w:rPr>
                  </w:pPr>
                  <w:r w:rsidRPr="00417D12">
                    <w:rPr>
                      <w:rFonts w:ascii="Verdana" w:hAnsi="Verdana" w:cs="Calibri"/>
                      <w:color w:val="000000"/>
                    </w:rPr>
                    <w:t>Indicative timetable and financial plan</w:t>
                  </w:r>
                </w:p>
              </w:tc>
              <w:tc>
                <w:tcPr>
                  <w:tcW w:w="851" w:type="dxa"/>
                  <w:tcBorders>
                    <w:top w:val="nil"/>
                    <w:left w:val="nil"/>
                    <w:bottom w:val="single" w:sz="4" w:space="0" w:color="auto"/>
                    <w:right w:val="single" w:sz="4" w:space="0" w:color="auto"/>
                  </w:tcBorders>
                  <w:shd w:val="clear" w:color="auto" w:fill="EAF1DD"/>
                  <w:vAlign w:val="center"/>
                  <w:hideMark/>
                </w:tcPr>
                <w:p w:rsidR="00846310" w:rsidRPr="00417D12" w:rsidRDefault="00846310" w:rsidP="001A789C">
                  <w:pPr>
                    <w:rPr>
                      <w:rFonts w:ascii="Verdana" w:hAnsi="Verdana" w:cs="Calibri"/>
                      <w:color w:val="000000"/>
                    </w:rPr>
                  </w:pPr>
                  <w:r w:rsidRPr="00417D12">
                    <w:rPr>
                      <w:rFonts w:ascii="Verdana" w:hAnsi="Verdana" w:cs="Calibri"/>
                      <w:color w:val="000000"/>
                    </w:rPr>
                    <w:t>2014</w:t>
                  </w:r>
                </w:p>
              </w:tc>
              <w:tc>
                <w:tcPr>
                  <w:tcW w:w="850" w:type="dxa"/>
                  <w:tcBorders>
                    <w:top w:val="nil"/>
                    <w:left w:val="nil"/>
                    <w:bottom w:val="single" w:sz="4" w:space="0" w:color="auto"/>
                    <w:right w:val="single" w:sz="4" w:space="0" w:color="auto"/>
                  </w:tcBorders>
                  <w:shd w:val="clear" w:color="auto" w:fill="EAF1DD"/>
                  <w:vAlign w:val="center"/>
                  <w:hideMark/>
                </w:tcPr>
                <w:p w:rsidR="00846310" w:rsidRPr="00417D12" w:rsidRDefault="00846310" w:rsidP="001A789C">
                  <w:pPr>
                    <w:rPr>
                      <w:rFonts w:ascii="Verdana" w:hAnsi="Verdana" w:cs="Calibri"/>
                      <w:color w:val="000000"/>
                    </w:rPr>
                  </w:pPr>
                  <w:r w:rsidRPr="00417D12">
                    <w:rPr>
                      <w:rFonts w:ascii="Verdana" w:hAnsi="Verdana" w:cs="Calibri"/>
                      <w:color w:val="000000"/>
                    </w:rPr>
                    <w:t>2015</w:t>
                  </w:r>
                </w:p>
              </w:tc>
              <w:tc>
                <w:tcPr>
                  <w:tcW w:w="851" w:type="dxa"/>
                  <w:tcBorders>
                    <w:top w:val="nil"/>
                    <w:left w:val="nil"/>
                    <w:bottom w:val="single" w:sz="4" w:space="0" w:color="auto"/>
                    <w:right w:val="single" w:sz="4" w:space="0" w:color="auto"/>
                  </w:tcBorders>
                  <w:shd w:val="clear" w:color="auto" w:fill="EAF1DD"/>
                  <w:vAlign w:val="center"/>
                  <w:hideMark/>
                </w:tcPr>
                <w:p w:rsidR="00846310" w:rsidRPr="00417D12" w:rsidRDefault="00846310" w:rsidP="001A789C">
                  <w:pPr>
                    <w:rPr>
                      <w:rFonts w:ascii="Verdana" w:hAnsi="Verdana" w:cs="Calibri"/>
                      <w:color w:val="000000"/>
                    </w:rPr>
                  </w:pPr>
                  <w:r w:rsidRPr="00417D12">
                    <w:rPr>
                      <w:rFonts w:ascii="Verdana" w:hAnsi="Verdana" w:cs="Calibri"/>
                      <w:color w:val="000000"/>
                    </w:rPr>
                    <w:t>2016</w:t>
                  </w:r>
                </w:p>
              </w:tc>
              <w:tc>
                <w:tcPr>
                  <w:tcW w:w="850" w:type="dxa"/>
                  <w:tcBorders>
                    <w:top w:val="nil"/>
                    <w:left w:val="nil"/>
                    <w:bottom w:val="single" w:sz="4" w:space="0" w:color="auto"/>
                    <w:right w:val="single" w:sz="4" w:space="0" w:color="auto"/>
                  </w:tcBorders>
                  <w:shd w:val="clear" w:color="auto" w:fill="EAF1DD"/>
                  <w:vAlign w:val="center"/>
                  <w:hideMark/>
                </w:tcPr>
                <w:p w:rsidR="00846310" w:rsidRPr="00417D12" w:rsidRDefault="00846310" w:rsidP="001A789C">
                  <w:pPr>
                    <w:rPr>
                      <w:rFonts w:ascii="Verdana" w:hAnsi="Verdana" w:cs="Calibri"/>
                      <w:color w:val="000000"/>
                    </w:rPr>
                  </w:pPr>
                  <w:r w:rsidRPr="00417D12">
                    <w:rPr>
                      <w:rFonts w:ascii="Verdana" w:hAnsi="Verdana" w:cs="Calibri"/>
                      <w:color w:val="000000"/>
                    </w:rPr>
                    <w:t>2017</w:t>
                  </w:r>
                </w:p>
              </w:tc>
              <w:tc>
                <w:tcPr>
                  <w:tcW w:w="851" w:type="dxa"/>
                  <w:tcBorders>
                    <w:top w:val="nil"/>
                    <w:left w:val="nil"/>
                    <w:bottom w:val="single" w:sz="4" w:space="0" w:color="auto"/>
                    <w:right w:val="single" w:sz="4" w:space="0" w:color="auto"/>
                  </w:tcBorders>
                  <w:shd w:val="clear" w:color="auto" w:fill="EAF1DD"/>
                  <w:vAlign w:val="center"/>
                  <w:hideMark/>
                </w:tcPr>
                <w:p w:rsidR="00846310" w:rsidRPr="00417D12" w:rsidRDefault="00846310" w:rsidP="001A789C">
                  <w:pPr>
                    <w:rPr>
                      <w:rFonts w:ascii="Verdana" w:hAnsi="Verdana" w:cs="Calibri"/>
                      <w:color w:val="000000"/>
                    </w:rPr>
                  </w:pPr>
                  <w:r w:rsidRPr="00417D12">
                    <w:rPr>
                      <w:rFonts w:ascii="Verdana" w:hAnsi="Verdana" w:cs="Calibri"/>
                      <w:color w:val="000000"/>
                    </w:rPr>
                    <w:t>2018</w:t>
                  </w:r>
                </w:p>
              </w:tc>
              <w:tc>
                <w:tcPr>
                  <w:tcW w:w="850" w:type="dxa"/>
                  <w:tcBorders>
                    <w:top w:val="nil"/>
                    <w:left w:val="nil"/>
                    <w:bottom w:val="single" w:sz="4" w:space="0" w:color="auto"/>
                    <w:right w:val="single" w:sz="4" w:space="0" w:color="auto"/>
                  </w:tcBorders>
                  <w:shd w:val="clear" w:color="auto" w:fill="EAF1DD"/>
                  <w:vAlign w:val="center"/>
                  <w:hideMark/>
                </w:tcPr>
                <w:p w:rsidR="00846310" w:rsidRPr="00417D12" w:rsidRDefault="00846310" w:rsidP="001A789C">
                  <w:pPr>
                    <w:rPr>
                      <w:rFonts w:ascii="Verdana" w:hAnsi="Verdana" w:cs="Calibri"/>
                      <w:color w:val="000000"/>
                    </w:rPr>
                  </w:pPr>
                  <w:r w:rsidRPr="00417D12">
                    <w:rPr>
                      <w:rFonts w:ascii="Verdana" w:hAnsi="Verdana" w:cs="Calibri"/>
                      <w:color w:val="000000"/>
                    </w:rPr>
                    <w:t>2019</w:t>
                  </w:r>
                </w:p>
              </w:tc>
              <w:tc>
                <w:tcPr>
                  <w:tcW w:w="1150" w:type="dxa"/>
                  <w:tcBorders>
                    <w:top w:val="nil"/>
                    <w:left w:val="nil"/>
                    <w:bottom w:val="single" w:sz="4" w:space="0" w:color="auto"/>
                    <w:right w:val="single" w:sz="4" w:space="0" w:color="auto"/>
                  </w:tcBorders>
                  <w:shd w:val="clear" w:color="auto" w:fill="EAF1DD"/>
                  <w:vAlign w:val="center"/>
                  <w:hideMark/>
                </w:tcPr>
                <w:p w:rsidR="00846310" w:rsidRPr="00417D12" w:rsidRDefault="00846310" w:rsidP="001A789C">
                  <w:pPr>
                    <w:rPr>
                      <w:rFonts w:ascii="Verdana" w:hAnsi="Verdana" w:cs="Calibri"/>
                      <w:color w:val="000000"/>
                    </w:rPr>
                  </w:pPr>
                  <w:r w:rsidRPr="00417D12">
                    <w:rPr>
                      <w:rFonts w:ascii="Verdana" w:hAnsi="Verdana" w:cs="Calibri"/>
                      <w:color w:val="000000"/>
                    </w:rPr>
                    <w:t>2020</w:t>
                  </w:r>
                </w:p>
              </w:tc>
            </w:tr>
            <w:tr w:rsidR="00846310" w:rsidRPr="00417D12" w:rsidTr="00DD0F43">
              <w:trPr>
                <w:trHeight w:val="462"/>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310" w:rsidRPr="00417D12" w:rsidRDefault="00846310" w:rsidP="001A789C">
                  <w:pPr>
                    <w:rPr>
                      <w:rFonts w:ascii="Verdana" w:hAnsi="Verdana" w:cs="Calibri"/>
                      <w:color w:val="000000"/>
                    </w:rPr>
                  </w:pPr>
                  <w:r w:rsidRPr="00417D12">
                    <w:rPr>
                      <w:rFonts w:ascii="Verdana" w:hAnsi="Verdana" w:cs="Calibri"/>
                      <w:color w:val="000000"/>
                    </w:rPr>
                    <w:t xml:space="preserve">Actors </w:t>
                  </w:r>
                  <w:r>
                    <w:rPr>
                      <w:rFonts w:ascii="Verdana" w:hAnsi="Verdana" w:cs="Calibri"/>
                      <w:color w:val="000000"/>
                    </w:rPr>
                    <w:t xml:space="preserve">/ </w:t>
                  </w:r>
                  <w:r w:rsidRPr="00417D12">
                    <w:rPr>
                      <w:rFonts w:ascii="Verdana" w:hAnsi="Verdana" w:cs="Calibri"/>
                      <w:color w:val="000000"/>
                    </w:rPr>
                    <w:t>actions:</w:t>
                  </w:r>
                </w:p>
              </w:tc>
              <w:tc>
                <w:tcPr>
                  <w:tcW w:w="851"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bookmarkStart w:id="0" w:name="_GoBack"/>
                  <w:bookmarkEnd w:id="0"/>
                </w:p>
              </w:tc>
              <w:tc>
                <w:tcPr>
                  <w:tcW w:w="850"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1150"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r>
            <w:tr w:rsidR="00846310" w:rsidRPr="00417D12" w:rsidTr="00DD0F43">
              <w:trPr>
                <w:trHeight w:val="462"/>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r w:rsidRPr="00417D12">
                    <w:rPr>
                      <w:rFonts w:ascii="Verdana" w:hAnsi="Verdana" w:cs="Calibri"/>
                      <w:color w:val="000000"/>
                    </w:rPr>
                    <w:t xml:space="preserve">Actors </w:t>
                  </w:r>
                  <w:r>
                    <w:rPr>
                      <w:rFonts w:ascii="Verdana" w:hAnsi="Verdana" w:cs="Calibri"/>
                      <w:color w:val="000000"/>
                    </w:rPr>
                    <w:t xml:space="preserve">/ </w:t>
                  </w:r>
                  <w:r w:rsidRPr="00417D12">
                    <w:rPr>
                      <w:rFonts w:ascii="Verdana" w:hAnsi="Verdana" w:cs="Calibri"/>
                      <w:color w:val="000000"/>
                    </w:rPr>
                    <w:t>actions:</w:t>
                  </w:r>
                </w:p>
              </w:tc>
              <w:tc>
                <w:tcPr>
                  <w:tcW w:w="851"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1150"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r>
            <w:tr w:rsidR="00846310" w:rsidRPr="00417D12" w:rsidTr="00DD0F43">
              <w:trPr>
                <w:trHeight w:val="462"/>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r w:rsidRPr="00417D12">
                    <w:rPr>
                      <w:rFonts w:ascii="Verdana" w:hAnsi="Verdana" w:cs="Calibri"/>
                      <w:color w:val="000000"/>
                    </w:rPr>
                    <w:t xml:space="preserve">Actors </w:t>
                  </w:r>
                  <w:r>
                    <w:rPr>
                      <w:rFonts w:ascii="Verdana" w:hAnsi="Verdana" w:cs="Calibri"/>
                      <w:color w:val="000000"/>
                    </w:rPr>
                    <w:t>/</w:t>
                  </w:r>
                  <w:r w:rsidRPr="00417D12">
                    <w:rPr>
                      <w:rFonts w:ascii="Verdana" w:hAnsi="Verdana" w:cs="Calibri"/>
                      <w:color w:val="000000"/>
                    </w:rPr>
                    <w:t xml:space="preserve"> actions:</w:t>
                  </w:r>
                </w:p>
              </w:tc>
              <w:tc>
                <w:tcPr>
                  <w:tcW w:w="851"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1150"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r>
            <w:tr w:rsidR="00846310" w:rsidRPr="00417D12" w:rsidTr="00DD0F43">
              <w:trPr>
                <w:trHeight w:val="462"/>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r w:rsidRPr="00417D12">
                    <w:rPr>
                      <w:rFonts w:ascii="Verdana" w:hAnsi="Verdana" w:cs="Calibri"/>
                      <w:color w:val="000000"/>
                    </w:rPr>
                    <w:t>n……….</w:t>
                  </w:r>
                </w:p>
              </w:tc>
              <w:tc>
                <w:tcPr>
                  <w:tcW w:w="851"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1150"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r>
            <w:tr w:rsidR="00846310" w:rsidRPr="00417D12" w:rsidTr="00DD0F43">
              <w:trPr>
                <w:trHeight w:val="462"/>
              </w:trPr>
              <w:tc>
                <w:tcPr>
                  <w:tcW w:w="3539" w:type="dxa"/>
                  <w:tcBorders>
                    <w:top w:val="nil"/>
                    <w:left w:val="single" w:sz="4" w:space="0" w:color="auto"/>
                    <w:bottom w:val="single" w:sz="4" w:space="0" w:color="auto"/>
                    <w:right w:val="single" w:sz="4" w:space="0" w:color="auto"/>
                  </w:tcBorders>
                  <w:shd w:val="clear" w:color="auto" w:fill="EAF1DD"/>
                  <w:vAlign w:val="center"/>
                </w:tcPr>
                <w:p w:rsidR="00846310" w:rsidRPr="00417D12" w:rsidRDefault="00846310" w:rsidP="001A789C">
                  <w:pPr>
                    <w:rPr>
                      <w:rFonts w:ascii="Verdana" w:hAnsi="Verdana" w:cs="Calibri"/>
                      <w:color w:val="000000"/>
                    </w:rPr>
                  </w:pPr>
                  <w:r w:rsidRPr="00417D12">
                    <w:rPr>
                      <w:rFonts w:ascii="Verdana" w:hAnsi="Verdana" w:cs="Calibri"/>
                      <w:color w:val="000000"/>
                    </w:rPr>
                    <w:t>Financial plan</w:t>
                  </w:r>
                </w:p>
              </w:tc>
              <w:tc>
                <w:tcPr>
                  <w:tcW w:w="851" w:type="dxa"/>
                  <w:tcBorders>
                    <w:top w:val="nil"/>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50" w:type="dxa"/>
                  <w:tcBorders>
                    <w:top w:val="nil"/>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51" w:type="dxa"/>
                  <w:tcBorders>
                    <w:top w:val="nil"/>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50" w:type="dxa"/>
                  <w:tcBorders>
                    <w:top w:val="nil"/>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51" w:type="dxa"/>
                  <w:tcBorders>
                    <w:top w:val="nil"/>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50" w:type="dxa"/>
                  <w:tcBorders>
                    <w:top w:val="nil"/>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1150" w:type="dxa"/>
                  <w:tcBorders>
                    <w:top w:val="nil"/>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r>
          </w:tbl>
          <w:p w:rsidR="00846310" w:rsidRPr="00846310" w:rsidRDefault="00846310" w:rsidP="001A789C">
            <w:pPr>
              <w:spacing w:after="100" w:afterAutospacing="1"/>
              <w:rPr>
                <w:rFonts w:ascii="Verdana" w:hAnsi="Verdana" w:cs="Calibri"/>
              </w:rPr>
            </w:pPr>
          </w:p>
        </w:tc>
      </w:tr>
    </w:tbl>
    <w:p w:rsidR="00846310" w:rsidRPr="00846310" w:rsidRDefault="00846310" w:rsidP="00846310">
      <w:pPr>
        <w:ind w:left="283" w:right="283"/>
        <w:jc w:val="right"/>
        <w:rPr>
          <w:rFonts w:ascii="Verdana" w:hAnsi="Verdana" w:cs="Calibri"/>
        </w:rPr>
      </w:pPr>
    </w:p>
    <w:p w:rsidR="00846310" w:rsidRPr="00846310" w:rsidRDefault="00846310" w:rsidP="00846310">
      <w:pPr>
        <w:jc w:val="right"/>
        <w:rPr>
          <w:rFonts w:ascii="Verdana" w:hAnsi="Verdana" w:cs="Calibri"/>
        </w:rPr>
      </w:pPr>
      <w:r w:rsidRPr="00846310">
        <w:rPr>
          <w:rFonts w:ascii="Verdana" w:hAnsi="Verdana" w:cs="Calibri"/>
        </w:rPr>
        <w:lastRenderedPageBreak/>
        <w:t>Annex B</w:t>
      </w:r>
    </w:p>
    <w:p w:rsidR="00846310" w:rsidRPr="00846310" w:rsidRDefault="00846310" w:rsidP="00846310">
      <w:pPr>
        <w:spacing w:after="100" w:afterAutospacing="1"/>
        <w:rPr>
          <w:rFonts w:ascii="Verdana" w:hAnsi="Verdana" w:cs="Calibri"/>
          <w:b/>
        </w:rPr>
      </w:pPr>
      <w:r w:rsidRPr="00846310">
        <w:rPr>
          <w:rFonts w:ascii="Verdana" w:hAnsi="Verdana" w:cs="Calibri"/>
          <w:b/>
        </w:rPr>
        <w:t xml:space="preserve"> </w:t>
      </w:r>
      <w:proofErr w:type="spellStart"/>
      <w:r w:rsidRPr="00846310">
        <w:rPr>
          <w:rFonts w:ascii="Verdana" w:hAnsi="Verdana" w:cs="Calibri"/>
          <w:b/>
        </w:rPr>
        <w:t>Frontex</w:t>
      </w:r>
      <w:proofErr w:type="spellEnd"/>
      <w:r w:rsidRPr="00846310">
        <w:rPr>
          <w:rFonts w:ascii="Verdana" w:hAnsi="Verdana" w:cs="Calibri"/>
          <w:b/>
        </w:rPr>
        <w:t xml:space="preserve"> equipment (1 application form per type of equipment)</w:t>
      </w:r>
    </w:p>
    <w:tbl>
      <w:tblPr>
        <w:tblStyle w:val="Tabela-Siatka"/>
        <w:tblW w:w="9606" w:type="dxa"/>
        <w:tblLook w:val="04A0" w:firstRow="1" w:lastRow="0" w:firstColumn="1" w:lastColumn="0" w:noHBand="0" w:noVBand="1"/>
      </w:tblPr>
      <w:tblGrid>
        <w:gridCol w:w="3096"/>
        <w:gridCol w:w="3096"/>
        <w:gridCol w:w="3414"/>
      </w:tblGrid>
      <w:tr w:rsidR="00846310" w:rsidRPr="00417D12" w:rsidTr="001A789C">
        <w:tc>
          <w:tcPr>
            <w:tcW w:w="3096" w:type="dxa"/>
          </w:tcPr>
          <w:p w:rsidR="00846310" w:rsidRPr="00846310" w:rsidRDefault="00846310" w:rsidP="001A789C">
            <w:pPr>
              <w:spacing w:after="100" w:afterAutospacing="1"/>
              <w:rPr>
                <w:rFonts w:ascii="Verdana" w:hAnsi="Verdana" w:cs="Calibri"/>
              </w:rPr>
            </w:pPr>
            <w:r w:rsidRPr="00846310">
              <w:rPr>
                <w:rFonts w:ascii="Verdana" w:hAnsi="Verdana" w:cs="Calibri"/>
              </w:rPr>
              <w:t>Member State:</w:t>
            </w:r>
          </w:p>
        </w:tc>
        <w:tc>
          <w:tcPr>
            <w:tcW w:w="3096" w:type="dxa"/>
          </w:tcPr>
          <w:p w:rsidR="00846310" w:rsidRPr="00846310" w:rsidRDefault="00846310" w:rsidP="001A789C">
            <w:pPr>
              <w:spacing w:after="100" w:afterAutospacing="1"/>
              <w:rPr>
                <w:rFonts w:ascii="Verdana" w:hAnsi="Verdana" w:cs="Calibri"/>
              </w:rPr>
            </w:pPr>
          </w:p>
        </w:tc>
        <w:tc>
          <w:tcPr>
            <w:tcW w:w="3414" w:type="dxa"/>
          </w:tcPr>
          <w:p w:rsidR="00846310" w:rsidRPr="00846310" w:rsidRDefault="00846310" w:rsidP="001A789C">
            <w:pPr>
              <w:spacing w:after="100" w:afterAutospacing="1"/>
              <w:rPr>
                <w:rFonts w:ascii="Verdana" w:hAnsi="Verdana" w:cs="Calibri"/>
              </w:rPr>
            </w:pPr>
            <w:r w:rsidRPr="00846310">
              <w:rPr>
                <w:rFonts w:ascii="Verdana" w:hAnsi="Verdana" w:cs="Calibri"/>
              </w:rPr>
              <w:t>Date:</w:t>
            </w:r>
          </w:p>
        </w:tc>
      </w:tr>
      <w:tr w:rsidR="00846310" w:rsidRPr="00417D12" w:rsidTr="001A789C">
        <w:tc>
          <w:tcPr>
            <w:tcW w:w="3096" w:type="dxa"/>
          </w:tcPr>
          <w:p w:rsidR="00846310" w:rsidRPr="00846310" w:rsidRDefault="00846310" w:rsidP="001A789C">
            <w:pPr>
              <w:spacing w:after="100" w:afterAutospacing="1"/>
              <w:rPr>
                <w:rFonts w:ascii="Verdana" w:hAnsi="Verdana" w:cs="Calibri"/>
              </w:rPr>
            </w:pPr>
            <w:r w:rsidRPr="00846310">
              <w:rPr>
                <w:rFonts w:ascii="Verdana" w:hAnsi="Verdana" w:cs="Calibri"/>
              </w:rPr>
              <w:t>Fund: ISF-Borders</w:t>
            </w:r>
          </w:p>
        </w:tc>
        <w:tc>
          <w:tcPr>
            <w:tcW w:w="3096" w:type="dxa"/>
          </w:tcPr>
          <w:p w:rsidR="00846310" w:rsidRPr="00846310" w:rsidRDefault="00846310" w:rsidP="001A789C">
            <w:pPr>
              <w:spacing w:after="100" w:afterAutospacing="1"/>
              <w:rPr>
                <w:rFonts w:ascii="Verdana" w:hAnsi="Verdana" w:cs="Calibri"/>
              </w:rPr>
            </w:pPr>
            <w:r w:rsidRPr="00846310">
              <w:rPr>
                <w:rFonts w:ascii="Verdana" w:hAnsi="Verdana" w:cs="Calibri"/>
              </w:rPr>
              <w:t>Specific Objective:</w:t>
            </w:r>
          </w:p>
        </w:tc>
        <w:tc>
          <w:tcPr>
            <w:tcW w:w="3414" w:type="dxa"/>
          </w:tcPr>
          <w:p w:rsidR="00846310" w:rsidRPr="00846310" w:rsidRDefault="00846310" w:rsidP="001A789C">
            <w:pPr>
              <w:spacing w:after="100" w:afterAutospacing="1"/>
              <w:rPr>
                <w:rFonts w:ascii="Verdana" w:hAnsi="Verdana" w:cs="Calibri"/>
              </w:rPr>
            </w:pPr>
            <w:r w:rsidRPr="00846310">
              <w:rPr>
                <w:rFonts w:ascii="Verdana" w:hAnsi="Verdana" w:cs="Calibri"/>
              </w:rPr>
              <w:t xml:space="preserve">Action: </w:t>
            </w:r>
            <w:proofErr w:type="spellStart"/>
            <w:r w:rsidRPr="00846310">
              <w:rPr>
                <w:rFonts w:ascii="Verdana" w:hAnsi="Verdana" w:cs="Calibri"/>
              </w:rPr>
              <w:t>Frontex</w:t>
            </w:r>
            <w:proofErr w:type="spellEnd"/>
            <w:r w:rsidRPr="00846310">
              <w:rPr>
                <w:rFonts w:ascii="Verdana" w:hAnsi="Verdana" w:cs="Calibri"/>
              </w:rPr>
              <w:t xml:space="preserve"> equipment</w:t>
            </w:r>
          </w:p>
        </w:tc>
      </w:tr>
      <w:tr w:rsidR="00846310" w:rsidRPr="00417D12" w:rsidTr="001A789C">
        <w:trPr>
          <w:trHeight w:val="593"/>
        </w:trPr>
        <w:tc>
          <w:tcPr>
            <w:tcW w:w="9606" w:type="dxa"/>
            <w:gridSpan w:val="3"/>
          </w:tcPr>
          <w:p w:rsidR="00846310" w:rsidRPr="00846310" w:rsidRDefault="00846310" w:rsidP="001A789C">
            <w:pPr>
              <w:spacing w:after="100" w:afterAutospacing="1"/>
              <w:rPr>
                <w:rFonts w:ascii="Verdana" w:hAnsi="Verdana" w:cs="Calibri"/>
              </w:rPr>
            </w:pPr>
            <w:r w:rsidRPr="00846310">
              <w:rPr>
                <w:rFonts w:ascii="Verdana" w:hAnsi="Verdana" w:cs="Calibri"/>
              </w:rPr>
              <w:t>Type of equipment:</w:t>
            </w:r>
          </w:p>
        </w:tc>
      </w:tr>
      <w:tr w:rsidR="00846310" w:rsidRPr="00417D12" w:rsidTr="001A789C">
        <w:trPr>
          <w:trHeight w:val="593"/>
        </w:trPr>
        <w:tc>
          <w:tcPr>
            <w:tcW w:w="9606" w:type="dxa"/>
            <w:gridSpan w:val="3"/>
          </w:tcPr>
          <w:p w:rsidR="00846310" w:rsidRPr="00846310" w:rsidRDefault="00846310" w:rsidP="001A789C">
            <w:pPr>
              <w:spacing w:after="100" w:afterAutospacing="1"/>
              <w:rPr>
                <w:rFonts w:ascii="Verdana" w:hAnsi="Verdana" w:cs="Calibri"/>
              </w:rPr>
            </w:pPr>
            <w:r w:rsidRPr="00846310">
              <w:rPr>
                <w:rFonts w:ascii="Verdana" w:hAnsi="Verdana" w:cs="Calibri"/>
              </w:rPr>
              <w:t>Number of items:</w:t>
            </w:r>
          </w:p>
        </w:tc>
      </w:tr>
      <w:tr w:rsidR="00846310" w:rsidRPr="00417D12" w:rsidTr="001A789C">
        <w:trPr>
          <w:trHeight w:val="593"/>
        </w:trPr>
        <w:tc>
          <w:tcPr>
            <w:tcW w:w="9606" w:type="dxa"/>
            <w:gridSpan w:val="3"/>
          </w:tcPr>
          <w:p w:rsidR="00846310" w:rsidRPr="00846310" w:rsidRDefault="00846310" w:rsidP="001A789C">
            <w:pPr>
              <w:spacing w:after="100" w:afterAutospacing="1"/>
              <w:rPr>
                <w:rFonts w:ascii="Verdana" w:hAnsi="Verdana" w:cs="Calibri"/>
              </w:rPr>
            </w:pPr>
            <w:r w:rsidRPr="00846310">
              <w:rPr>
                <w:rFonts w:ascii="Verdana" w:hAnsi="Verdana" w:cs="Calibri"/>
              </w:rPr>
              <w:t>Budget per item:</w:t>
            </w:r>
          </w:p>
        </w:tc>
      </w:tr>
      <w:tr w:rsidR="00846310" w:rsidRPr="00417D12" w:rsidTr="001A789C">
        <w:trPr>
          <w:trHeight w:val="593"/>
        </w:trPr>
        <w:tc>
          <w:tcPr>
            <w:tcW w:w="9606" w:type="dxa"/>
            <w:gridSpan w:val="3"/>
          </w:tcPr>
          <w:p w:rsidR="00846310" w:rsidRPr="00846310" w:rsidRDefault="00846310" w:rsidP="001A789C">
            <w:pPr>
              <w:spacing w:after="100" w:afterAutospacing="1"/>
              <w:rPr>
                <w:rFonts w:ascii="Verdana" w:hAnsi="Verdana" w:cs="Calibri"/>
              </w:rPr>
            </w:pPr>
            <w:r w:rsidRPr="00846310">
              <w:rPr>
                <w:rFonts w:ascii="Verdana" w:hAnsi="Verdana" w:cs="Calibri"/>
              </w:rPr>
              <w:t>Total budget:</w:t>
            </w:r>
          </w:p>
        </w:tc>
      </w:tr>
      <w:tr w:rsidR="00846310" w:rsidRPr="00417D12" w:rsidTr="001A789C">
        <w:trPr>
          <w:trHeight w:val="593"/>
        </w:trPr>
        <w:tc>
          <w:tcPr>
            <w:tcW w:w="9606" w:type="dxa"/>
            <w:gridSpan w:val="3"/>
          </w:tcPr>
          <w:p w:rsidR="00846310" w:rsidRPr="00846310" w:rsidRDefault="00846310" w:rsidP="001A789C">
            <w:pPr>
              <w:spacing w:after="100" w:afterAutospacing="1"/>
              <w:rPr>
                <w:rFonts w:ascii="Verdana" w:hAnsi="Verdana" w:cs="Calibri"/>
              </w:rPr>
            </w:pPr>
            <w:r w:rsidRPr="00846310">
              <w:rPr>
                <w:rFonts w:ascii="Verdana" w:hAnsi="Verdana" w:cs="Calibri"/>
              </w:rPr>
              <w:t>Type of procurement procedure planned:</w:t>
            </w:r>
          </w:p>
        </w:tc>
      </w:tr>
      <w:tr w:rsidR="00846310" w:rsidRPr="00417D12" w:rsidTr="001A789C">
        <w:trPr>
          <w:trHeight w:val="593"/>
        </w:trPr>
        <w:tc>
          <w:tcPr>
            <w:tcW w:w="9606" w:type="dxa"/>
            <w:gridSpan w:val="3"/>
          </w:tcPr>
          <w:p w:rsidR="00846310" w:rsidRPr="00846310" w:rsidRDefault="00846310" w:rsidP="001A789C">
            <w:pPr>
              <w:spacing w:after="100" w:afterAutospacing="1"/>
              <w:rPr>
                <w:rFonts w:ascii="Verdana" w:hAnsi="Verdana" w:cs="Calibri"/>
              </w:rPr>
            </w:pPr>
            <w:r w:rsidRPr="00846310">
              <w:rPr>
                <w:rFonts w:ascii="Verdana" w:hAnsi="Verdana" w:cs="Calibri"/>
              </w:rPr>
              <w:t>If an existing framework or supplier contract will be used please give references and the name of supplier</w:t>
            </w:r>
            <w:r>
              <w:rPr>
                <w:rFonts w:ascii="Verdana" w:hAnsi="Verdana" w:cs="Calibri"/>
              </w:rPr>
              <w:t xml:space="preserve"> (if known) </w:t>
            </w:r>
            <w:r w:rsidRPr="00846310">
              <w:rPr>
                <w:rFonts w:ascii="Verdana" w:hAnsi="Verdana" w:cs="Calibri"/>
              </w:rPr>
              <w:t>:</w:t>
            </w:r>
          </w:p>
          <w:p w:rsidR="00846310" w:rsidRPr="00846310" w:rsidRDefault="00846310" w:rsidP="001A789C">
            <w:pPr>
              <w:spacing w:after="100" w:afterAutospacing="1"/>
              <w:rPr>
                <w:rFonts w:ascii="Verdana" w:hAnsi="Verdana" w:cs="Calibri"/>
              </w:rPr>
            </w:pPr>
          </w:p>
        </w:tc>
      </w:tr>
      <w:tr w:rsidR="00846310" w:rsidRPr="00417D12" w:rsidTr="001A789C">
        <w:trPr>
          <w:trHeight w:val="593"/>
        </w:trPr>
        <w:tc>
          <w:tcPr>
            <w:tcW w:w="9606" w:type="dxa"/>
            <w:gridSpan w:val="3"/>
          </w:tcPr>
          <w:p w:rsidR="00846310" w:rsidRPr="00846310" w:rsidRDefault="00846310" w:rsidP="001A789C">
            <w:pPr>
              <w:spacing w:after="100" w:afterAutospacing="1"/>
              <w:rPr>
                <w:rFonts w:ascii="Verdana" w:hAnsi="Verdana" w:cs="Calibri"/>
              </w:rPr>
            </w:pPr>
            <w:r w:rsidRPr="00846310">
              <w:rPr>
                <w:rFonts w:ascii="Verdana" w:hAnsi="Verdana" w:cs="Calibri"/>
              </w:rPr>
              <w:t>If direct award is used please provide the justification:</w:t>
            </w:r>
          </w:p>
          <w:p w:rsidR="00846310" w:rsidRPr="00846310" w:rsidRDefault="00846310" w:rsidP="001A789C">
            <w:pPr>
              <w:spacing w:after="100" w:afterAutospacing="1"/>
              <w:rPr>
                <w:rFonts w:ascii="Verdana" w:hAnsi="Verdana" w:cs="Calibri"/>
              </w:rPr>
            </w:pPr>
          </w:p>
        </w:tc>
      </w:tr>
      <w:tr w:rsidR="00846310" w:rsidRPr="00417D12" w:rsidTr="001A789C">
        <w:trPr>
          <w:trHeight w:val="593"/>
        </w:trPr>
        <w:tc>
          <w:tcPr>
            <w:tcW w:w="9606" w:type="dxa"/>
            <w:gridSpan w:val="3"/>
          </w:tcPr>
          <w:p w:rsidR="00846310" w:rsidRPr="00846310" w:rsidRDefault="00846310" w:rsidP="001A789C">
            <w:pPr>
              <w:spacing w:after="100" w:afterAutospacing="1"/>
              <w:rPr>
                <w:rFonts w:ascii="Verdana" w:hAnsi="Verdana" w:cs="Calibri"/>
              </w:rPr>
            </w:pPr>
            <w:r>
              <w:rPr>
                <w:rFonts w:ascii="Verdana" w:hAnsi="Verdana" w:cs="Calibri"/>
              </w:rPr>
              <w:t>Approximate</w:t>
            </w:r>
            <w:r w:rsidRPr="00846310">
              <w:rPr>
                <w:rFonts w:ascii="Verdana" w:hAnsi="Verdana" w:cs="Calibri"/>
              </w:rPr>
              <w:t xml:space="preserve"> timetable for purchase (preparatory stages, tendering, contracting, delivery)</w:t>
            </w:r>
          </w:p>
          <w:p w:rsidR="00846310" w:rsidRPr="00846310" w:rsidRDefault="00846310" w:rsidP="001A789C">
            <w:pPr>
              <w:spacing w:after="100" w:afterAutospacing="1"/>
              <w:rPr>
                <w:rFonts w:ascii="Verdana" w:hAnsi="Verdana" w:cs="Calibri"/>
              </w:rPr>
            </w:pPr>
          </w:p>
        </w:tc>
      </w:tr>
      <w:tr w:rsidR="00846310" w:rsidRPr="00417D12" w:rsidTr="001A789C">
        <w:trPr>
          <w:trHeight w:val="593"/>
        </w:trPr>
        <w:tc>
          <w:tcPr>
            <w:tcW w:w="9606" w:type="dxa"/>
            <w:gridSpan w:val="3"/>
          </w:tcPr>
          <w:p w:rsidR="00846310" w:rsidRPr="00846310" w:rsidRDefault="00846310" w:rsidP="001A789C">
            <w:pPr>
              <w:rPr>
                <w:rFonts w:ascii="Verdana" w:hAnsi="Verdana" w:cs="Calibri"/>
              </w:rPr>
            </w:pPr>
            <w:r w:rsidRPr="00846310">
              <w:rPr>
                <w:rFonts w:ascii="Verdana" w:hAnsi="Verdana" w:cs="Calibri"/>
              </w:rPr>
              <w:t xml:space="preserve">Year when the equipment will be registered in the </w:t>
            </w:r>
            <w:proofErr w:type="spellStart"/>
            <w:r w:rsidRPr="00846310">
              <w:rPr>
                <w:rFonts w:ascii="Verdana" w:hAnsi="Verdana" w:cs="Calibri"/>
              </w:rPr>
              <w:t>Frontex</w:t>
            </w:r>
            <w:proofErr w:type="spellEnd"/>
            <w:r w:rsidRPr="00846310">
              <w:rPr>
                <w:rFonts w:ascii="Verdana" w:hAnsi="Verdana" w:cs="Calibri"/>
              </w:rPr>
              <w:t xml:space="preserve"> pool of resources and put at the disposal of the Agency:</w:t>
            </w:r>
          </w:p>
          <w:p w:rsidR="00846310" w:rsidRPr="00846310" w:rsidRDefault="00846310" w:rsidP="001A789C">
            <w:pPr>
              <w:spacing w:after="100" w:afterAutospacing="1"/>
              <w:rPr>
                <w:rFonts w:ascii="Verdana" w:hAnsi="Verdana" w:cs="Calibri"/>
              </w:rPr>
            </w:pPr>
          </w:p>
        </w:tc>
      </w:tr>
    </w:tbl>
    <w:p w:rsidR="00846310" w:rsidRPr="00846310" w:rsidRDefault="00846310" w:rsidP="00846310">
      <w:pPr>
        <w:spacing w:after="0"/>
        <w:rPr>
          <w:vanish/>
        </w:rPr>
      </w:pPr>
    </w:p>
    <w:tbl>
      <w:tblPr>
        <w:tblW w:w="9640" w:type="dxa"/>
        <w:tblInd w:w="-34" w:type="dxa"/>
        <w:tblLayout w:type="fixed"/>
        <w:tblLook w:val="04A0" w:firstRow="1" w:lastRow="0" w:firstColumn="1" w:lastColumn="0" w:noHBand="0" w:noVBand="1"/>
      </w:tblPr>
      <w:tblGrid>
        <w:gridCol w:w="3403"/>
        <w:gridCol w:w="891"/>
        <w:gridCol w:w="891"/>
        <w:gridCol w:w="891"/>
        <w:gridCol w:w="891"/>
        <w:gridCol w:w="891"/>
        <w:gridCol w:w="891"/>
        <w:gridCol w:w="891"/>
      </w:tblGrid>
      <w:tr w:rsidR="00846310" w:rsidRPr="00417D12" w:rsidTr="00846310">
        <w:trPr>
          <w:trHeight w:val="875"/>
        </w:trPr>
        <w:tc>
          <w:tcPr>
            <w:tcW w:w="3403" w:type="dxa"/>
            <w:tcBorders>
              <w:top w:val="nil"/>
              <w:left w:val="single" w:sz="4" w:space="0" w:color="auto"/>
              <w:bottom w:val="single" w:sz="4" w:space="0" w:color="auto"/>
              <w:right w:val="single" w:sz="4" w:space="0" w:color="auto"/>
            </w:tcBorders>
            <w:shd w:val="clear" w:color="auto" w:fill="EAF1DD"/>
            <w:vAlign w:val="center"/>
            <w:hideMark/>
          </w:tcPr>
          <w:p w:rsidR="00846310" w:rsidRPr="00417D12" w:rsidRDefault="00846310" w:rsidP="001A789C">
            <w:pPr>
              <w:rPr>
                <w:rFonts w:ascii="Verdana" w:hAnsi="Verdana" w:cs="Calibri"/>
                <w:color w:val="000000"/>
              </w:rPr>
            </w:pPr>
            <w:r w:rsidRPr="00417D12">
              <w:rPr>
                <w:rFonts w:ascii="Verdana" w:hAnsi="Verdana" w:cs="Calibri"/>
                <w:color w:val="000000"/>
              </w:rPr>
              <w:t>Indicative timetable and financial plan</w:t>
            </w:r>
          </w:p>
        </w:tc>
        <w:tc>
          <w:tcPr>
            <w:tcW w:w="891" w:type="dxa"/>
            <w:tcBorders>
              <w:top w:val="nil"/>
              <w:left w:val="nil"/>
              <w:bottom w:val="single" w:sz="4" w:space="0" w:color="auto"/>
              <w:right w:val="single" w:sz="4" w:space="0" w:color="auto"/>
            </w:tcBorders>
            <w:shd w:val="clear" w:color="auto" w:fill="EAF1DD"/>
            <w:vAlign w:val="center"/>
            <w:hideMark/>
          </w:tcPr>
          <w:p w:rsidR="00846310" w:rsidRPr="00417D12" w:rsidRDefault="00846310" w:rsidP="001A789C">
            <w:pPr>
              <w:rPr>
                <w:rFonts w:ascii="Verdana" w:hAnsi="Verdana" w:cs="Calibri"/>
                <w:color w:val="000000"/>
              </w:rPr>
            </w:pPr>
            <w:r w:rsidRPr="00417D12">
              <w:rPr>
                <w:rFonts w:ascii="Verdana" w:hAnsi="Verdana" w:cs="Calibri"/>
                <w:color w:val="000000"/>
              </w:rPr>
              <w:t>2014</w:t>
            </w:r>
          </w:p>
        </w:tc>
        <w:tc>
          <w:tcPr>
            <w:tcW w:w="891" w:type="dxa"/>
            <w:tcBorders>
              <w:top w:val="nil"/>
              <w:left w:val="nil"/>
              <w:bottom w:val="single" w:sz="4" w:space="0" w:color="auto"/>
              <w:right w:val="single" w:sz="4" w:space="0" w:color="auto"/>
            </w:tcBorders>
            <w:shd w:val="clear" w:color="auto" w:fill="EAF1DD"/>
            <w:vAlign w:val="center"/>
            <w:hideMark/>
          </w:tcPr>
          <w:p w:rsidR="00846310" w:rsidRPr="00417D12" w:rsidRDefault="00846310" w:rsidP="001A789C">
            <w:pPr>
              <w:rPr>
                <w:rFonts w:ascii="Verdana" w:hAnsi="Verdana" w:cs="Calibri"/>
                <w:color w:val="000000"/>
              </w:rPr>
            </w:pPr>
            <w:r w:rsidRPr="00417D12">
              <w:rPr>
                <w:rFonts w:ascii="Verdana" w:hAnsi="Verdana" w:cs="Calibri"/>
                <w:color w:val="000000"/>
              </w:rPr>
              <w:t>2015</w:t>
            </w:r>
          </w:p>
        </w:tc>
        <w:tc>
          <w:tcPr>
            <w:tcW w:w="891" w:type="dxa"/>
            <w:tcBorders>
              <w:top w:val="nil"/>
              <w:left w:val="nil"/>
              <w:bottom w:val="single" w:sz="4" w:space="0" w:color="auto"/>
              <w:right w:val="single" w:sz="4" w:space="0" w:color="auto"/>
            </w:tcBorders>
            <w:shd w:val="clear" w:color="auto" w:fill="EAF1DD"/>
            <w:vAlign w:val="center"/>
            <w:hideMark/>
          </w:tcPr>
          <w:p w:rsidR="00846310" w:rsidRPr="00417D12" w:rsidRDefault="00846310" w:rsidP="001A789C">
            <w:pPr>
              <w:rPr>
                <w:rFonts w:ascii="Verdana" w:hAnsi="Verdana" w:cs="Calibri"/>
                <w:color w:val="000000"/>
              </w:rPr>
            </w:pPr>
            <w:r w:rsidRPr="00417D12">
              <w:rPr>
                <w:rFonts w:ascii="Verdana" w:hAnsi="Verdana" w:cs="Calibri"/>
                <w:color w:val="000000"/>
              </w:rPr>
              <w:t>2016</w:t>
            </w:r>
          </w:p>
        </w:tc>
        <w:tc>
          <w:tcPr>
            <w:tcW w:w="891" w:type="dxa"/>
            <w:tcBorders>
              <w:top w:val="nil"/>
              <w:left w:val="nil"/>
              <w:bottom w:val="single" w:sz="4" w:space="0" w:color="auto"/>
              <w:right w:val="single" w:sz="4" w:space="0" w:color="auto"/>
            </w:tcBorders>
            <w:shd w:val="clear" w:color="auto" w:fill="EAF1DD"/>
            <w:vAlign w:val="center"/>
            <w:hideMark/>
          </w:tcPr>
          <w:p w:rsidR="00846310" w:rsidRPr="00417D12" w:rsidRDefault="00846310" w:rsidP="001A789C">
            <w:pPr>
              <w:rPr>
                <w:rFonts w:ascii="Verdana" w:hAnsi="Verdana" w:cs="Calibri"/>
                <w:color w:val="000000"/>
              </w:rPr>
            </w:pPr>
            <w:r w:rsidRPr="00417D12">
              <w:rPr>
                <w:rFonts w:ascii="Verdana" w:hAnsi="Verdana" w:cs="Calibri"/>
                <w:color w:val="000000"/>
              </w:rPr>
              <w:t>2017</w:t>
            </w:r>
          </w:p>
        </w:tc>
        <w:tc>
          <w:tcPr>
            <w:tcW w:w="891" w:type="dxa"/>
            <w:tcBorders>
              <w:top w:val="nil"/>
              <w:left w:val="nil"/>
              <w:bottom w:val="single" w:sz="4" w:space="0" w:color="auto"/>
              <w:right w:val="single" w:sz="4" w:space="0" w:color="auto"/>
            </w:tcBorders>
            <w:shd w:val="clear" w:color="auto" w:fill="EAF1DD"/>
            <w:vAlign w:val="center"/>
            <w:hideMark/>
          </w:tcPr>
          <w:p w:rsidR="00846310" w:rsidRPr="00417D12" w:rsidRDefault="00846310" w:rsidP="001A789C">
            <w:pPr>
              <w:rPr>
                <w:rFonts w:ascii="Verdana" w:hAnsi="Verdana" w:cs="Calibri"/>
                <w:color w:val="000000"/>
              </w:rPr>
            </w:pPr>
            <w:r w:rsidRPr="00417D12">
              <w:rPr>
                <w:rFonts w:ascii="Verdana" w:hAnsi="Verdana" w:cs="Calibri"/>
                <w:color w:val="000000"/>
              </w:rPr>
              <w:t>2018</w:t>
            </w:r>
          </w:p>
        </w:tc>
        <w:tc>
          <w:tcPr>
            <w:tcW w:w="891" w:type="dxa"/>
            <w:tcBorders>
              <w:top w:val="nil"/>
              <w:left w:val="nil"/>
              <w:bottom w:val="single" w:sz="4" w:space="0" w:color="auto"/>
              <w:right w:val="single" w:sz="4" w:space="0" w:color="auto"/>
            </w:tcBorders>
            <w:shd w:val="clear" w:color="auto" w:fill="EAF1DD"/>
            <w:vAlign w:val="center"/>
            <w:hideMark/>
          </w:tcPr>
          <w:p w:rsidR="00846310" w:rsidRPr="00417D12" w:rsidRDefault="00846310" w:rsidP="001A789C">
            <w:pPr>
              <w:rPr>
                <w:rFonts w:ascii="Verdana" w:hAnsi="Verdana" w:cs="Calibri"/>
                <w:color w:val="000000"/>
              </w:rPr>
            </w:pPr>
            <w:r w:rsidRPr="00417D12">
              <w:rPr>
                <w:rFonts w:ascii="Verdana" w:hAnsi="Verdana" w:cs="Calibri"/>
                <w:color w:val="000000"/>
              </w:rPr>
              <w:t>2019</w:t>
            </w:r>
          </w:p>
        </w:tc>
        <w:tc>
          <w:tcPr>
            <w:tcW w:w="891" w:type="dxa"/>
            <w:tcBorders>
              <w:top w:val="nil"/>
              <w:left w:val="nil"/>
              <w:bottom w:val="single" w:sz="4" w:space="0" w:color="auto"/>
              <w:right w:val="single" w:sz="4" w:space="0" w:color="auto"/>
            </w:tcBorders>
            <w:shd w:val="clear" w:color="auto" w:fill="EAF1DD"/>
            <w:vAlign w:val="center"/>
            <w:hideMark/>
          </w:tcPr>
          <w:p w:rsidR="00846310" w:rsidRPr="00417D12" w:rsidRDefault="00846310" w:rsidP="001A789C">
            <w:pPr>
              <w:rPr>
                <w:rFonts w:ascii="Verdana" w:hAnsi="Verdana" w:cs="Calibri"/>
                <w:color w:val="000000"/>
              </w:rPr>
            </w:pPr>
            <w:r w:rsidRPr="00417D12">
              <w:rPr>
                <w:rFonts w:ascii="Verdana" w:hAnsi="Verdana" w:cs="Calibri"/>
                <w:color w:val="000000"/>
              </w:rPr>
              <w:t>2020</w:t>
            </w:r>
          </w:p>
        </w:tc>
      </w:tr>
      <w:tr w:rsidR="00846310" w:rsidRPr="00417D12" w:rsidTr="001A789C">
        <w:trPr>
          <w:trHeight w:val="45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310" w:rsidRPr="00417D12" w:rsidRDefault="00846310" w:rsidP="001A789C">
            <w:pPr>
              <w:rPr>
                <w:rFonts w:ascii="Verdana" w:hAnsi="Verdana" w:cs="Calibri"/>
                <w:color w:val="000000"/>
              </w:rPr>
            </w:pPr>
            <w:r w:rsidRPr="00417D12">
              <w:rPr>
                <w:rFonts w:ascii="Verdana" w:hAnsi="Verdana" w:cs="Calibri"/>
                <w:color w:val="000000"/>
              </w:rPr>
              <w:t xml:space="preserve">Actors </w:t>
            </w:r>
            <w:r>
              <w:rPr>
                <w:rFonts w:ascii="Verdana" w:hAnsi="Verdana" w:cs="Calibri"/>
                <w:color w:val="000000"/>
              </w:rPr>
              <w:t>/</w:t>
            </w:r>
            <w:r w:rsidRPr="00417D12">
              <w:rPr>
                <w:rFonts w:ascii="Verdana" w:hAnsi="Verdana" w:cs="Calibri"/>
                <w:color w:val="000000"/>
              </w:rPr>
              <w:t>actions:</w:t>
            </w:r>
          </w:p>
        </w:tc>
        <w:tc>
          <w:tcPr>
            <w:tcW w:w="891"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91"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91"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91"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91"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91"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91" w:type="dxa"/>
            <w:tcBorders>
              <w:top w:val="single" w:sz="4" w:space="0" w:color="auto"/>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r>
      <w:tr w:rsidR="00846310" w:rsidRPr="00417D12" w:rsidTr="00846310">
        <w:trPr>
          <w:trHeight w:val="454"/>
        </w:trPr>
        <w:tc>
          <w:tcPr>
            <w:tcW w:w="3403" w:type="dxa"/>
            <w:tcBorders>
              <w:top w:val="nil"/>
              <w:left w:val="single" w:sz="4" w:space="0" w:color="auto"/>
              <w:bottom w:val="single" w:sz="4" w:space="0" w:color="auto"/>
              <w:right w:val="single" w:sz="4" w:space="0" w:color="auto"/>
            </w:tcBorders>
            <w:shd w:val="clear" w:color="auto" w:fill="EAF1DD"/>
            <w:vAlign w:val="center"/>
          </w:tcPr>
          <w:p w:rsidR="00846310" w:rsidRPr="00417D12" w:rsidRDefault="00846310" w:rsidP="001A789C">
            <w:pPr>
              <w:rPr>
                <w:rFonts w:ascii="Verdana" w:hAnsi="Verdana" w:cs="Calibri"/>
                <w:color w:val="000000"/>
              </w:rPr>
            </w:pPr>
            <w:r w:rsidRPr="00417D12">
              <w:rPr>
                <w:rFonts w:ascii="Verdana" w:hAnsi="Verdana" w:cs="Calibri"/>
                <w:color w:val="000000"/>
              </w:rPr>
              <w:t>Financial plan</w:t>
            </w:r>
          </w:p>
        </w:tc>
        <w:tc>
          <w:tcPr>
            <w:tcW w:w="891" w:type="dxa"/>
            <w:tcBorders>
              <w:top w:val="nil"/>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91" w:type="dxa"/>
            <w:tcBorders>
              <w:top w:val="nil"/>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91" w:type="dxa"/>
            <w:tcBorders>
              <w:top w:val="nil"/>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91" w:type="dxa"/>
            <w:tcBorders>
              <w:top w:val="nil"/>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91" w:type="dxa"/>
            <w:tcBorders>
              <w:top w:val="nil"/>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91" w:type="dxa"/>
            <w:tcBorders>
              <w:top w:val="nil"/>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c>
          <w:tcPr>
            <w:tcW w:w="891" w:type="dxa"/>
            <w:tcBorders>
              <w:top w:val="nil"/>
              <w:left w:val="nil"/>
              <w:bottom w:val="single" w:sz="4" w:space="0" w:color="auto"/>
              <w:right w:val="single" w:sz="4" w:space="0" w:color="auto"/>
            </w:tcBorders>
            <w:shd w:val="clear" w:color="auto" w:fill="auto"/>
            <w:vAlign w:val="center"/>
          </w:tcPr>
          <w:p w:rsidR="00846310" w:rsidRPr="00417D12" w:rsidRDefault="00846310" w:rsidP="001A789C">
            <w:pPr>
              <w:rPr>
                <w:rFonts w:ascii="Verdana" w:hAnsi="Verdana" w:cs="Calibri"/>
                <w:color w:val="000000"/>
              </w:rPr>
            </w:pPr>
          </w:p>
        </w:tc>
      </w:tr>
    </w:tbl>
    <w:p w:rsidR="00846310" w:rsidRPr="00846310" w:rsidRDefault="00846310" w:rsidP="00846310">
      <w:pPr>
        <w:pStyle w:val="Contact"/>
        <w:ind w:left="0" w:firstLine="0"/>
      </w:pPr>
    </w:p>
    <w:sectPr w:rsidR="00846310" w:rsidRPr="00846310" w:rsidSect="00295769">
      <w:headerReference w:type="default" r:id="rId9"/>
      <w:footerReference w:type="default" r:id="rId10"/>
      <w:headerReference w:type="first" r:id="rId11"/>
      <w:footerReference w:type="first" r:id="rId12"/>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C7A" w:rsidRDefault="00480C7A" w:rsidP="00846310">
      <w:pPr>
        <w:spacing w:after="0"/>
      </w:pPr>
      <w:r>
        <w:separator/>
      </w:r>
    </w:p>
  </w:endnote>
  <w:endnote w:type="continuationSeparator" w:id="0">
    <w:p w:rsidR="00480C7A" w:rsidRDefault="00480C7A" w:rsidP="008463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07" w:rsidRDefault="00D046B3">
    <w:pPr>
      <w:pStyle w:val="Stopka"/>
      <w:jc w:val="center"/>
    </w:pPr>
    <w:r>
      <w:fldChar w:fldCharType="begin"/>
    </w:r>
    <w:r>
      <w:instrText>PAGE</w:instrText>
    </w:r>
    <w:r>
      <w:fldChar w:fldCharType="separate"/>
    </w:r>
    <w:r w:rsidR="00DD0F43">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07" w:rsidRDefault="00415107">
    <w:pPr>
      <w:pStyle w:val="Stopka"/>
      <w:rPr>
        <w:sz w:val="24"/>
        <w:szCs w:val="24"/>
      </w:rPr>
    </w:pPr>
  </w:p>
  <w:p w:rsidR="00415107" w:rsidRDefault="00D046B3">
    <w:pPr>
      <w:pStyle w:val="Stopka"/>
    </w:pPr>
    <w:r w:rsidRPr="00846310">
      <w:rPr>
        <w:lang w:val="fr-BE"/>
      </w:rPr>
      <w:t xml:space="preserve">Commission européenne/Europese Commissie, 1049 Bruxelles/Brussel, BELGIQUE/BELGIË - Tel. </w:t>
    </w:r>
    <w:r>
      <w:t>+32 22991111</w:t>
    </w:r>
    <w:r>
      <w:rPr>
        <w:noProof/>
      </w:rPr>
      <w:br/>
      <w:t>Office: Lux 46 2/55 - Tel. direct line +32 229-61313 - Fax +32 229-85647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C7A" w:rsidRDefault="00480C7A" w:rsidP="00846310">
      <w:pPr>
        <w:spacing w:after="0"/>
      </w:pPr>
      <w:r>
        <w:separator/>
      </w:r>
    </w:p>
  </w:footnote>
  <w:footnote w:type="continuationSeparator" w:id="0">
    <w:p w:rsidR="00480C7A" w:rsidRDefault="00480C7A" w:rsidP="00846310">
      <w:pPr>
        <w:spacing w:after="0"/>
      </w:pPr>
      <w:r>
        <w:continuationSeparator/>
      </w:r>
    </w:p>
  </w:footnote>
  <w:footnote w:id="1">
    <w:p w:rsidR="00846310" w:rsidRDefault="00846310" w:rsidP="00846310">
      <w:pPr>
        <w:pStyle w:val="Tekstprzypisudolnego"/>
      </w:pPr>
      <w:r>
        <w:rPr>
          <w:rStyle w:val="Odwoanieprzypisudolnego"/>
        </w:rPr>
        <w:footnoteRef/>
      </w:r>
      <w:r>
        <w:t xml:space="preserve"> The amount referred to in Article 15(1)(b) is EUR 360 million but this also covers support for the </w:t>
      </w:r>
      <w:r w:rsidRPr="004E1392">
        <w:t xml:space="preserve">Union Resettlement Programme </w:t>
      </w:r>
      <w:r>
        <w:t>(Article</w:t>
      </w:r>
      <w:r w:rsidRPr="004E1392">
        <w:t xml:space="preserve"> 17</w:t>
      </w:r>
      <w:r>
        <w:t>)</w:t>
      </w:r>
      <w:r w:rsidRPr="004E1392">
        <w:t xml:space="preserve"> and/or transfers of beneficiaries of international protection from one Member State to another </w:t>
      </w:r>
      <w:r>
        <w:t>(</w:t>
      </w:r>
      <w:r w:rsidRPr="004E1392">
        <w:t>Article 18</w:t>
      </w:r>
      <w:r>
        <w:t>)</w:t>
      </w:r>
      <w:r w:rsidRPr="004E1392">
        <w:t>.</w:t>
      </w:r>
      <w:r>
        <w:t xml:space="preserve">  EUR 280 million will be used for resettlement and intra-EU transfers and EUR 80 million for specific actions.</w:t>
      </w:r>
    </w:p>
  </w:footnote>
  <w:footnote w:id="2">
    <w:p w:rsidR="00846310" w:rsidRPr="00B06393" w:rsidRDefault="00846310" w:rsidP="00846310">
      <w:pPr>
        <w:pStyle w:val="Tekstprzypisudolnego"/>
        <w:ind w:left="480" w:hanging="480"/>
      </w:pPr>
      <w:r>
        <w:rPr>
          <w:rStyle w:val="Odwoanieprzypisudolnego"/>
        </w:rPr>
        <w:footnoteRef/>
      </w:r>
      <w:r w:rsidRPr="00B06393">
        <w:t xml:space="preserve"> </w:t>
      </w:r>
      <w:r w:rsidRPr="00B06393">
        <w:rPr>
          <w:noProof/>
        </w:rPr>
        <w:t>OJ L 304, 22.11.2011, p.1.</w:t>
      </w:r>
    </w:p>
  </w:footnote>
  <w:footnote w:id="3">
    <w:p w:rsidR="00846310" w:rsidRDefault="00846310" w:rsidP="00846310">
      <w:pPr>
        <w:pStyle w:val="Tekstprzypisudolnego"/>
      </w:pPr>
      <w:r>
        <w:rPr>
          <w:rStyle w:val="Odwoanieprzypisudolnego"/>
        </w:rPr>
        <w:footnoteRef/>
      </w:r>
      <w:r>
        <w:t xml:space="preserve"> </w:t>
      </w:r>
      <w:r w:rsidRPr="00EA068E">
        <w:t xml:space="preserve">Fixed equipment is to be financed via the </w:t>
      </w:r>
      <w:r>
        <w:t xml:space="preserve">Member States' </w:t>
      </w:r>
      <w:r w:rsidRPr="00EA068E">
        <w:t>national programme</w:t>
      </w:r>
      <w:r>
        <w:t>s</w:t>
      </w:r>
      <w:r w:rsidRPr="00EA068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07" w:rsidRDefault="0041510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07" w:rsidRDefault="00415107">
    <w:pPr>
      <w:pStyle w:val="Nagwek"/>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4027B46"/>
    <w:multiLevelType w:val="hybridMultilevel"/>
    <w:tmpl w:val="4C54BE08"/>
    <w:lvl w:ilvl="0" w:tplc="BAF86CBA">
      <w:start w:val="1"/>
      <w:numFmt w:val="decimal"/>
      <w:lvlText w:val="2.%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5652B5"/>
    <w:multiLevelType w:val="multilevel"/>
    <w:tmpl w:val="B10A6748"/>
    <w:lvl w:ilvl="0">
      <w:start w:val="1"/>
      <w:numFmt w:val="decimal"/>
      <w:pStyle w:val="Listanumerowan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7AC041F"/>
    <w:multiLevelType w:val="hybridMultilevel"/>
    <w:tmpl w:val="799C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F84008"/>
    <w:multiLevelType w:val="hybridMultilevel"/>
    <w:tmpl w:val="6B2C0426"/>
    <w:lvl w:ilvl="0" w:tplc="BC4ADE96">
      <w:start w:val="1"/>
      <w:numFmt w:val="decimal"/>
      <w:lvlText w:val="3.%1"/>
      <w:lvlJc w:val="left"/>
      <w:pPr>
        <w:ind w:left="1200" w:hanging="360"/>
      </w:pPr>
      <w:rPr>
        <w:rFonts w:hint="default"/>
        <w:b w:val="0"/>
        <w:i/>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6">
    <w:nsid w:val="10070AB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19F3174"/>
    <w:multiLevelType w:val="hybridMultilevel"/>
    <w:tmpl w:val="1D44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62685D"/>
    <w:multiLevelType w:val="singleLevel"/>
    <w:tmpl w:val="D96C95A2"/>
    <w:lvl w:ilvl="0">
      <w:start w:val="1"/>
      <w:numFmt w:val="bullet"/>
      <w:pStyle w:val="Listapunktowana4"/>
      <w:lvlText w:val=""/>
      <w:lvlJc w:val="left"/>
      <w:pPr>
        <w:tabs>
          <w:tab w:val="num" w:pos="3163"/>
        </w:tabs>
        <w:ind w:left="3163" w:hanging="283"/>
      </w:pPr>
      <w:rPr>
        <w:rFonts w:ascii="Symbol" w:hAnsi="Symbol"/>
      </w:rPr>
    </w:lvl>
  </w:abstractNum>
  <w:abstractNum w:abstractNumId="9">
    <w:nsid w:val="139618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3D0A16"/>
    <w:multiLevelType w:val="singleLevel"/>
    <w:tmpl w:val="01FA5668"/>
    <w:lvl w:ilvl="0">
      <w:start w:val="1"/>
      <w:numFmt w:val="bullet"/>
      <w:pStyle w:val="Listapunktowana3"/>
      <w:lvlText w:val=""/>
      <w:lvlJc w:val="left"/>
      <w:pPr>
        <w:tabs>
          <w:tab w:val="num" w:pos="2199"/>
        </w:tabs>
        <w:ind w:left="2199" w:hanging="283"/>
      </w:pPr>
      <w:rPr>
        <w:rFonts w:ascii="Symbol" w:hAnsi="Symbol"/>
      </w:r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5003278"/>
    <w:multiLevelType w:val="hybridMultilevel"/>
    <w:tmpl w:val="D7E4E424"/>
    <w:lvl w:ilvl="0" w:tplc="FE4C7696">
      <w:start w:val="1"/>
      <w:numFmt w:val="decimal"/>
      <w:lvlText w:val="3.%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52706CD"/>
    <w:multiLevelType w:val="hybridMultilevel"/>
    <w:tmpl w:val="F72291CC"/>
    <w:lvl w:ilvl="0" w:tplc="08090017">
      <w:start w:val="1"/>
      <w:numFmt w:val="lowerLetter"/>
      <w:lvlText w:val="%1)"/>
      <w:lvlJc w:val="left"/>
      <w:pPr>
        <w:ind w:left="720" w:hanging="360"/>
      </w:pPr>
    </w:lvl>
    <w:lvl w:ilvl="1" w:tplc="BDFE6214">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8D5AD3"/>
    <w:multiLevelType w:val="singleLevel"/>
    <w:tmpl w:val="82EE6B70"/>
    <w:lvl w:ilvl="0">
      <w:start w:val="1"/>
      <w:numFmt w:val="bullet"/>
      <w:pStyle w:val="Listapunktowana2"/>
      <w:lvlText w:val=""/>
      <w:lvlJc w:val="left"/>
      <w:pPr>
        <w:tabs>
          <w:tab w:val="num" w:pos="1360"/>
        </w:tabs>
        <w:ind w:left="1360" w:hanging="283"/>
      </w:pPr>
      <w:rPr>
        <w:rFonts w:ascii="Symbol" w:hAnsi="Symbol"/>
      </w:rPr>
    </w:lvl>
  </w:abstractNum>
  <w:abstractNum w:abstractNumId="1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nsid w:val="3BAD1837"/>
    <w:multiLevelType w:val="hybridMultilevel"/>
    <w:tmpl w:val="12B275E2"/>
    <w:lvl w:ilvl="0" w:tplc="E74CE6DE">
      <w:start w:val="1"/>
      <w:numFmt w:val="decimal"/>
      <w:lvlText w:val="4.%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8415E7"/>
    <w:multiLevelType w:val="multilevel"/>
    <w:tmpl w:val="92100ADA"/>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3AC57C0"/>
    <w:multiLevelType w:val="hybridMultilevel"/>
    <w:tmpl w:val="71624E5A"/>
    <w:lvl w:ilvl="0" w:tplc="C85E5F6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481EA4"/>
    <w:multiLevelType w:val="multilevel"/>
    <w:tmpl w:val="28525E6E"/>
    <w:lvl w:ilvl="0">
      <w:start w:val="1"/>
      <w:numFmt w:val="decimal"/>
      <w:pStyle w:val="Listanumerowan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8860AAB"/>
    <w:multiLevelType w:val="multilevel"/>
    <w:tmpl w:val="E8744BD2"/>
    <w:lvl w:ilvl="0">
      <w:start w:val="1"/>
      <w:numFmt w:val="decimal"/>
      <w:pStyle w:val="Listanumerowan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A432656"/>
    <w:multiLevelType w:val="multilevel"/>
    <w:tmpl w:val="AC885D7A"/>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080"/>
        </w:tabs>
        <w:ind w:left="1080" w:hanging="600"/>
      </w:pPr>
    </w:lvl>
    <w:lvl w:ilvl="2">
      <w:start w:val="1"/>
      <w:numFmt w:val="decimal"/>
      <w:pStyle w:val="Nagwek3"/>
      <w:lvlText w:val="%1.%2.%3."/>
      <w:lvlJc w:val="left"/>
      <w:pPr>
        <w:tabs>
          <w:tab w:val="num" w:pos="1920"/>
        </w:tabs>
        <w:ind w:left="1920" w:hanging="840"/>
      </w:pPr>
    </w:lvl>
    <w:lvl w:ilvl="3">
      <w:start w:val="1"/>
      <w:numFmt w:val="decimal"/>
      <w:pStyle w:val="Nagwek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4BD0BEC"/>
    <w:multiLevelType w:val="singleLevel"/>
    <w:tmpl w:val="72D6F376"/>
    <w:lvl w:ilvl="0">
      <w:start w:val="1"/>
      <w:numFmt w:val="bullet"/>
      <w:pStyle w:val="Listapunktowana"/>
      <w:lvlText w:val=""/>
      <w:lvlJc w:val="left"/>
      <w:pPr>
        <w:tabs>
          <w:tab w:val="num" w:pos="283"/>
        </w:tabs>
        <w:ind w:left="283" w:hanging="283"/>
      </w:pPr>
      <w:rPr>
        <w:rFonts w:ascii="Symbol" w:hAnsi="Symbol"/>
      </w:rPr>
    </w:lvl>
  </w:abstractNum>
  <w:abstractNum w:abstractNumId="24">
    <w:nsid w:val="5D5B3A1B"/>
    <w:multiLevelType w:val="hybridMultilevel"/>
    <w:tmpl w:val="CFBE258C"/>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CB82048"/>
    <w:multiLevelType w:val="hybridMultilevel"/>
    <w:tmpl w:val="3752CCFA"/>
    <w:lvl w:ilvl="0" w:tplc="BC4ADE96">
      <w:start w:val="1"/>
      <w:numFmt w:val="decimal"/>
      <w:lvlText w:val="3.%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22"/>
  </w:num>
  <w:num w:numId="4">
    <w:abstractNumId w:val="23"/>
  </w:num>
  <w:num w:numId="5">
    <w:abstractNumId w:val="15"/>
  </w:num>
  <w:num w:numId="6">
    <w:abstractNumId w:val="14"/>
  </w:num>
  <w:num w:numId="7">
    <w:abstractNumId w:val="10"/>
  </w:num>
  <w:num w:numId="8">
    <w:abstractNumId w:val="8"/>
  </w:num>
  <w:num w:numId="9">
    <w:abstractNumId w:val="25"/>
  </w:num>
  <w:num w:numId="10">
    <w:abstractNumId w:val="27"/>
  </w:num>
  <w:num w:numId="11">
    <w:abstractNumId w:val="26"/>
  </w:num>
  <w:num w:numId="12">
    <w:abstractNumId w:val="29"/>
  </w:num>
  <w:num w:numId="13">
    <w:abstractNumId w:val="11"/>
  </w:num>
  <w:num w:numId="14">
    <w:abstractNumId w:val="17"/>
  </w:num>
  <w:num w:numId="15">
    <w:abstractNumId w:val="20"/>
  </w:num>
  <w:num w:numId="16">
    <w:abstractNumId w:val="19"/>
  </w:num>
  <w:num w:numId="17">
    <w:abstractNumId w:val="3"/>
  </w:num>
  <w:num w:numId="18">
    <w:abstractNumId w:val="21"/>
  </w:num>
  <w:num w:numId="19">
    <w:abstractNumId w:val="18"/>
  </w:num>
  <w:num w:numId="20">
    <w:abstractNumId w:val="6"/>
  </w:num>
  <w:num w:numId="21">
    <w:abstractNumId w:val="9"/>
  </w:num>
  <w:num w:numId="22">
    <w:abstractNumId w:val="7"/>
  </w:num>
  <w:num w:numId="23">
    <w:abstractNumId w:val="4"/>
  </w:num>
  <w:num w:numId="24">
    <w:abstractNumId w:val="13"/>
  </w:num>
  <w:num w:numId="25">
    <w:abstractNumId w:val="24"/>
  </w:num>
  <w:num w:numId="26">
    <w:abstractNumId w:val="2"/>
  </w:num>
  <w:num w:numId="27">
    <w:abstractNumId w:val="28"/>
  </w:num>
  <w:num w:numId="28">
    <w:abstractNumId w:val="22"/>
  </w:num>
  <w:num w:numId="29">
    <w:abstractNumId w:val="5"/>
  </w:num>
  <w:num w:numId="30">
    <w:abstractNumId w:val="12"/>
  </w:num>
  <w:num w:numId="31">
    <w:abstractNumId w:val="22"/>
  </w:num>
  <w:num w:numId="32">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846310"/>
    <w:rsid w:val="000642A1"/>
    <w:rsid w:val="0015312A"/>
    <w:rsid w:val="00415107"/>
    <w:rsid w:val="00480C7A"/>
    <w:rsid w:val="00640792"/>
    <w:rsid w:val="00685F99"/>
    <w:rsid w:val="006875D6"/>
    <w:rsid w:val="00846310"/>
    <w:rsid w:val="00A91D73"/>
    <w:rsid w:val="00B24E82"/>
    <w:rsid w:val="00C8143D"/>
    <w:rsid w:val="00CD1540"/>
    <w:rsid w:val="00D046B3"/>
    <w:rsid w:val="00DD0F43"/>
    <w:rsid w:val="00DE2180"/>
    <w:rsid w:val="00DF1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pPr>
      <w:spacing w:after="240"/>
      <w:jc w:val="both"/>
    </w:pPr>
    <w:rPr>
      <w:sz w:val="24"/>
      <w:lang w:eastAsia="en-US"/>
    </w:rPr>
  </w:style>
  <w:style w:type="paragraph" w:styleId="Nagwek1">
    <w:name w:val="heading 1"/>
    <w:basedOn w:val="Normalny"/>
    <w:next w:val="Text1"/>
    <w:qFormat/>
    <w:pPr>
      <w:keepNext/>
      <w:numPr>
        <w:numId w:val="3"/>
      </w:numPr>
      <w:spacing w:before="240"/>
      <w:outlineLvl w:val="0"/>
    </w:pPr>
    <w:rPr>
      <w:b/>
      <w:smallCaps/>
    </w:rPr>
  </w:style>
  <w:style w:type="paragraph" w:styleId="Nagwek2">
    <w:name w:val="heading 2"/>
    <w:basedOn w:val="Normalny"/>
    <w:next w:val="Text2"/>
    <w:link w:val="Nagwek2Znak"/>
    <w:uiPriority w:val="9"/>
    <w:qFormat/>
    <w:pPr>
      <w:keepNext/>
      <w:numPr>
        <w:ilvl w:val="1"/>
        <w:numId w:val="3"/>
      </w:numPr>
      <w:outlineLvl w:val="1"/>
    </w:pPr>
    <w:rPr>
      <w:b/>
    </w:rPr>
  </w:style>
  <w:style w:type="paragraph" w:styleId="Nagwek3">
    <w:name w:val="heading 3"/>
    <w:basedOn w:val="Normalny"/>
    <w:next w:val="Text3"/>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qFormat/>
    <w:pPr>
      <w:spacing w:before="240" w:after="60"/>
      <w:ind w:left="3332" w:hanging="708"/>
      <w:outlineLvl w:val="4"/>
    </w:pPr>
    <w:rPr>
      <w:rFonts w:ascii="Arial" w:hAnsi="Arial"/>
      <w:sz w:val="22"/>
    </w:rPr>
  </w:style>
  <w:style w:type="paragraph" w:styleId="Nagwek6">
    <w:name w:val="heading 6"/>
    <w:basedOn w:val="Normalny"/>
    <w:next w:val="Normalny"/>
    <w:qFormat/>
    <w:pPr>
      <w:spacing w:before="240" w:after="60"/>
      <w:ind w:left="4040" w:hanging="708"/>
      <w:outlineLvl w:val="5"/>
    </w:pPr>
    <w:rPr>
      <w:rFonts w:ascii="Arial" w:hAnsi="Arial"/>
      <w:i/>
      <w:sz w:val="22"/>
    </w:rPr>
  </w:style>
  <w:style w:type="paragraph" w:styleId="Nagwek7">
    <w:name w:val="heading 7"/>
    <w:basedOn w:val="Normalny"/>
    <w:next w:val="Normalny"/>
    <w:qFormat/>
    <w:pPr>
      <w:spacing w:before="240" w:after="60"/>
      <w:ind w:left="4748" w:hanging="708"/>
      <w:outlineLvl w:val="6"/>
    </w:pPr>
    <w:rPr>
      <w:rFonts w:ascii="Arial" w:hAnsi="Arial"/>
      <w:sz w:val="20"/>
    </w:rPr>
  </w:style>
  <w:style w:type="paragraph" w:styleId="Nagwek8">
    <w:name w:val="heading 8"/>
    <w:basedOn w:val="Normalny"/>
    <w:next w:val="Normalny"/>
    <w:qFormat/>
    <w:pPr>
      <w:spacing w:before="240" w:after="60"/>
      <w:ind w:left="5456" w:hanging="708"/>
      <w:outlineLvl w:val="7"/>
    </w:pPr>
    <w:rPr>
      <w:rFonts w:ascii="Arial" w:hAnsi="Arial"/>
      <w:i/>
      <w:sz w:val="20"/>
    </w:rPr>
  </w:style>
  <w:style w:type="paragraph" w:styleId="Nagwek9">
    <w:name w:val="heading 9"/>
    <w:basedOn w:val="Normalny"/>
    <w:next w:val="Normalny"/>
    <w:qFormat/>
    <w:pPr>
      <w:spacing w:before="240" w:after="60"/>
      <w:ind w:left="6164" w:hanging="708"/>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link w:val="Text1Char"/>
    <w:pPr>
      <w:ind w:left="482"/>
    </w:pPr>
  </w:style>
  <w:style w:type="paragraph" w:customStyle="1" w:styleId="Text2">
    <w:name w:val="Text 2"/>
    <w:basedOn w:val="Normalny"/>
    <w:pPr>
      <w:tabs>
        <w:tab w:val="left" w:pos="2160"/>
      </w:tabs>
      <w:ind w:left="1077"/>
    </w:pPr>
  </w:style>
  <w:style w:type="paragraph" w:customStyle="1" w:styleId="Text3">
    <w:name w:val="Text 3"/>
    <w:basedOn w:val="Normalny"/>
    <w:pPr>
      <w:tabs>
        <w:tab w:val="left" w:pos="2302"/>
      </w:tabs>
      <w:ind w:left="1916"/>
    </w:pPr>
  </w:style>
  <w:style w:type="paragraph" w:customStyle="1" w:styleId="Text4">
    <w:name w:val="Text 4"/>
    <w:basedOn w:val="Normalny"/>
    <w:pPr>
      <w:ind w:left="2880"/>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qFormat/>
    <w:pPr>
      <w:spacing w:before="120" w:after="120"/>
    </w:pPr>
    <w:rPr>
      <w:b/>
    </w:rPr>
  </w:style>
  <w:style w:type="paragraph" w:styleId="Zwrotpoegnalny">
    <w:name w:val="Closing"/>
    <w:basedOn w:val="Normalny"/>
    <w:next w:val="Podpis"/>
    <w:pPr>
      <w:tabs>
        <w:tab w:val="left" w:pos="5103"/>
      </w:tabs>
      <w:spacing w:before="240"/>
      <w:ind w:left="5103"/>
      <w:jc w:val="left"/>
    </w:pPr>
  </w:style>
  <w:style w:type="paragraph" w:styleId="Podpis">
    <w:name w:val="Signature"/>
    <w:basedOn w:val="Normalny"/>
    <w:next w:val="Contact"/>
    <w:link w:val="PodpisZnak"/>
    <w:uiPriority w:val="99"/>
    <w:pPr>
      <w:tabs>
        <w:tab w:val="left" w:pos="5103"/>
      </w:tabs>
      <w:spacing w:before="1200" w:after="0"/>
      <w:ind w:left="5103"/>
      <w:jc w:val="center"/>
    </w:pPr>
  </w:style>
  <w:style w:type="paragraph" w:customStyle="1" w:styleId="Enclosures">
    <w:name w:val="Enclosures"/>
    <w:basedOn w:val="Normalny"/>
    <w:next w:val="Participants"/>
    <w:pPr>
      <w:keepNext/>
      <w:keepLines/>
      <w:tabs>
        <w:tab w:val="left" w:pos="5670"/>
      </w:tabs>
      <w:spacing w:before="480" w:after="0"/>
      <w:ind w:left="1985" w:hanging="1985"/>
      <w:jc w:val="left"/>
    </w:pPr>
  </w:style>
  <w:style w:type="paragraph" w:customStyle="1" w:styleId="Participants">
    <w:name w:val="Participants"/>
    <w:basedOn w:val="Normalny"/>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ny"/>
    <w:next w:val="Normalny"/>
    <w:pPr>
      <w:tabs>
        <w:tab w:val="left" w:pos="2552"/>
        <w:tab w:val="left" w:pos="2835"/>
        <w:tab w:val="left" w:pos="5670"/>
        <w:tab w:val="left" w:pos="6379"/>
        <w:tab w:val="left" w:pos="6804"/>
      </w:tabs>
      <w:spacing w:before="480" w:after="0"/>
      <w:ind w:left="1985" w:hanging="1985"/>
      <w:jc w:val="left"/>
    </w:pPr>
  </w:style>
  <w:style w:type="paragraph" w:styleId="Tekstkomentarza">
    <w:name w:val="annotation text"/>
    <w:basedOn w:val="Normalny"/>
    <w:semiHidden/>
    <w:rPr>
      <w:sz w:val="20"/>
    </w:rPr>
  </w:style>
  <w:style w:type="paragraph" w:styleId="Data">
    <w:name w:val="Date"/>
    <w:basedOn w:val="Normalny"/>
    <w:next w:val="References"/>
    <w:link w:val="DataZnak"/>
    <w:uiPriority w:val="99"/>
    <w:pPr>
      <w:spacing w:after="0"/>
      <w:ind w:left="5103" w:right="-567"/>
      <w:jc w:val="left"/>
    </w:pPr>
  </w:style>
  <w:style w:type="paragraph" w:customStyle="1" w:styleId="References">
    <w:name w:val="References"/>
    <w:basedOn w:val="Normalny"/>
    <w:next w:val="AddressTR"/>
    <w:uiPriority w:val="99"/>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Contact"/>
    <w:pPr>
      <w:tabs>
        <w:tab w:val="left" w:pos="5103"/>
      </w:tabs>
      <w:spacing w:before="1200" w:after="0"/>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rPr>
  </w:style>
  <w:style w:type="paragraph" w:styleId="Tekstprzypisudolnego">
    <w:name w:val="footnote text"/>
    <w:basedOn w:val="Normalny"/>
    <w:link w:val="TekstprzypisudolnegoZnak"/>
    <w:semiHidden/>
    <w:pPr>
      <w:ind w:left="357" w:hanging="357"/>
    </w:pPr>
    <w:rPr>
      <w:sz w:val="20"/>
    </w:rPr>
  </w:style>
  <w:style w:type="paragraph" w:styleId="Nagwek">
    <w:name w:val="header"/>
    <w:basedOn w:val="Normalny"/>
    <w:link w:val="NagwekZnak"/>
    <w:uiPriority w:val="99"/>
    <w:pPr>
      <w:tabs>
        <w:tab w:val="center" w:pos="4153"/>
        <w:tab w:val="right" w:pos="8306"/>
      </w:tabs>
    </w:p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160"/>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160"/>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pPr>
      <w:ind w:left="720"/>
    </w:p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tytu">
    <w:name w:val="Subtitle"/>
    <w:basedOn w:val="Normalny"/>
    <w:qFormat/>
    <w:pPr>
      <w:spacing w:after="60"/>
      <w:jc w:val="center"/>
      <w:outlineLvl w:val="1"/>
    </w:pPr>
    <w:rPr>
      <w:rFonts w:ascii="Arial" w:hAnsi="Arial"/>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qFormat/>
    <w:pPr>
      <w:spacing w:before="240" w:after="60"/>
      <w:jc w:val="center"/>
      <w:outlineLvl w:val="0"/>
    </w:pPr>
    <w:rPr>
      <w:rFonts w:ascii="Arial" w:hAnsi="Arial"/>
      <w:b/>
      <w:kern w:val="28"/>
      <w:sz w:val="32"/>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Nagwekspisutreci">
    <w:name w:val="TOC Heading"/>
    <w:basedOn w:val="Normalny"/>
    <w:next w:val="Normalny"/>
    <w:qFormat/>
    <w:pPr>
      <w:keepNext/>
      <w:spacing w:before="240"/>
      <w:jc w:val="center"/>
    </w:pPr>
    <w:rPr>
      <w:b/>
    </w:rPr>
  </w:style>
  <w:style w:type="paragraph" w:customStyle="1" w:styleId="Contact">
    <w:name w:val="Contact"/>
    <w:basedOn w:val="Normalny"/>
    <w:next w:val="Enclosures"/>
    <w:uiPriority w:val="99"/>
    <w:pPr>
      <w:spacing w:before="480" w:after="0"/>
      <w:ind w:left="567" w:hanging="567"/>
      <w:jc w:val="left"/>
    </w:pPr>
  </w:style>
  <w:style w:type="paragraph" w:customStyle="1" w:styleId="DisclaimerNotice">
    <w:name w:val="Disclaimer Notice"/>
    <w:basedOn w:val="Normalny"/>
    <w:next w:val="AddressTR"/>
    <w:pPr>
      <w:ind w:left="5103"/>
      <w:jc w:val="left"/>
    </w:pPr>
    <w:rPr>
      <w:i/>
      <w:sz w:val="20"/>
    </w:rPr>
  </w:style>
  <w:style w:type="paragraph" w:customStyle="1" w:styleId="Disclaimer">
    <w:name w:val="Disclaimer"/>
    <w:basedOn w:val="Normalny"/>
    <w:pPr>
      <w:keepLines/>
      <w:pBdr>
        <w:top w:val="single" w:sz="4" w:space="1" w:color="auto"/>
      </w:pBdr>
      <w:spacing w:before="480" w:after="0"/>
    </w:pPr>
    <w:rPr>
      <w:i/>
    </w:rPr>
  </w:style>
  <w:style w:type="character" w:styleId="UyteHipercze">
    <w:name w:val="FollowedHyperlink"/>
    <w:rPr>
      <w:color w:val="800080"/>
      <w:u w:val="single"/>
    </w:rPr>
  </w:style>
  <w:style w:type="paragraph" w:customStyle="1" w:styleId="DisclaimerSJ">
    <w:name w:val="Disclaimer_SJ"/>
    <w:basedOn w:val="Normalny"/>
    <w:next w:val="Normalny"/>
    <w:pPr>
      <w:spacing w:after="0"/>
    </w:pPr>
    <w:rPr>
      <w:rFonts w:ascii="Arial" w:hAnsi="Arial"/>
      <w:b/>
      <w:sz w:val="16"/>
    </w:rPr>
  </w:style>
  <w:style w:type="paragraph" w:customStyle="1" w:styleId="Designator">
    <w:name w:val="Designator"/>
    <w:basedOn w:val="Normalny"/>
    <w:pPr>
      <w:spacing w:after="0"/>
      <w:jc w:val="center"/>
    </w:pPr>
    <w:rPr>
      <w:b/>
      <w:caps/>
      <w:sz w:val="32"/>
    </w:rPr>
  </w:style>
  <w:style w:type="paragraph" w:customStyle="1" w:styleId="Releasable">
    <w:name w:val="Releasable"/>
    <w:basedOn w:val="Normalny"/>
    <w:qFormat/>
    <w:pPr>
      <w:spacing w:after="0"/>
      <w:jc w:val="center"/>
    </w:pPr>
    <w:rPr>
      <w:b/>
      <w:caps/>
      <w:sz w:val="32"/>
      <w:lang w:val="de-DE"/>
    </w:rPr>
  </w:style>
  <w:style w:type="paragraph" w:customStyle="1" w:styleId="RUE">
    <w:name w:val="RUE"/>
    <w:basedOn w:val="Normalny"/>
    <w:pPr>
      <w:spacing w:after="0"/>
      <w:jc w:val="center"/>
    </w:pPr>
    <w:rPr>
      <w:b/>
      <w:caps/>
      <w:sz w:val="32"/>
      <w:bdr w:val="single" w:sz="18" w:space="0" w:color="auto"/>
      <w:lang w:val="de-DE"/>
    </w:rPr>
  </w:style>
  <w:style w:type="paragraph" w:customStyle="1" w:styleId="ConfidentialUE">
    <w:name w:val="Confidential UE"/>
    <w:basedOn w:val="Normalny"/>
    <w:pPr>
      <w:spacing w:after="0"/>
      <w:jc w:val="center"/>
    </w:pPr>
    <w:rPr>
      <w:b/>
      <w:caps/>
      <w:sz w:val="32"/>
      <w:bdr w:val="single" w:sz="18" w:space="0" w:color="auto"/>
    </w:rPr>
  </w:style>
  <w:style w:type="paragraph" w:customStyle="1" w:styleId="TrsSecretUE">
    <w:name w:val="Très Secret UE"/>
    <w:basedOn w:val="Normalny"/>
    <w:pPr>
      <w:spacing w:after="0"/>
      <w:jc w:val="center"/>
    </w:pPr>
    <w:rPr>
      <w:b/>
      <w:caps/>
      <w:color w:val="FF0000"/>
      <w:sz w:val="32"/>
      <w:bdr w:val="single" w:sz="18" w:space="0" w:color="FF0000"/>
    </w:rPr>
  </w:style>
  <w:style w:type="paragraph" w:customStyle="1" w:styleId="SecretUE">
    <w:name w:val="Secret UE"/>
    <w:basedOn w:val="Normalny"/>
    <w:pPr>
      <w:spacing w:after="0"/>
      <w:jc w:val="center"/>
    </w:pPr>
    <w:rPr>
      <w:b/>
      <w:caps/>
      <w:color w:val="FF0000"/>
      <w:sz w:val="32"/>
      <w:bdr w:val="single" w:sz="18" w:space="0" w:color="FF0000"/>
    </w:rPr>
  </w:style>
  <w:style w:type="character" w:customStyle="1" w:styleId="StopkaZnak">
    <w:name w:val="Stopka Znak"/>
    <w:basedOn w:val="Domylnaczcionkaakapitu"/>
    <w:link w:val="Stopka"/>
    <w:uiPriority w:val="99"/>
    <w:rsid w:val="00846310"/>
    <w:rPr>
      <w:rFonts w:ascii="Arial" w:hAnsi="Arial"/>
      <w:sz w:val="16"/>
      <w:lang w:eastAsia="en-US"/>
    </w:rPr>
  </w:style>
  <w:style w:type="character" w:customStyle="1" w:styleId="DataZnak">
    <w:name w:val="Data Znak"/>
    <w:basedOn w:val="Domylnaczcionkaakapitu"/>
    <w:link w:val="Data"/>
    <w:uiPriority w:val="99"/>
    <w:rsid w:val="00846310"/>
    <w:rPr>
      <w:sz w:val="24"/>
      <w:lang w:eastAsia="en-US"/>
    </w:rPr>
  </w:style>
  <w:style w:type="character" w:customStyle="1" w:styleId="PodpisZnak">
    <w:name w:val="Podpis Znak"/>
    <w:basedOn w:val="Domylnaczcionkaakapitu"/>
    <w:link w:val="Podpis"/>
    <w:uiPriority w:val="99"/>
    <w:rsid w:val="00846310"/>
    <w:rPr>
      <w:sz w:val="24"/>
      <w:lang w:eastAsia="en-US"/>
    </w:rPr>
  </w:style>
  <w:style w:type="paragraph" w:customStyle="1" w:styleId="ZCom">
    <w:name w:val="Z_Com"/>
    <w:basedOn w:val="Normalny"/>
    <w:next w:val="ZDGName"/>
    <w:uiPriority w:val="99"/>
    <w:rsid w:val="00846310"/>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ny"/>
    <w:uiPriority w:val="99"/>
    <w:rsid w:val="00846310"/>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NagwekZnak">
    <w:name w:val="Nagłówek Znak"/>
    <w:basedOn w:val="Domylnaczcionkaakapitu"/>
    <w:link w:val="Nagwek"/>
    <w:uiPriority w:val="99"/>
    <w:rsid w:val="00846310"/>
    <w:rPr>
      <w:sz w:val="24"/>
      <w:lang w:eastAsia="en-US"/>
    </w:rPr>
  </w:style>
  <w:style w:type="character" w:styleId="Odwoanieprzypisudolnego">
    <w:name w:val="footnote reference"/>
    <w:aliases w:val="Footnote symbol,Footnote,BVI fnr,(Footnote Reference)"/>
    <w:semiHidden/>
    <w:rsid w:val="00846310"/>
    <w:rPr>
      <w:b/>
      <w:vertAlign w:val="superscript"/>
    </w:rPr>
  </w:style>
  <w:style w:type="character" w:customStyle="1" w:styleId="TekstprzypisudolnegoZnak">
    <w:name w:val="Tekst przypisu dolnego Znak"/>
    <w:link w:val="Tekstprzypisudolnego"/>
    <w:semiHidden/>
    <w:rsid w:val="00846310"/>
    <w:rPr>
      <w:lang w:eastAsia="en-US"/>
    </w:rPr>
  </w:style>
  <w:style w:type="paragraph" w:styleId="Akapitzlist">
    <w:name w:val="List Paragraph"/>
    <w:basedOn w:val="Normalny"/>
    <w:uiPriority w:val="34"/>
    <w:qFormat/>
    <w:rsid w:val="00846310"/>
    <w:pPr>
      <w:spacing w:after="0"/>
      <w:ind w:left="720"/>
      <w:jc w:val="left"/>
    </w:pPr>
    <w:rPr>
      <w:rFonts w:ascii="Calibri" w:hAnsi="Calibri"/>
      <w:sz w:val="22"/>
      <w:szCs w:val="22"/>
    </w:rPr>
  </w:style>
  <w:style w:type="table" w:styleId="Tabela-Siatka">
    <w:name w:val="Table Grid"/>
    <w:basedOn w:val="Standardowy"/>
    <w:uiPriority w:val="59"/>
    <w:rsid w:val="0084631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Char">
    <w:name w:val="Text 1 Char"/>
    <w:link w:val="Text1"/>
    <w:locked/>
    <w:rsid w:val="00846310"/>
    <w:rPr>
      <w:sz w:val="24"/>
      <w:lang w:eastAsia="en-US"/>
    </w:rPr>
  </w:style>
  <w:style w:type="character" w:customStyle="1" w:styleId="Nagwek2Znak">
    <w:name w:val="Nagłówek 2 Znak"/>
    <w:link w:val="Nagwek2"/>
    <w:uiPriority w:val="9"/>
    <w:rsid w:val="00846310"/>
    <w:rPr>
      <w:b/>
      <w:sz w:val="24"/>
      <w:lang w:eastAsia="en-US"/>
    </w:rPr>
  </w:style>
  <w:style w:type="paragraph" w:styleId="Tekstdymka">
    <w:name w:val="Balloon Text"/>
    <w:basedOn w:val="Normalny"/>
    <w:link w:val="TekstdymkaZnak"/>
    <w:uiPriority w:val="99"/>
    <w:semiHidden/>
    <w:unhideWhenUsed/>
    <w:rsid w:val="00B24E82"/>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B24E8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pPr>
      <w:spacing w:after="240"/>
      <w:jc w:val="both"/>
    </w:pPr>
    <w:rPr>
      <w:sz w:val="24"/>
      <w:lang w:eastAsia="en-US"/>
    </w:rPr>
  </w:style>
  <w:style w:type="paragraph" w:styleId="Nagwek1">
    <w:name w:val="heading 1"/>
    <w:basedOn w:val="Normalny"/>
    <w:next w:val="Text1"/>
    <w:qFormat/>
    <w:pPr>
      <w:keepNext/>
      <w:numPr>
        <w:numId w:val="3"/>
      </w:numPr>
      <w:spacing w:before="240"/>
      <w:outlineLvl w:val="0"/>
    </w:pPr>
    <w:rPr>
      <w:b/>
      <w:smallCaps/>
    </w:rPr>
  </w:style>
  <w:style w:type="paragraph" w:styleId="Nagwek2">
    <w:name w:val="heading 2"/>
    <w:basedOn w:val="Normalny"/>
    <w:next w:val="Text2"/>
    <w:link w:val="Nagwek2Znak"/>
    <w:uiPriority w:val="9"/>
    <w:qFormat/>
    <w:pPr>
      <w:keepNext/>
      <w:numPr>
        <w:ilvl w:val="1"/>
        <w:numId w:val="3"/>
      </w:numPr>
      <w:outlineLvl w:val="1"/>
    </w:pPr>
    <w:rPr>
      <w:b/>
    </w:rPr>
  </w:style>
  <w:style w:type="paragraph" w:styleId="Nagwek3">
    <w:name w:val="heading 3"/>
    <w:basedOn w:val="Normalny"/>
    <w:next w:val="Text3"/>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qFormat/>
    <w:pPr>
      <w:spacing w:before="240" w:after="60"/>
      <w:ind w:left="3332" w:hanging="708"/>
      <w:outlineLvl w:val="4"/>
    </w:pPr>
    <w:rPr>
      <w:rFonts w:ascii="Arial" w:hAnsi="Arial"/>
      <w:sz w:val="22"/>
    </w:rPr>
  </w:style>
  <w:style w:type="paragraph" w:styleId="Nagwek6">
    <w:name w:val="heading 6"/>
    <w:basedOn w:val="Normalny"/>
    <w:next w:val="Normalny"/>
    <w:qFormat/>
    <w:pPr>
      <w:spacing w:before="240" w:after="60"/>
      <w:ind w:left="4040" w:hanging="708"/>
      <w:outlineLvl w:val="5"/>
    </w:pPr>
    <w:rPr>
      <w:rFonts w:ascii="Arial" w:hAnsi="Arial"/>
      <w:i/>
      <w:sz w:val="22"/>
    </w:rPr>
  </w:style>
  <w:style w:type="paragraph" w:styleId="Nagwek7">
    <w:name w:val="heading 7"/>
    <w:basedOn w:val="Normalny"/>
    <w:next w:val="Normalny"/>
    <w:qFormat/>
    <w:pPr>
      <w:spacing w:before="240" w:after="60"/>
      <w:ind w:left="4748" w:hanging="708"/>
      <w:outlineLvl w:val="6"/>
    </w:pPr>
    <w:rPr>
      <w:rFonts w:ascii="Arial" w:hAnsi="Arial"/>
      <w:sz w:val="20"/>
    </w:rPr>
  </w:style>
  <w:style w:type="paragraph" w:styleId="Nagwek8">
    <w:name w:val="heading 8"/>
    <w:basedOn w:val="Normalny"/>
    <w:next w:val="Normalny"/>
    <w:qFormat/>
    <w:pPr>
      <w:spacing w:before="240" w:after="60"/>
      <w:ind w:left="5456" w:hanging="708"/>
      <w:outlineLvl w:val="7"/>
    </w:pPr>
    <w:rPr>
      <w:rFonts w:ascii="Arial" w:hAnsi="Arial"/>
      <w:i/>
      <w:sz w:val="20"/>
    </w:rPr>
  </w:style>
  <w:style w:type="paragraph" w:styleId="Nagwek9">
    <w:name w:val="heading 9"/>
    <w:basedOn w:val="Normalny"/>
    <w:next w:val="Normalny"/>
    <w:qFormat/>
    <w:pPr>
      <w:spacing w:before="240" w:after="60"/>
      <w:ind w:left="6164" w:hanging="708"/>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link w:val="Text1Char"/>
    <w:pPr>
      <w:ind w:left="482"/>
    </w:pPr>
  </w:style>
  <w:style w:type="paragraph" w:customStyle="1" w:styleId="Text2">
    <w:name w:val="Text 2"/>
    <w:basedOn w:val="Normalny"/>
    <w:pPr>
      <w:tabs>
        <w:tab w:val="left" w:pos="2160"/>
      </w:tabs>
      <w:ind w:left="1077"/>
    </w:pPr>
  </w:style>
  <w:style w:type="paragraph" w:customStyle="1" w:styleId="Text3">
    <w:name w:val="Text 3"/>
    <w:basedOn w:val="Normalny"/>
    <w:pPr>
      <w:tabs>
        <w:tab w:val="left" w:pos="2302"/>
      </w:tabs>
      <w:ind w:left="1916"/>
    </w:pPr>
  </w:style>
  <w:style w:type="paragraph" w:customStyle="1" w:styleId="Text4">
    <w:name w:val="Text 4"/>
    <w:basedOn w:val="Normalny"/>
    <w:pPr>
      <w:ind w:left="2880"/>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qFormat/>
    <w:pPr>
      <w:spacing w:before="120" w:after="120"/>
    </w:pPr>
    <w:rPr>
      <w:b/>
    </w:rPr>
  </w:style>
  <w:style w:type="paragraph" w:styleId="Zwrotpoegnalny">
    <w:name w:val="Closing"/>
    <w:basedOn w:val="Normalny"/>
    <w:next w:val="Podpis"/>
    <w:pPr>
      <w:tabs>
        <w:tab w:val="left" w:pos="5103"/>
      </w:tabs>
      <w:spacing w:before="240"/>
      <w:ind w:left="5103"/>
      <w:jc w:val="left"/>
    </w:pPr>
  </w:style>
  <w:style w:type="paragraph" w:styleId="Podpis">
    <w:name w:val="Signature"/>
    <w:basedOn w:val="Normalny"/>
    <w:next w:val="Contact"/>
    <w:link w:val="PodpisZnak"/>
    <w:uiPriority w:val="99"/>
    <w:pPr>
      <w:tabs>
        <w:tab w:val="left" w:pos="5103"/>
      </w:tabs>
      <w:spacing w:before="1200" w:after="0"/>
      <w:ind w:left="5103"/>
      <w:jc w:val="center"/>
    </w:pPr>
  </w:style>
  <w:style w:type="paragraph" w:customStyle="1" w:styleId="Enclosures">
    <w:name w:val="Enclosures"/>
    <w:basedOn w:val="Normalny"/>
    <w:next w:val="Participants"/>
    <w:pPr>
      <w:keepNext/>
      <w:keepLines/>
      <w:tabs>
        <w:tab w:val="left" w:pos="5670"/>
      </w:tabs>
      <w:spacing w:before="480" w:after="0"/>
      <w:ind w:left="1985" w:hanging="1985"/>
      <w:jc w:val="left"/>
    </w:pPr>
  </w:style>
  <w:style w:type="paragraph" w:customStyle="1" w:styleId="Participants">
    <w:name w:val="Participants"/>
    <w:basedOn w:val="Normalny"/>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ny"/>
    <w:next w:val="Normalny"/>
    <w:pPr>
      <w:tabs>
        <w:tab w:val="left" w:pos="2552"/>
        <w:tab w:val="left" w:pos="2835"/>
        <w:tab w:val="left" w:pos="5670"/>
        <w:tab w:val="left" w:pos="6379"/>
        <w:tab w:val="left" w:pos="6804"/>
      </w:tabs>
      <w:spacing w:before="480" w:after="0"/>
      <w:ind w:left="1985" w:hanging="1985"/>
      <w:jc w:val="left"/>
    </w:pPr>
  </w:style>
  <w:style w:type="paragraph" w:styleId="Tekstkomentarza">
    <w:name w:val="annotation text"/>
    <w:basedOn w:val="Normalny"/>
    <w:semiHidden/>
    <w:rPr>
      <w:sz w:val="20"/>
    </w:rPr>
  </w:style>
  <w:style w:type="paragraph" w:styleId="Data">
    <w:name w:val="Date"/>
    <w:basedOn w:val="Normalny"/>
    <w:next w:val="References"/>
    <w:link w:val="DataZnak"/>
    <w:uiPriority w:val="99"/>
    <w:pPr>
      <w:spacing w:after="0"/>
      <w:ind w:left="5103" w:right="-567"/>
      <w:jc w:val="left"/>
    </w:pPr>
  </w:style>
  <w:style w:type="paragraph" w:customStyle="1" w:styleId="References">
    <w:name w:val="References"/>
    <w:basedOn w:val="Normalny"/>
    <w:next w:val="AddressTR"/>
    <w:uiPriority w:val="99"/>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Contact"/>
    <w:pPr>
      <w:tabs>
        <w:tab w:val="left" w:pos="5103"/>
      </w:tabs>
      <w:spacing w:before="1200" w:after="0"/>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rPr>
  </w:style>
  <w:style w:type="paragraph" w:styleId="Tekstprzypisudolnego">
    <w:name w:val="footnote text"/>
    <w:basedOn w:val="Normalny"/>
    <w:link w:val="TekstprzypisudolnegoZnak"/>
    <w:semiHidden/>
    <w:pPr>
      <w:ind w:left="357" w:hanging="357"/>
    </w:pPr>
    <w:rPr>
      <w:sz w:val="20"/>
    </w:rPr>
  </w:style>
  <w:style w:type="paragraph" w:styleId="Nagwek">
    <w:name w:val="header"/>
    <w:basedOn w:val="Normalny"/>
    <w:link w:val="NagwekZnak"/>
    <w:uiPriority w:val="99"/>
    <w:pPr>
      <w:tabs>
        <w:tab w:val="center" w:pos="4153"/>
        <w:tab w:val="right" w:pos="8306"/>
      </w:tabs>
    </w:p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160"/>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160"/>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pPr>
      <w:ind w:left="720"/>
    </w:p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tytu">
    <w:name w:val="Subtitle"/>
    <w:basedOn w:val="Normalny"/>
    <w:qFormat/>
    <w:pPr>
      <w:spacing w:after="60"/>
      <w:jc w:val="center"/>
      <w:outlineLvl w:val="1"/>
    </w:pPr>
    <w:rPr>
      <w:rFonts w:ascii="Arial" w:hAnsi="Arial"/>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qFormat/>
    <w:pPr>
      <w:spacing w:before="240" w:after="60"/>
      <w:jc w:val="center"/>
      <w:outlineLvl w:val="0"/>
    </w:pPr>
    <w:rPr>
      <w:rFonts w:ascii="Arial" w:hAnsi="Arial"/>
      <w:b/>
      <w:kern w:val="28"/>
      <w:sz w:val="32"/>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Nagwekspisutreci">
    <w:name w:val="TOC Heading"/>
    <w:basedOn w:val="Normalny"/>
    <w:next w:val="Normalny"/>
    <w:qFormat/>
    <w:pPr>
      <w:keepNext/>
      <w:spacing w:before="240"/>
      <w:jc w:val="center"/>
    </w:pPr>
    <w:rPr>
      <w:b/>
    </w:rPr>
  </w:style>
  <w:style w:type="paragraph" w:customStyle="1" w:styleId="Contact">
    <w:name w:val="Contact"/>
    <w:basedOn w:val="Normalny"/>
    <w:next w:val="Enclosures"/>
    <w:uiPriority w:val="99"/>
    <w:pPr>
      <w:spacing w:before="480" w:after="0"/>
      <w:ind w:left="567" w:hanging="567"/>
      <w:jc w:val="left"/>
    </w:pPr>
  </w:style>
  <w:style w:type="paragraph" w:customStyle="1" w:styleId="DisclaimerNotice">
    <w:name w:val="Disclaimer Notice"/>
    <w:basedOn w:val="Normalny"/>
    <w:next w:val="AddressTR"/>
    <w:pPr>
      <w:ind w:left="5103"/>
      <w:jc w:val="left"/>
    </w:pPr>
    <w:rPr>
      <w:i/>
      <w:sz w:val="20"/>
    </w:rPr>
  </w:style>
  <w:style w:type="paragraph" w:customStyle="1" w:styleId="Disclaimer">
    <w:name w:val="Disclaimer"/>
    <w:basedOn w:val="Normalny"/>
    <w:pPr>
      <w:keepLines/>
      <w:pBdr>
        <w:top w:val="single" w:sz="4" w:space="1" w:color="auto"/>
      </w:pBdr>
      <w:spacing w:before="480" w:after="0"/>
    </w:pPr>
    <w:rPr>
      <w:i/>
    </w:rPr>
  </w:style>
  <w:style w:type="character" w:styleId="UyteHipercze">
    <w:name w:val="FollowedHyperlink"/>
    <w:rPr>
      <w:color w:val="800080"/>
      <w:u w:val="single"/>
    </w:rPr>
  </w:style>
  <w:style w:type="paragraph" w:customStyle="1" w:styleId="DisclaimerSJ">
    <w:name w:val="Disclaimer_SJ"/>
    <w:basedOn w:val="Normalny"/>
    <w:next w:val="Normalny"/>
    <w:pPr>
      <w:spacing w:after="0"/>
    </w:pPr>
    <w:rPr>
      <w:rFonts w:ascii="Arial" w:hAnsi="Arial"/>
      <w:b/>
      <w:sz w:val="16"/>
    </w:rPr>
  </w:style>
  <w:style w:type="paragraph" w:customStyle="1" w:styleId="Designator">
    <w:name w:val="Designator"/>
    <w:basedOn w:val="Normalny"/>
    <w:pPr>
      <w:spacing w:after="0"/>
      <w:jc w:val="center"/>
    </w:pPr>
    <w:rPr>
      <w:b/>
      <w:caps/>
      <w:sz w:val="32"/>
    </w:rPr>
  </w:style>
  <w:style w:type="paragraph" w:customStyle="1" w:styleId="Releasable">
    <w:name w:val="Releasable"/>
    <w:basedOn w:val="Normalny"/>
    <w:qFormat/>
    <w:pPr>
      <w:spacing w:after="0"/>
      <w:jc w:val="center"/>
    </w:pPr>
    <w:rPr>
      <w:b/>
      <w:caps/>
      <w:sz w:val="32"/>
      <w:lang w:val="de-DE"/>
    </w:rPr>
  </w:style>
  <w:style w:type="paragraph" w:customStyle="1" w:styleId="RUE">
    <w:name w:val="RUE"/>
    <w:basedOn w:val="Normalny"/>
    <w:pPr>
      <w:spacing w:after="0"/>
      <w:jc w:val="center"/>
    </w:pPr>
    <w:rPr>
      <w:b/>
      <w:caps/>
      <w:sz w:val="32"/>
      <w:bdr w:val="single" w:sz="18" w:space="0" w:color="auto"/>
      <w:lang w:val="de-DE"/>
    </w:rPr>
  </w:style>
  <w:style w:type="paragraph" w:customStyle="1" w:styleId="ConfidentialUE">
    <w:name w:val="Confidential UE"/>
    <w:basedOn w:val="Normalny"/>
    <w:pPr>
      <w:spacing w:after="0"/>
      <w:jc w:val="center"/>
    </w:pPr>
    <w:rPr>
      <w:b/>
      <w:caps/>
      <w:sz w:val="32"/>
      <w:bdr w:val="single" w:sz="18" w:space="0" w:color="auto"/>
    </w:rPr>
  </w:style>
  <w:style w:type="paragraph" w:customStyle="1" w:styleId="TrsSecretUE">
    <w:name w:val="Très Secret UE"/>
    <w:basedOn w:val="Normalny"/>
    <w:pPr>
      <w:spacing w:after="0"/>
      <w:jc w:val="center"/>
    </w:pPr>
    <w:rPr>
      <w:b/>
      <w:caps/>
      <w:color w:val="FF0000"/>
      <w:sz w:val="32"/>
      <w:bdr w:val="single" w:sz="18" w:space="0" w:color="FF0000"/>
    </w:rPr>
  </w:style>
  <w:style w:type="paragraph" w:customStyle="1" w:styleId="SecretUE">
    <w:name w:val="Secret UE"/>
    <w:basedOn w:val="Normalny"/>
    <w:pPr>
      <w:spacing w:after="0"/>
      <w:jc w:val="center"/>
    </w:pPr>
    <w:rPr>
      <w:b/>
      <w:caps/>
      <w:color w:val="FF0000"/>
      <w:sz w:val="32"/>
      <w:bdr w:val="single" w:sz="18" w:space="0" w:color="FF0000"/>
    </w:rPr>
  </w:style>
  <w:style w:type="character" w:customStyle="1" w:styleId="StopkaZnak">
    <w:name w:val="Stopka Znak"/>
    <w:basedOn w:val="Domylnaczcionkaakapitu"/>
    <w:link w:val="Stopka"/>
    <w:uiPriority w:val="99"/>
    <w:rsid w:val="00846310"/>
    <w:rPr>
      <w:rFonts w:ascii="Arial" w:hAnsi="Arial"/>
      <w:sz w:val="16"/>
      <w:lang w:eastAsia="en-US"/>
    </w:rPr>
  </w:style>
  <w:style w:type="character" w:customStyle="1" w:styleId="DataZnak">
    <w:name w:val="Data Znak"/>
    <w:basedOn w:val="Domylnaczcionkaakapitu"/>
    <w:link w:val="Data"/>
    <w:uiPriority w:val="99"/>
    <w:rsid w:val="00846310"/>
    <w:rPr>
      <w:sz w:val="24"/>
      <w:lang w:eastAsia="en-US"/>
    </w:rPr>
  </w:style>
  <w:style w:type="character" w:customStyle="1" w:styleId="PodpisZnak">
    <w:name w:val="Podpis Znak"/>
    <w:basedOn w:val="Domylnaczcionkaakapitu"/>
    <w:link w:val="Podpis"/>
    <w:uiPriority w:val="99"/>
    <w:rsid w:val="00846310"/>
    <w:rPr>
      <w:sz w:val="24"/>
      <w:lang w:eastAsia="en-US"/>
    </w:rPr>
  </w:style>
  <w:style w:type="paragraph" w:customStyle="1" w:styleId="ZCom">
    <w:name w:val="Z_Com"/>
    <w:basedOn w:val="Normalny"/>
    <w:next w:val="ZDGName"/>
    <w:uiPriority w:val="99"/>
    <w:rsid w:val="00846310"/>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ny"/>
    <w:uiPriority w:val="99"/>
    <w:rsid w:val="00846310"/>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NagwekZnak">
    <w:name w:val="Nagłówek Znak"/>
    <w:basedOn w:val="Domylnaczcionkaakapitu"/>
    <w:link w:val="Nagwek"/>
    <w:uiPriority w:val="99"/>
    <w:rsid w:val="00846310"/>
    <w:rPr>
      <w:sz w:val="24"/>
      <w:lang w:eastAsia="en-US"/>
    </w:rPr>
  </w:style>
  <w:style w:type="character" w:styleId="Odwoanieprzypisudolnego">
    <w:name w:val="footnote reference"/>
    <w:aliases w:val="Footnote symbol,Footnote,BVI fnr,(Footnote Reference)"/>
    <w:semiHidden/>
    <w:rsid w:val="00846310"/>
    <w:rPr>
      <w:b/>
      <w:vertAlign w:val="superscript"/>
    </w:rPr>
  </w:style>
  <w:style w:type="character" w:customStyle="1" w:styleId="TekstprzypisudolnegoZnak">
    <w:name w:val="Tekst przypisu dolnego Znak"/>
    <w:link w:val="Tekstprzypisudolnego"/>
    <w:semiHidden/>
    <w:rsid w:val="00846310"/>
    <w:rPr>
      <w:lang w:eastAsia="en-US"/>
    </w:rPr>
  </w:style>
  <w:style w:type="paragraph" w:styleId="Akapitzlist">
    <w:name w:val="List Paragraph"/>
    <w:basedOn w:val="Normalny"/>
    <w:uiPriority w:val="34"/>
    <w:qFormat/>
    <w:rsid w:val="00846310"/>
    <w:pPr>
      <w:spacing w:after="0"/>
      <w:ind w:left="720"/>
      <w:jc w:val="left"/>
    </w:pPr>
    <w:rPr>
      <w:rFonts w:ascii="Calibri" w:hAnsi="Calibri"/>
      <w:sz w:val="22"/>
      <w:szCs w:val="22"/>
    </w:rPr>
  </w:style>
  <w:style w:type="table" w:styleId="Tabela-Siatka">
    <w:name w:val="Table Grid"/>
    <w:basedOn w:val="Standardowy"/>
    <w:uiPriority w:val="59"/>
    <w:rsid w:val="0084631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Char">
    <w:name w:val="Text 1 Char"/>
    <w:link w:val="Text1"/>
    <w:locked/>
    <w:rsid w:val="00846310"/>
    <w:rPr>
      <w:sz w:val="24"/>
      <w:lang w:eastAsia="en-US"/>
    </w:rPr>
  </w:style>
  <w:style w:type="character" w:customStyle="1" w:styleId="Nagwek2Znak">
    <w:name w:val="Nagłówek 2 Znak"/>
    <w:link w:val="Nagwek2"/>
    <w:uiPriority w:val="9"/>
    <w:rsid w:val="00846310"/>
    <w:rPr>
      <w:b/>
      <w:sz w:val="24"/>
      <w:lang w:eastAsia="en-US"/>
    </w:rPr>
  </w:style>
  <w:style w:type="paragraph" w:styleId="Tekstdymka">
    <w:name w:val="Balloon Text"/>
    <w:basedOn w:val="Normalny"/>
    <w:link w:val="TekstdymkaZnak"/>
    <w:uiPriority w:val="99"/>
    <w:semiHidden/>
    <w:unhideWhenUsed/>
    <w:rsid w:val="00B24E82"/>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B24E8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Template>
  <TotalTime>1</TotalTime>
  <Pages>9</Pages>
  <Words>2046</Words>
  <Characters>12278</Characters>
  <Application>Microsoft Office Word</Application>
  <DocSecurity>0</DocSecurity>
  <PresentationFormat>Microsoft Word 14.0</PresentationFormat>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Hardy</dc:creator>
  <cp:keywords>EL4</cp:keywords>
  <cp:lastModifiedBy>Cieślak-Kondraszuk Monika</cp:lastModifiedBy>
  <cp:revision>3</cp:revision>
  <dcterms:created xsi:type="dcterms:W3CDTF">2014-02-04T09:31:00Z</dcterms:created>
  <dcterms:modified xsi:type="dcterms:W3CDTF">2014-03-26T13:31:00Z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19516</vt:lpwstr>
  </property>
  <property fmtid="{D5CDD505-2E9C-101B-9397-08002B2CF9AE}" pid="9" name="EL_Author">
    <vt:lpwstr>Stephanie Hardy</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_NewReviewCycle">
    <vt:lpwstr/>
  </property>
</Properties>
</file>