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90C" w:rsidRPr="00890489" w:rsidRDefault="00FC790C" w:rsidP="00FC790C">
      <w:pPr>
        <w:jc w:val="right"/>
        <w:rPr>
          <w:rFonts w:asciiTheme="minorHAnsi" w:hAnsiTheme="minorHAnsi" w:cstheme="minorHAnsi"/>
        </w:rPr>
      </w:pPr>
      <w:r w:rsidRPr="00890489">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A366DFA" wp14:editId="5525D74D">
                <wp:simplePos x="0" y="0"/>
                <wp:positionH relativeFrom="margin">
                  <wp:posOffset>59082</wp:posOffset>
                </wp:positionH>
                <wp:positionV relativeFrom="margin">
                  <wp:posOffset>-246049</wp:posOffset>
                </wp:positionV>
                <wp:extent cx="2343150" cy="8763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763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90C" w:rsidRPr="005C626A" w:rsidRDefault="00FC790C" w:rsidP="00FC790C">
                            <w:pPr>
                              <w:autoSpaceDE w:val="0"/>
                              <w:autoSpaceDN w:val="0"/>
                              <w:adjustRightInd w:val="0"/>
                              <w:jc w:val="center"/>
                              <w:rPr>
                                <w:b/>
                                <w:bCs/>
                                <w:color w:val="000000"/>
                              </w:rPr>
                            </w:pPr>
                            <w:r>
                              <w:rPr>
                                <w:noProof/>
                              </w:rPr>
                              <w:drawing>
                                <wp:inline distT="0" distB="0" distL="0" distR="0" wp14:anchorId="4AD00199" wp14:editId="28DA2ACB">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FC790C" w:rsidRPr="001E7504" w:rsidRDefault="00FC790C" w:rsidP="00FC790C">
                            <w:pPr>
                              <w:autoSpaceDE w:val="0"/>
                              <w:autoSpaceDN w:val="0"/>
                              <w:adjustRightInd w:val="0"/>
                              <w:jc w:val="center"/>
                              <w:rPr>
                                <w:rFonts w:ascii="Calibri" w:hAnsi="Calibri"/>
                                <w:b/>
                                <w:color w:val="000000"/>
                              </w:rPr>
                            </w:pPr>
                            <w:r w:rsidRPr="001E7504">
                              <w:rPr>
                                <w:rFonts w:ascii="Calibri" w:hAnsi="Calibri"/>
                                <w:b/>
                                <w:color w:val="000000"/>
                              </w:rPr>
                              <w:t>WOJEWODA MAZOWIECKI</w:t>
                            </w:r>
                          </w:p>
                          <w:p w:rsidR="00FC790C" w:rsidRDefault="00FC790C" w:rsidP="00FC790C">
                            <w:pPr>
                              <w:autoSpaceDE w:val="0"/>
                              <w:autoSpaceDN w:val="0"/>
                              <w:adjustRightInd w:val="0"/>
                              <w:jc w:val="center"/>
                              <w:rPr>
                                <w:b/>
                                <w:color w:val="000000"/>
                              </w:rPr>
                            </w:pPr>
                          </w:p>
                          <w:p w:rsidR="00FC790C" w:rsidRDefault="00FC790C" w:rsidP="00FC790C">
                            <w:pPr>
                              <w:autoSpaceDE w:val="0"/>
                              <w:autoSpaceDN w:val="0"/>
                              <w:adjustRightInd w:val="0"/>
                              <w:jc w:val="center"/>
                              <w:rPr>
                                <w:b/>
                                <w:color w:val="000000"/>
                              </w:rPr>
                            </w:pPr>
                          </w:p>
                          <w:p w:rsidR="00FC790C" w:rsidRDefault="00FC790C" w:rsidP="00FC790C">
                            <w:pPr>
                              <w:autoSpaceDE w:val="0"/>
                              <w:autoSpaceDN w:val="0"/>
                              <w:adjustRightInd w:val="0"/>
                              <w:jc w:val="center"/>
                              <w:rPr>
                                <w:b/>
                                <w:color w:val="000000"/>
                              </w:rPr>
                            </w:pPr>
                          </w:p>
                          <w:p w:rsidR="00FC790C" w:rsidRPr="008978E9" w:rsidRDefault="00FC790C" w:rsidP="00FC790C">
                            <w:pPr>
                              <w:autoSpaceDE w:val="0"/>
                              <w:autoSpaceDN w:val="0"/>
                              <w:adjustRightInd w:val="0"/>
                              <w:jc w:val="center"/>
                              <w:rPr>
                                <w:b/>
                                <w:color w:val="000000"/>
                              </w:rPr>
                            </w:pPr>
                          </w:p>
                          <w:p w:rsidR="00FC790C" w:rsidRPr="007D0B8E" w:rsidRDefault="00FC790C" w:rsidP="00FC790C">
                            <w:pPr>
                              <w:autoSpaceDE w:val="0"/>
                              <w:autoSpaceDN w:val="0"/>
                              <w:adjustRightInd w:val="0"/>
                              <w:jc w:val="center"/>
                              <w:rPr>
                                <w:b/>
                                <w:color w:val="000000"/>
                              </w:rPr>
                            </w:pPr>
                          </w:p>
                          <w:p w:rsidR="00FC790C" w:rsidRPr="007D0B8E" w:rsidRDefault="00FC790C" w:rsidP="00FC790C">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66DFA" id="Prostokąt 5" o:spid="_x0000_s1026" style="position:absolute;left:0;text-align:left;margin-left:4.65pt;margin-top:-19.35pt;width:184.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" filled="f" fillcolor="#bbe0e3" stroked="f">
                <v:textbox inset="0,0,0,0">
                  <w:txbxContent>
                    <w:p w:rsidR="00FC790C" w:rsidRPr="005C626A" w:rsidRDefault="00FC790C" w:rsidP="00FC790C">
                      <w:pPr>
                        <w:autoSpaceDE w:val="0"/>
                        <w:autoSpaceDN w:val="0"/>
                        <w:adjustRightInd w:val="0"/>
                        <w:jc w:val="center"/>
                        <w:rPr>
                          <w:b/>
                          <w:bCs/>
                          <w:color w:val="000000"/>
                        </w:rPr>
                      </w:pPr>
                      <w:r>
                        <w:rPr>
                          <w:noProof/>
                        </w:rPr>
                        <w:drawing>
                          <wp:inline distT="0" distB="0" distL="0" distR="0" wp14:anchorId="4AD00199" wp14:editId="28DA2ACB">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FC790C" w:rsidRPr="001E7504" w:rsidRDefault="00FC790C" w:rsidP="00FC790C">
                      <w:pPr>
                        <w:autoSpaceDE w:val="0"/>
                        <w:autoSpaceDN w:val="0"/>
                        <w:adjustRightInd w:val="0"/>
                        <w:jc w:val="center"/>
                        <w:rPr>
                          <w:rFonts w:ascii="Calibri" w:hAnsi="Calibri"/>
                          <w:b/>
                          <w:color w:val="000000"/>
                        </w:rPr>
                      </w:pPr>
                      <w:r w:rsidRPr="001E7504">
                        <w:rPr>
                          <w:rFonts w:ascii="Calibri" w:hAnsi="Calibri"/>
                          <w:b/>
                          <w:color w:val="000000"/>
                        </w:rPr>
                        <w:t>WOJEWODA MAZOWIECKI</w:t>
                      </w:r>
                    </w:p>
                    <w:p w:rsidR="00FC790C" w:rsidRDefault="00FC790C" w:rsidP="00FC790C">
                      <w:pPr>
                        <w:autoSpaceDE w:val="0"/>
                        <w:autoSpaceDN w:val="0"/>
                        <w:adjustRightInd w:val="0"/>
                        <w:jc w:val="center"/>
                        <w:rPr>
                          <w:b/>
                          <w:color w:val="000000"/>
                        </w:rPr>
                      </w:pPr>
                    </w:p>
                    <w:p w:rsidR="00FC790C" w:rsidRDefault="00FC790C" w:rsidP="00FC790C">
                      <w:pPr>
                        <w:autoSpaceDE w:val="0"/>
                        <w:autoSpaceDN w:val="0"/>
                        <w:adjustRightInd w:val="0"/>
                        <w:jc w:val="center"/>
                        <w:rPr>
                          <w:b/>
                          <w:color w:val="000000"/>
                        </w:rPr>
                      </w:pPr>
                    </w:p>
                    <w:p w:rsidR="00FC790C" w:rsidRDefault="00FC790C" w:rsidP="00FC790C">
                      <w:pPr>
                        <w:autoSpaceDE w:val="0"/>
                        <w:autoSpaceDN w:val="0"/>
                        <w:adjustRightInd w:val="0"/>
                        <w:jc w:val="center"/>
                        <w:rPr>
                          <w:b/>
                          <w:color w:val="000000"/>
                        </w:rPr>
                      </w:pPr>
                    </w:p>
                    <w:p w:rsidR="00FC790C" w:rsidRPr="008978E9" w:rsidRDefault="00FC790C" w:rsidP="00FC790C">
                      <w:pPr>
                        <w:autoSpaceDE w:val="0"/>
                        <w:autoSpaceDN w:val="0"/>
                        <w:adjustRightInd w:val="0"/>
                        <w:jc w:val="center"/>
                        <w:rPr>
                          <w:b/>
                          <w:color w:val="000000"/>
                        </w:rPr>
                      </w:pPr>
                    </w:p>
                    <w:p w:rsidR="00FC790C" w:rsidRPr="007D0B8E" w:rsidRDefault="00FC790C" w:rsidP="00FC790C">
                      <w:pPr>
                        <w:autoSpaceDE w:val="0"/>
                        <w:autoSpaceDN w:val="0"/>
                        <w:adjustRightInd w:val="0"/>
                        <w:jc w:val="center"/>
                        <w:rPr>
                          <w:b/>
                          <w:color w:val="000000"/>
                        </w:rPr>
                      </w:pPr>
                    </w:p>
                    <w:p w:rsidR="00FC790C" w:rsidRPr="007D0B8E" w:rsidRDefault="00FC790C" w:rsidP="00FC790C">
                      <w:pPr>
                        <w:autoSpaceDE w:val="0"/>
                        <w:autoSpaceDN w:val="0"/>
                        <w:adjustRightInd w:val="0"/>
                        <w:jc w:val="center"/>
                        <w:rPr>
                          <w:b/>
                          <w:color w:val="000000"/>
                        </w:rPr>
                      </w:pPr>
                    </w:p>
                  </w:txbxContent>
                </v:textbox>
                <w10:wrap anchorx="margin" anchory="margin"/>
              </v:rect>
            </w:pict>
          </mc:Fallback>
        </mc:AlternateContent>
      </w:r>
      <w:r w:rsidRPr="00890489">
        <w:rPr>
          <w:rFonts w:asciiTheme="minorHAnsi" w:hAnsiTheme="minorHAnsi" w:cstheme="minorHAnsi"/>
        </w:rPr>
        <w:t xml:space="preserve">Warszawa, </w:t>
      </w:r>
      <w:r w:rsidR="008538D9">
        <w:rPr>
          <w:rFonts w:asciiTheme="minorHAnsi" w:hAnsiTheme="minorHAnsi" w:cstheme="minorHAnsi"/>
        </w:rPr>
        <w:t>3 sierpnia</w:t>
      </w:r>
      <w:r w:rsidRPr="00890489">
        <w:rPr>
          <w:rFonts w:asciiTheme="minorHAnsi" w:hAnsiTheme="minorHAnsi" w:cstheme="minorHAnsi"/>
        </w:rPr>
        <w:t xml:space="preserve"> 2020 r. </w:t>
      </w:r>
    </w:p>
    <w:p w:rsidR="00FC790C" w:rsidRDefault="00FC790C" w:rsidP="00FC790C"/>
    <w:p w:rsidR="00FC790C" w:rsidRDefault="00FC790C" w:rsidP="00FC790C"/>
    <w:p w:rsidR="00FC790C" w:rsidRDefault="00FC790C" w:rsidP="00FC790C"/>
    <w:p w:rsidR="00FC790C" w:rsidRPr="00890489" w:rsidRDefault="00FC790C" w:rsidP="00FB2077">
      <w:pPr>
        <w:spacing w:line="300" w:lineRule="exact"/>
        <w:rPr>
          <w:rFonts w:asciiTheme="minorHAnsi" w:hAnsiTheme="minorHAnsi" w:cstheme="minorHAnsi"/>
        </w:rPr>
      </w:pPr>
      <w:r>
        <w:rPr>
          <w:rFonts w:asciiTheme="minorHAnsi" w:hAnsiTheme="minorHAnsi" w:cstheme="minorHAnsi"/>
        </w:rPr>
        <w:t xml:space="preserve">        </w:t>
      </w:r>
      <w:r w:rsidRPr="00890489">
        <w:rPr>
          <w:rFonts w:asciiTheme="minorHAnsi" w:hAnsiTheme="minorHAnsi" w:cstheme="minorHAnsi"/>
        </w:rPr>
        <w:t xml:space="preserve">    </w:t>
      </w:r>
      <w:bookmarkStart w:id="0" w:name="_GoBack"/>
      <w:r w:rsidRPr="00890489">
        <w:rPr>
          <w:rFonts w:asciiTheme="minorHAnsi" w:hAnsiTheme="minorHAnsi" w:cstheme="minorHAnsi"/>
        </w:rPr>
        <w:t>WNP-I.4131.</w:t>
      </w:r>
      <w:r>
        <w:rPr>
          <w:rFonts w:asciiTheme="minorHAnsi" w:hAnsiTheme="minorHAnsi" w:cstheme="minorHAnsi"/>
        </w:rPr>
        <w:t>124</w:t>
      </w:r>
      <w:r w:rsidRPr="00890489">
        <w:rPr>
          <w:rFonts w:asciiTheme="minorHAnsi" w:hAnsiTheme="minorHAnsi" w:cstheme="minorHAnsi"/>
        </w:rPr>
        <w:t>.2020.AJS</w:t>
      </w:r>
      <w:bookmarkEnd w:id="0"/>
    </w:p>
    <w:p w:rsidR="00FC790C" w:rsidRPr="00B9461B" w:rsidRDefault="00FC790C" w:rsidP="00FB2077">
      <w:pPr>
        <w:spacing w:line="300" w:lineRule="exact"/>
      </w:pPr>
    </w:p>
    <w:p w:rsidR="00FC790C" w:rsidRPr="00890489" w:rsidRDefault="00FC790C" w:rsidP="00FB2077">
      <w:pPr>
        <w:suppressAutoHyphens/>
        <w:spacing w:line="300" w:lineRule="exact"/>
        <w:ind w:left="4680"/>
        <w:rPr>
          <w:rFonts w:asciiTheme="minorHAnsi" w:hAnsiTheme="minorHAnsi" w:cstheme="minorHAnsi"/>
          <w:b/>
          <w:lang w:eastAsia="ar-SA"/>
        </w:rPr>
      </w:pPr>
      <w:r w:rsidRPr="00890489">
        <w:rPr>
          <w:rFonts w:asciiTheme="minorHAnsi" w:hAnsiTheme="minorHAnsi" w:cstheme="minorHAnsi"/>
          <w:b/>
          <w:lang w:eastAsia="ar-SA"/>
        </w:rPr>
        <w:t>Rada Miasta Pruszkowa</w:t>
      </w:r>
    </w:p>
    <w:p w:rsidR="00FC790C" w:rsidRPr="00890489" w:rsidRDefault="00FC790C" w:rsidP="003F77DD">
      <w:pPr>
        <w:suppressAutoHyphens/>
        <w:spacing w:line="300" w:lineRule="exact"/>
        <w:ind w:left="4680"/>
        <w:rPr>
          <w:rFonts w:asciiTheme="minorHAnsi" w:hAnsiTheme="minorHAnsi" w:cstheme="minorHAnsi"/>
          <w:b/>
        </w:rPr>
      </w:pPr>
      <w:r w:rsidRPr="00890489">
        <w:rPr>
          <w:rFonts w:asciiTheme="minorHAnsi" w:hAnsiTheme="minorHAnsi" w:cstheme="minorHAnsi"/>
          <w:b/>
        </w:rPr>
        <w:t>ul. Józefa Ignacego Kraszewskiego 14/16</w:t>
      </w:r>
    </w:p>
    <w:p w:rsidR="00FC790C" w:rsidRPr="00890489" w:rsidRDefault="00FC790C" w:rsidP="003F77DD">
      <w:pPr>
        <w:suppressAutoHyphens/>
        <w:spacing w:line="300" w:lineRule="exact"/>
        <w:ind w:left="4680"/>
        <w:rPr>
          <w:rFonts w:asciiTheme="minorHAnsi" w:hAnsiTheme="minorHAnsi" w:cstheme="minorHAnsi"/>
          <w:b/>
          <w:lang w:eastAsia="ar-SA"/>
        </w:rPr>
      </w:pPr>
      <w:r w:rsidRPr="00890489">
        <w:rPr>
          <w:rFonts w:asciiTheme="minorHAnsi" w:hAnsiTheme="minorHAnsi" w:cstheme="minorHAnsi"/>
          <w:b/>
        </w:rPr>
        <w:t>05-800 Pruszków</w:t>
      </w:r>
    </w:p>
    <w:p w:rsidR="00FC790C" w:rsidRPr="00890489" w:rsidRDefault="00FC790C" w:rsidP="003F77DD">
      <w:pPr>
        <w:spacing w:line="300" w:lineRule="exact"/>
        <w:rPr>
          <w:rFonts w:asciiTheme="minorHAnsi" w:hAnsiTheme="minorHAnsi" w:cstheme="minorHAnsi"/>
        </w:rPr>
      </w:pPr>
    </w:p>
    <w:p w:rsidR="00FC790C" w:rsidRPr="00890489" w:rsidRDefault="00FC790C" w:rsidP="003F77DD">
      <w:pPr>
        <w:spacing w:line="300" w:lineRule="exact"/>
        <w:jc w:val="center"/>
        <w:rPr>
          <w:rFonts w:asciiTheme="minorHAnsi" w:hAnsiTheme="minorHAnsi" w:cstheme="minorHAnsi"/>
          <w:b/>
          <w:bCs/>
        </w:rPr>
      </w:pPr>
    </w:p>
    <w:p w:rsidR="00FC790C" w:rsidRPr="00C35BD9" w:rsidRDefault="00FC790C" w:rsidP="003F77DD">
      <w:pPr>
        <w:spacing w:line="300" w:lineRule="exact"/>
        <w:jc w:val="center"/>
        <w:rPr>
          <w:rFonts w:ascii="Calibri" w:hAnsi="Calibri" w:cstheme="minorHAnsi"/>
          <w:b/>
          <w:bCs/>
        </w:rPr>
      </w:pPr>
      <w:r w:rsidRPr="00C35BD9">
        <w:rPr>
          <w:rFonts w:ascii="Calibri" w:hAnsi="Calibri" w:cstheme="minorHAnsi"/>
          <w:b/>
          <w:bCs/>
        </w:rPr>
        <w:t>Rozstrzygnięcie  nadzorcze</w:t>
      </w:r>
    </w:p>
    <w:p w:rsidR="00FC790C" w:rsidRPr="00C35BD9" w:rsidRDefault="00FC790C" w:rsidP="003F77DD">
      <w:pPr>
        <w:spacing w:line="300" w:lineRule="exact"/>
        <w:jc w:val="center"/>
        <w:rPr>
          <w:rFonts w:ascii="Calibri" w:hAnsi="Calibri" w:cstheme="minorHAnsi"/>
          <w:b/>
          <w:bCs/>
        </w:rPr>
      </w:pPr>
    </w:p>
    <w:p w:rsidR="00FC790C" w:rsidRPr="00C35BD9" w:rsidRDefault="00FC790C" w:rsidP="003F77DD">
      <w:pPr>
        <w:pStyle w:val="Tekstpodstawowy"/>
        <w:spacing w:line="300" w:lineRule="exact"/>
        <w:ind w:right="-1" w:firstLine="708"/>
        <w:rPr>
          <w:rFonts w:ascii="Calibri" w:hAnsi="Calibri" w:cstheme="minorHAnsi"/>
          <w:sz w:val="24"/>
        </w:rPr>
      </w:pPr>
      <w:r w:rsidRPr="00C35BD9">
        <w:rPr>
          <w:rFonts w:ascii="Calibri" w:hAnsi="Calibri" w:cstheme="minorHAnsi"/>
          <w:sz w:val="24"/>
        </w:rPr>
        <w:t xml:space="preserve">Na podstawie art. 91 ust. 1 ustawy z dnia 8 marca 1990 r. o samorządzie gminnym </w:t>
      </w:r>
      <w:r w:rsidRPr="00C35BD9">
        <w:rPr>
          <w:rFonts w:ascii="Calibri" w:hAnsi="Calibri" w:cstheme="minorHAnsi"/>
          <w:sz w:val="24"/>
        </w:rPr>
        <w:br/>
        <w:t>(Dz. U. z 2020 r. poz. 713)</w:t>
      </w:r>
    </w:p>
    <w:p w:rsidR="00FC790C" w:rsidRPr="00C35BD9" w:rsidRDefault="00FC790C" w:rsidP="003F77DD">
      <w:pPr>
        <w:pStyle w:val="Tekstpodstawowy"/>
        <w:spacing w:line="300" w:lineRule="exact"/>
        <w:jc w:val="center"/>
        <w:rPr>
          <w:rFonts w:ascii="Calibri" w:hAnsi="Calibri" w:cstheme="minorHAnsi"/>
          <w:b/>
          <w:bCs/>
          <w:sz w:val="24"/>
        </w:rPr>
      </w:pPr>
      <w:r w:rsidRPr="00C35BD9">
        <w:rPr>
          <w:rFonts w:ascii="Calibri" w:hAnsi="Calibri" w:cstheme="minorHAnsi"/>
          <w:b/>
          <w:bCs/>
          <w:sz w:val="24"/>
        </w:rPr>
        <w:t>stwierdzam nieważność</w:t>
      </w:r>
    </w:p>
    <w:p w:rsidR="00FC790C" w:rsidRPr="006026D9" w:rsidRDefault="00FC790C" w:rsidP="003F77DD">
      <w:pPr>
        <w:spacing w:line="300" w:lineRule="exact"/>
        <w:jc w:val="both"/>
        <w:rPr>
          <w:rFonts w:asciiTheme="minorHAnsi" w:hAnsiTheme="minorHAnsi" w:cstheme="minorHAnsi"/>
        </w:rPr>
      </w:pPr>
      <w:r w:rsidRPr="006026D9">
        <w:rPr>
          <w:rFonts w:asciiTheme="minorHAnsi" w:hAnsiTheme="minorHAnsi"/>
        </w:rPr>
        <w:t xml:space="preserve">załącznika Nr 1 do uchwały Rady Miasta Pruszkowa z 25 czerwca 2020 r. </w:t>
      </w:r>
      <w:r w:rsidRPr="006026D9">
        <w:rPr>
          <w:rFonts w:asciiTheme="minorHAnsi" w:hAnsiTheme="minorHAnsi" w:cstheme="minorHAnsi"/>
        </w:rPr>
        <w:t>Nr XXV.262.2020</w:t>
      </w:r>
      <w:r w:rsidRPr="006026D9">
        <w:rPr>
          <w:rFonts w:asciiTheme="minorHAnsi" w:hAnsiTheme="minorHAnsi" w:cstheme="minorHAnsi"/>
          <w:i/>
        </w:rPr>
        <w:t xml:space="preserve"> </w:t>
      </w:r>
      <w:r w:rsidR="00C35BD9" w:rsidRPr="006026D9">
        <w:rPr>
          <w:rFonts w:asciiTheme="minorHAnsi" w:hAnsiTheme="minorHAnsi" w:cstheme="minorHAnsi"/>
          <w:i/>
        </w:rPr>
        <w:br/>
      </w:r>
      <w:r w:rsidRPr="006026D9">
        <w:rPr>
          <w:rFonts w:asciiTheme="minorHAnsi" w:hAnsiTheme="minorHAnsi" w:cstheme="minorHAnsi"/>
          <w:i/>
        </w:rPr>
        <w:t>w sprawie Regulaminu utrzymania czystości i porządku na terenie Miasta Pruszkowa</w:t>
      </w:r>
      <w:r w:rsidRPr="006026D9">
        <w:rPr>
          <w:rFonts w:asciiTheme="minorHAnsi" w:hAnsiTheme="minorHAnsi" w:cstheme="minorHAnsi"/>
        </w:rPr>
        <w:t xml:space="preserve"> </w:t>
      </w:r>
      <w:r w:rsidR="00C35BD9" w:rsidRPr="006026D9">
        <w:rPr>
          <w:rFonts w:asciiTheme="minorHAnsi" w:hAnsiTheme="minorHAnsi" w:cstheme="minorHAnsi"/>
        </w:rPr>
        <w:br/>
      </w:r>
      <w:r w:rsidRPr="006026D9">
        <w:rPr>
          <w:rFonts w:asciiTheme="minorHAnsi" w:hAnsiTheme="minorHAnsi" w:cstheme="minorHAnsi"/>
        </w:rPr>
        <w:t xml:space="preserve">w zakresie § 7 pkt 3 zdanie wstępne w odniesieniu do sformułowania </w:t>
      </w:r>
      <w:r w:rsidRPr="006026D9">
        <w:rPr>
          <w:rFonts w:asciiTheme="minorHAnsi" w:hAnsiTheme="minorHAnsi" w:cstheme="minorHAnsi"/>
          <w:i/>
        </w:rPr>
        <w:t>„(pojemniki o innych pojemnościach wymagają uzgodnienia z operatorem systemu)”</w:t>
      </w:r>
      <w:r w:rsidRPr="006026D9">
        <w:rPr>
          <w:rFonts w:asciiTheme="minorHAnsi" w:hAnsiTheme="minorHAnsi" w:cstheme="minorHAnsi"/>
        </w:rPr>
        <w:t xml:space="preserve">, § 13 ust. 1 pkt 1 lit. b-d oraz pkt 2 lit. b w odniesieniu do bezwarunkowego wymogu prowadzenia psów na smyczy </w:t>
      </w:r>
      <w:r w:rsidR="00C35BD9" w:rsidRPr="006026D9">
        <w:rPr>
          <w:rFonts w:asciiTheme="minorHAnsi" w:hAnsiTheme="minorHAnsi" w:cstheme="minorHAnsi"/>
        </w:rPr>
        <w:br/>
      </w:r>
      <w:r w:rsidRPr="006026D9">
        <w:rPr>
          <w:rFonts w:asciiTheme="minorHAnsi" w:hAnsiTheme="minorHAnsi" w:cstheme="minorHAnsi"/>
        </w:rPr>
        <w:t xml:space="preserve">i w kagańcu oraz § 15 ust. 2 w odniesieniu do sformułowania </w:t>
      </w:r>
      <w:r w:rsidRPr="006026D9">
        <w:rPr>
          <w:rFonts w:asciiTheme="minorHAnsi" w:hAnsiTheme="minorHAnsi" w:cstheme="minorHAnsi"/>
          <w:i/>
        </w:rPr>
        <w:t>„oraz każdorazowo w przypadku wystąpienia populacji gryzoni na terenie nieruchomości”</w:t>
      </w:r>
      <w:r w:rsidRPr="006026D9">
        <w:rPr>
          <w:rFonts w:asciiTheme="minorHAnsi" w:hAnsiTheme="minorHAnsi" w:cstheme="minorHAnsi"/>
        </w:rPr>
        <w:t>.</w:t>
      </w:r>
    </w:p>
    <w:p w:rsidR="00FC790C" w:rsidRPr="006026D9" w:rsidRDefault="00FC790C" w:rsidP="003F77DD">
      <w:pPr>
        <w:pStyle w:val="Tekstpodstawowy"/>
        <w:spacing w:line="300" w:lineRule="exact"/>
        <w:ind w:right="-1"/>
        <w:rPr>
          <w:rFonts w:asciiTheme="minorHAnsi" w:hAnsiTheme="minorHAnsi" w:cstheme="minorHAnsi"/>
          <w:b/>
          <w:sz w:val="24"/>
        </w:rPr>
      </w:pPr>
    </w:p>
    <w:p w:rsidR="00FC790C" w:rsidRPr="006026D9" w:rsidRDefault="00FC790C" w:rsidP="003F77DD">
      <w:pPr>
        <w:pStyle w:val="Tekstpodstawowy"/>
        <w:spacing w:line="300" w:lineRule="exact"/>
        <w:ind w:right="-1"/>
        <w:jc w:val="center"/>
        <w:rPr>
          <w:rFonts w:asciiTheme="minorHAnsi" w:hAnsiTheme="minorHAnsi" w:cstheme="minorHAnsi"/>
          <w:b/>
          <w:sz w:val="24"/>
        </w:rPr>
      </w:pPr>
      <w:r w:rsidRPr="006026D9">
        <w:rPr>
          <w:rFonts w:asciiTheme="minorHAnsi" w:hAnsiTheme="minorHAnsi" w:cstheme="minorHAnsi"/>
          <w:b/>
          <w:sz w:val="24"/>
        </w:rPr>
        <w:t>Uzasadnienie</w:t>
      </w:r>
    </w:p>
    <w:p w:rsidR="00FC790C" w:rsidRPr="003F77DD" w:rsidRDefault="00FC790C" w:rsidP="003F77DD">
      <w:pPr>
        <w:spacing w:line="300" w:lineRule="exact"/>
        <w:ind w:firstLine="708"/>
        <w:jc w:val="both"/>
        <w:rPr>
          <w:rFonts w:ascii="Calibri" w:hAnsi="Calibri" w:cstheme="minorHAnsi"/>
          <w:i/>
        </w:rPr>
      </w:pPr>
      <w:r w:rsidRPr="003F77DD">
        <w:rPr>
          <w:rFonts w:ascii="Calibri" w:hAnsi="Calibri" w:cstheme="minorHAnsi"/>
        </w:rPr>
        <w:t>Rada Miasta Pruszkowa w dniu 2</w:t>
      </w:r>
      <w:r w:rsidR="00C35BD9" w:rsidRPr="003F77DD">
        <w:rPr>
          <w:rFonts w:ascii="Calibri" w:hAnsi="Calibri" w:cstheme="minorHAnsi"/>
        </w:rPr>
        <w:t>5</w:t>
      </w:r>
      <w:r w:rsidRPr="003F77DD">
        <w:rPr>
          <w:rFonts w:ascii="Calibri" w:hAnsi="Calibri" w:cstheme="minorHAnsi"/>
        </w:rPr>
        <w:t xml:space="preserve"> </w:t>
      </w:r>
      <w:r w:rsidR="00C35BD9" w:rsidRPr="003F77DD">
        <w:rPr>
          <w:rFonts w:ascii="Calibri" w:hAnsi="Calibri" w:cstheme="minorHAnsi"/>
        </w:rPr>
        <w:t>czerwc</w:t>
      </w:r>
      <w:r w:rsidRPr="003F77DD">
        <w:rPr>
          <w:rFonts w:ascii="Calibri" w:hAnsi="Calibri" w:cstheme="minorHAnsi"/>
        </w:rPr>
        <w:t xml:space="preserve">a 2020 r. podjęła uchwałę </w:t>
      </w:r>
      <w:r w:rsidR="00C35BD9" w:rsidRPr="003F77DD">
        <w:rPr>
          <w:rFonts w:ascii="Calibri" w:hAnsi="Calibri" w:cstheme="minorHAnsi"/>
        </w:rPr>
        <w:t>Nr XXV.262.2020</w:t>
      </w:r>
      <w:r w:rsidR="00C35BD9" w:rsidRPr="003F77DD">
        <w:rPr>
          <w:rFonts w:ascii="Calibri" w:hAnsi="Calibri" w:cstheme="minorHAnsi"/>
          <w:i/>
        </w:rPr>
        <w:t xml:space="preserve"> </w:t>
      </w:r>
      <w:r w:rsidR="00C35BD9" w:rsidRPr="003F77DD">
        <w:rPr>
          <w:rFonts w:ascii="Calibri" w:hAnsi="Calibri" w:cstheme="minorHAnsi"/>
          <w:i/>
        </w:rPr>
        <w:br/>
        <w:t>w sprawie Regulaminu utrzymania czystości i porządku na terenie Miasta Pruszkowa</w:t>
      </w:r>
      <w:r w:rsidRPr="003F77DD">
        <w:rPr>
          <w:rFonts w:ascii="Calibri" w:hAnsi="Calibri" w:cstheme="minorHAnsi"/>
          <w:i/>
        </w:rPr>
        <w:t>.</w:t>
      </w:r>
    </w:p>
    <w:p w:rsidR="00FC790C" w:rsidRPr="003F77DD" w:rsidRDefault="00FC790C" w:rsidP="003F77DD">
      <w:pPr>
        <w:spacing w:line="300" w:lineRule="exact"/>
        <w:ind w:firstLine="708"/>
        <w:jc w:val="both"/>
        <w:rPr>
          <w:rFonts w:ascii="Calibri" w:hAnsi="Calibri" w:cstheme="minorHAnsi"/>
        </w:rPr>
      </w:pPr>
      <w:r w:rsidRPr="003F77DD">
        <w:rPr>
          <w:rFonts w:ascii="Calibri" w:hAnsi="Calibri" w:cstheme="minorHAnsi"/>
        </w:rPr>
        <w:t xml:space="preserve">W uchwale wskazano, że podstawę prawną do jej podjęcia stanowią przepisy: </w:t>
      </w:r>
      <w:r w:rsidRPr="003F77DD">
        <w:rPr>
          <w:rFonts w:ascii="Calibri" w:hAnsi="Calibri" w:cstheme="minorHAnsi"/>
        </w:rPr>
        <w:br/>
        <w:t>art. 18 ust. 2 pkt 15</w:t>
      </w:r>
      <w:r w:rsidR="00C35BD9" w:rsidRPr="003F77DD">
        <w:rPr>
          <w:rFonts w:ascii="Calibri" w:hAnsi="Calibri" w:cstheme="minorHAnsi"/>
        </w:rPr>
        <w:t>, art.</w:t>
      </w:r>
      <w:r w:rsidRPr="003F77DD">
        <w:rPr>
          <w:rFonts w:ascii="Calibri" w:hAnsi="Calibri" w:cstheme="minorHAnsi"/>
        </w:rPr>
        <w:t xml:space="preserve"> </w:t>
      </w:r>
      <w:r w:rsidR="00D94149" w:rsidRPr="003F77DD">
        <w:rPr>
          <w:rFonts w:ascii="Calibri" w:hAnsi="Calibri" w:cstheme="minorHAnsi"/>
        </w:rPr>
        <w:t xml:space="preserve">40 ust. 1 </w:t>
      </w:r>
      <w:r w:rsidRPr="003F77DD">
        <w:rPr>
          <w:rFonts w:ascii="Calibri" w:hAnsi="Calibri" w:cstheme="minorHAnsi"/>
        </w:rPr>
        <w:t xml:space="preserve">ustawy </w:t>
      </w:r>
      <w:r w:rsidRPr="003F77DD">
        <w:rPr>
          <w:rFonts w:ascii="Calibri" w:hAnsi="Calibri" w:cstheme="minorHAnsi"/>
          <w:i/>
        </w:rPr>
        <w:t>o samorządzie gminnym</w:t>
      </w:r>
      <w:r w:rsidRPr="003F77DD">
        <w:rPr>
          <w:rFonts w:ascii="Calibri" w:hAnsi="Calibri" w:cstheme="minorHAnsi"/>
        </w:rPr>
        <w:t xml:space="preserve"> oraz </w:t>
      </w:r>
      <w:r w:rsidR="00D94149" w:rsidRPr="003F77DD">
        <w:rPr>
          <w:rFonts w:ascii="Calibri" w:hAnsi="Calibri" w:cstheme="minorHAnsi"/>
        </w:rPr>
        <w:t xml:space="preserve">art. 4 ust. 1, 2 i 2a ustawy z dnia 13 września 1996 r. </w:t>
      </w:r>
      <w:r w:rsidR="00D94149" w:rsidRPr="003F77DD">
        <w:rPr>
          <w:rFonts w:ascii="Calibri" w:hAnsi="Calibri" w:cstheme="minorHAnsi"/>
          <w:i/>
        </w:rPr>
        <w:t>o utrzymaniu czystości i porządku w gminach</w:t>
      </w:r>
      <w:r w:rsidR="00D94149" w:rsidRPr="003F77DD">
        <w:rPr>
          <w:rFonts w:ascii="Calibri" w:hAnsi="Calibri" w:cstheme="minorHAnsi"/>
        </w:rPr>
        <w:t xml:space="preserve"> </w:t>
      </w:r>
      <w:r w:rsidR="00D94149" w:rsidRPr="003F77DD">
        <w:rPr>
          <w:rFonts w:ascii="Calibri" w:hAnsi="Calibri" w:cstheme="minorHAnsi"/>
        </w:rPr>
        <w:br/>
        <w:t>(Dz. U. z 2019 r. poz. 2010, z </w:t>
      </w:r>
      <w:proofErr w:type="spellStart"/>
      <w:r w:rsidR="00D94149" w:rsidRPr="003F77DD">
        <w:rPr>
          <w:rFonts w:ascii="Calibri" w:hAnsi="Calibri" w:cstheme="minorHAnsi"/>
        </w:rPr>
        <w:t>późn</w:t>
      </w:r>
      <w:proofErr w:type="spellEnd"/>
      <w:r w:rsidR="00D94149" w:rsidRPr="003F77DD">
        <w:rPr>
          <w:rFonts w:ascii="Calibri" w:hAnsi="Calibri" w:cstheme="minorHAnsi"/>
        </w:rPr>
        <w:t xml:space="preserve">. zm.), zwanej dalej: </w:t>
      </w:r>
      <w:r w:rsidR="00D94149" w:rsidRPr="003F77DD">
        <w:rPr>
          <w:rFonts w:ascii="Calibri" w:hAnsi="Calibri" w:cstheme="minorHAnsi"/>
          <w:i/>
        </w:rPr>
        <w:t>„</w:t>
      </w:r>
      <w:proofErr w:type="spellStart"/>
      <w:r w:rsidR="00D94149" w:rsidRPr="003F77DD">
        <w:rPr>
          <w:rFonts w:ascii="Calibri" w:hAnsi="Calibri" w:cstheme="minorHAnsi"/>
          <w:i/>
        </w:rPr>
        <w:t>u.c.p.g</w:t>
      </w:r>
      <w:proofErr w:type="spellEnd"/>
      <w:r w:rsidR="00D94149" w:rsidRPr="003F77DD">
        <w:rPr>
          <w:rFonts w:ascii="Calibri" w:hAnsi="Calibri" w:cstheme="minorHAnsi"/>
          <w:i/>
        </w:rPr>
        <w:t>”</w:t>
      </w:r>
      <w:r w:rsidR="00D94149" w:rsidRPr="003F77DD">
        <w:rPr>
          <w:rFonts w:ascii="Calibri" w:hAnsi="Calibri" w:cstheme="minorHAnsi"/>
        </w:rPr>
        <w:t xml:space="preserve">, a także rozporządzenie </w:t>
      </w:r>
      <w:r w:rsidR="00D94149" w:rsidRPr="003F77DD">
        <w:rPr>
          <w:rFonts w:ascii="Calibri" w:hAnsi="Calibri" w:cs="Calibri"/>
        </w:rPr>
        <w:t xml:space="preserve">Ministra Środowiska z dnia 29 grudnia 2016 r. </w:t>
      </w:r>
      <w:r w:rsidR="00D94149" w:rsidRPr="003F77DD">
        <w:rPr>
          <w:rFonts w:ascii="Calibri" w:hAnsi="Calibri"/>
          <w:i/>
        </w:rPr>
        <w:t>w sprawie szczegółowego sposobu selektywnego zbierania wybranych frakcji odpadów</w:t>
      </w:r>
      <w:r w:rsidR="00D94149" w:rsidRPr="003F77DD">
        <w:rPr>
          <w:rFonts w:ascii="Calibri" w:hAnsi="Calibri"/>
        </w:rPr>
        <w:t xml:space="preserve"> (Dz. U. z 2019 r. poz. 2028, z </w:t>
      </w:r>
      <w:proofErr w:type="spellStart"/>
      <w:r w:rsidR="00D94149" w:rsidRPr="003F77DD">
        <w:rPr>
          <w:rFonts w:ascii="Calibri" w:hAnsi="Calibri"/>
        </w:rPr>
        <w:t>późn</w:t>
      </w:r>
      <w:proofErr w:type="spellEnd"/>
      <w:r w:rsidR="00D94149" w:rsidRPr="003F77DD">
        <w:rPr>
          <w:rFonts w:ascii="Calibri" w:hAnsi="Calibri"/>
        </w:rPr>
        <w:t>. zm.)</w:t>
      </w:r>
      <w:r w:rsidRPr="003F77DD">
        <w:rPr>
          <w:rFonts w:ascii="Calibri" w:hAnsi="Calibri" w:cstheme="minorHAnsi"/>
        </w:rPr>
        <w:t>.</w:t>
      </w:r>
    </w:p>
    <w:p w:rsidR="00D94149" w:rsidRPr="003F77DD" w:rsidRDefault="00D94149" w:rsidP="003F77DD">
      <w:pPr>
        <w:spacing w:line="300" w:lineRule="exact"/>
        <w:ind w:firstLine="708"/>
        <w:jc w:val="both"/>
        <w:rPr>
          <w:rFonts w:ascii="Calibri" w:hAnsi="Calibri"/>
        </w:rPr>
      </w:pPr>
      <w:r w:rsidRPr="003F77DD">
        <w:rPr>
          <w:rFonts w:ascii="Calibri" w:hAnsi="Calibri" w:cstheme="minorHAnsi"/>
        </w:rPr>
        <w:t xml:space="preserve">W kwestionowanym § 7 pkt 3 zdanie wstępne </w:t>
      </w:r>
      <w:r w:rsidR="0066234A" w:rsidRPr="003F77DD">
        <w:rPr>
          <w:rFonts w:ascii="Calibri" w:hAnsi="Calibri" w:cstheme="minorHAnsi"/>
        </w:rPr>
        <w:t>R</w:t>
      </w:r>
      <w:r w:rsidRPr="003F77DD">
        <w:rPr>
          <w:rFonts w:ascii="Calibri" w:hAnsi="Calibri" w:cstheme="minorHAnsi"/>
        </w:rPr>
        <w:t xml:space="preserve">egulaminu Rada przyjęła, że </w:t>
      </w:r>
      <w:r w:rsidRPr="003F77DD">
        <w:rPr>
          <w:rFonts w:ascii="Calibri" w:hAnsi="Calibri" w:cstheme="minorHAnsi"/>
          <w:i/>
        </w:rPr>
        <w:t xml:space="preserve">„pojemniki do selektywnej zbiórki surowców powinny posiadać pojemność od 40l do 5000l (pojemniki </w:t>
      </w:r>
      <w:r w:rsidR="003F77DD">
        <w:rPr>
          <w:rFonts w:ascii="Calibri" w:hAnsi="Calibri" w:cstheme="minorHAnsi"/>
          <w:i/>
        </w:rPr>
        <w:br/>
      </w:r>
      <w:r w:rsidRPr="003F77DD">
        <w:rPr>
          <w:rFonts w:ascii="Calibri" w:hAnsi="Calibri" w:cstheme="minorHAnsi"/>
          <w:i/>
        </w:rPr>
        <w:t>o innych pojemnościach wymagają uzgodnienia z operatorem systemu)…”</w:t>
      </w:r>
      <w:r w:rsidRPr="003F77DD">
        <w:rPr>
          <w:rFonts w:ascii="Calibri" w:hAnsi="Calibri" w:cstheme="minorHAnsi"/>
        </w:rPr>
        <w:t xml:space="preserve">. Tymczasem na podstawie art. 4 ust. 2 pkt 2 </w:t>
      </w:r>
      <w:proofErr w:type="spellStart"/>
      <w:r w:rsidRPr="003F77DD">
        <w:rPr>
          <w:rFonts w:ascii="Calibri" w:hAnsi="Calibri" w:cstheme="minorHAnsi"/>
          <w:i/>
        </w:rPr>
        <w:t>u.c.p.g</w:t>
      </w:r>
      <w:proofErr w:type="spellEnd"/>
      <w:r w:rsidRPr="003F77DD">
        <w:rPr>
          <w:rFonts w:ascii="Calibri" w:hAnsi="Calibri" w:cstheme="minorHAnsi"/>
        </w:rPr>
        <w:t xml:space="preserve"> r</w:t>
      </w:r>
      <w:r w:rsidRPr="003F77DD">
        <w:rPr>
          <w:rFonts w:ascii="Calibri" w:hAnsi="Calibri"/>
        </w:rPr>
        <w:t xml:space="preserve">egulamin określa szczegółowe zasady utrzymania czystości i porządku na terenie gminy dotyczące: </w:t>
      </w:r>
      <w:r w:rsidRPr="00D94149">
        <w:rPr>
          <w:rFonts w:ascii="Calibri" w:hAnsi="Calibri"/>
        </w:rPr>
        <w:t xml:space="preserve">rodzaju i minimalnej pojemności pojemników lub worków, przeznaczonych do zbierania odpadów komunalnych na terenie nieruchomości, w tym na terenach przeznaczonych do użytku publicznego oraz na drogach publicznych, warunków rozmieszczania tych pojemników i worków oraz utrzymania pojemników </w:t>
      </w:r>
      <w:r w:rsidR="003F77DD">
        <w:rPr>
          <w:rFonts w:ascii="Calibri" w:hAnsi="Calibri"/>
        </w:rPr>
        <w:br/>
      </w:r>
      <w:r w:rsidRPr="00D94149">
        <w:rPr>
          <w:rFonts w:ascii="Calibri" w:hAnsi="Calibri"/>
        </w:rPr>
        <w:t xml:space="preserve">w odpowiednim stanie sanitarnym, porządkowym i </w:t>
      </w:r>
      <w:r w:rsidRPr="003F77DD">
        <w:rPr>
          <w:rFonts w:ascii="Calibri" w:hAnsi="Calibri"/>
        </w:rPr>
        <w:t xml:space="preserve">technicznym, przy uwzględnieniu </w:t>
      </w:r>
      <w:r w:rsidRPr="00D94149">
        <w:rPr>
          <w:rFonts w:ascii="Calibri" w:hAnsi="Calibri"/>
        </w:rPr>
        <w:t>średniej ilości odpadów komunalnych wytwarzanych w gospodarstwach domowych bądź w innych źródłach,</w:t>
      </w:r>
      <w:r w:rsidRPr="003F77DD">
        <w:rPr>
          <w:rFonts w:ascii="Calibri" w:hAnsi="Calibri"/>
        </w:rPr>
        <w:t xml:space="preserve"> a także </w:t>
      </w:r>
      <w:r w:rsidRPr="00D94149">
        <w:rPr>
          <w:rFonts w:ascii="Calibri" w:hAnsi="Calibri"/>
        </w:rPr>
        <w:t>liczby osób korzystających z tych pojemników lub worków</w:t>
      </w:r>
      <w:r w:rsidRPr="003F77DD">
        <w:rPr>
          <w:rFonts w:ascii="Calibri" w:hAnsi="Calibri"/>
        </w:rPr>
        <w:t xml:space="preserve">. Brak jest zatem podstawy prawnej do wprowadzenia zasady ustalania poza regulaminem, przez niedookreślony podmiot w uzgodnieniu z operatorem systemu, pojemności pojemników innej </w:t>
      </w:r>
      <w:r w:rsidRPr="003F77DD">
        <w:rPr>
          <w:rFonts w:ascii="Calibri" w:hAnsi="Calibri"/>
        </w:rPr>
        <w:lastRenderedPageBreak/>
        <w:t xml:space="preserve">niż wynika wprost z regulaminu. Takie ustalenie powoduje także, że w istocie zasady regulaminowe, których przestrzeganie jest sankcjonowane na mocy art. 10 ust. 2a </w:t>
      </w:r>
      <w:proofErr w:type="spellStart"/>
      <w:r w:rsidRPr="003F77DD">
        <w:rPr>
          <w:rFonts w:ascii="Calibri" w:hAnsi="Calibri" w:cstheme="minorHAnsi"/>
          <w:i/>
        </w:rPr>
        <w:t>u.c.p.g</w:t>
      </w:r>
      <w:proofErr w:type="spellEnd"/>
      <w:r w:rsidRPr="003F77DD">
        <w:rPr>
          <w:rFonts w:ascii="Calibri" w:hAnsi="Calibri" w:cstheme="minorHAnsi"/>
        </w:rPr>
        <w:t xml:space="preserve">, mogą zostać wyłączone na mocy poczynionych przez osoby trzecie uzgodnień. </w:t>
      </w:r>
    </w:p>
    <w:p w:rsidR="0066234A" w:rsidRPr="003F77DD" w:rsidRDefault="0066234A" w:rsidP="003F77DD">
      <w:pPr>
        <w:spacing w:line="300" w:lineRule="exact"/>
        <w:ind w:firstLine="708"/>
        <w:jc w:val="both"/>
        <w:rPr>
          <w:rFonts w:ascii="Calibri" w:hAnsi="Calibri" w:cstheme="minorHAnsi"/>
        </w:rPr>
      </w:pPr>
      <w:r w:rsidRPr="003F77DD">
        <w:rPr>
          <w:rFonts w:ascii="Calibri" w:hAnsi="Calibri" w:cstheme="minorHAnsi"/>
        </w:rPr>
        <w:t>W kwestionowanym § 13 ust. 1 pkt 1 lit. b-d oraz pkt 2 lit. b Regulaminu Rada wprowadziła wymogi prowadzenia psów na smyczy i w kagańcu. Jako zasadę ustalono prowadzenie każdego psa na smyczy (§ 13 ust. 1 pkt 1 lit. b</w:t>
      </w:r>
      <w:r w:rsidR="003F77DD">
        <w:rPr>
          <w:rFonts w:ascii="Calibri" w:hAnsi="Calibri" w:cstheme="minorHAnsi"/>
        </w:rPr>
        <w:t xml:space="preserve"> Regulaminu</w:t>
      </w:r>
      <w:r w:rsidRPr="003F77DD">
        <w:rPr>
          <w:rFonts w:ascii="Calibri" w:hAnsi="Calibri" w:cstheme="minorHAnsi"/>
        </w:rPr>
        <w:t xml:space="preserve">), przy czym zwolnienie z uwięzi jest dopuszczone jedynie w miejscach mało uczęszczanych przez ludzi i tylko </w:t>
      </w:r>
      <w:r w:rsidR="003F77DD">
        <w:rPr>
          <w:rFonts w:ascii="Calibri" w:hAnsi="Calibri" w:cstheme="minorHAnsi"/>
        </w:rPr>
        <w:br/>
      </w:r>
      <w:r w:rsidRPr="003F77DD">
        <w:rPr>
          <w:rFonts w:ascii="Calibri" w:hAnsi="Calibri" w:cstheme="minorHAnsi"/>
        </w:rPr>
        <w:t>w sytuacji, gdy właściciel ma możliwość sprawowania bezpośredniej kontroli nad zachowaniem zwierzęcia (§ 13 ust. 1 pkt 2 lit. b</w:t>
      </w:r>
      <w:r w:rsidR="003F77DD">
        <w:rPr>
          <w:rFonts w:ascii="Calibri" w:hAnsi="Calibri" w:cstheme="minorHAnsi"/>
        </w:rPr>
        <w:t xml:space="preserve"> Regulaminu</w:t>
      </w:r>
      <w:r w:rsidRPr="003F77DD">
        <w:rPr>
          <w:rFonts w:ascii="Calibri" w:hAnsi="Calibri" w:cstheme="minorHAnsi"/>
        </w:rPr>
        <w:t xml:space="preserve">) z wyłączeniem wyprowadzania psów ras uznawanych za agresywne lub w typie tych ras (§ 13 ust. 1 pkt 2 lit. b w związku </w:t>
      </w:r>
      <w:r w:rsidR="003F77DD">
        <w:rPr>
          <w:rFonts w:ascii="Calibri" w:hAnsi="Calibri" w:cstheme="minorHAnsi"/>
        </w:rPr>
        <w:br/>
      </w:r>
      <w:r w:rsidRPr="003F77DD">
        <w:rPr>
          <w:rFonts w:ascii="Calibri" w:hAnsi="Calibri" w:cstheme="minorHAnsi"/>
        </w:rPr>
        <w:t>z ust. 1 pkt 1 lit. c</w:t>
      </w:r>
      <w:r w:rsidR="003F77DD">
        <w:rPr>
          <w:rFonts w:ascii="Calibri" w:hAnsi="Calibri" w:cstheme="minorHAnsi"/>
        </w:rPr>
        <w:t xml:space="preserve"> Regulaminu</w:t>
      </w:r>
      <w:r w:rsidRPr="003F77DD">
        <w:rPr>
          <w:rFonts w:ascii="Calibri" w:hAnsi="Calibri" w:cstheme="minorHAnsi"/>
        </w:rPr>
        <w:t>). Psy ras uznawanych za agresywne lub w typie tych ras mogą być wyprowadzane wyłącznie przez osoby dorosłe i tylko na smyczy i w kagańcu (§ 13 ust. 1 pkt 1 lit. c</w:t>
      </w:r>
      <w:r w:rsidR="003F77DD">
        <w:rPr>
          <w:rFonts w:ascii="Calibri" w:hAnsi="Calibri" w:cstheme="minorHAnsi"/>
        </w:rPr>
        <w:t xml:space="preserve"> Regulaminu</w:t>
      </w:r>
      <w:r w:rsidRPr="003F77DD">
        <w:rPr>
          <w:rFonts w:ascii="Calibri" w:hAnsi="Calibri" w:cstheme="minorHAnsi"/>
        </w:rPr>
        <w:t xml:space="preserve">). Nadto zwolnienie z uwięzi jest ograniczone jedynie do sytuacji, </w:t>
      </w:r>
      <w:r w:rsidR="003F77DD">
        <w:rPr>
          <w:rFonts w:ascii="Calibri" w:hAnsi="Calibri" w:cstheme="minorHAnsi"/>
        </w:rPr>
        <w:br/>
      </w:r>
      <w:r w:rsidRPr="003F77DD">
        <w:rPr>
          <w:rFonts w:ascii="Calibri" w:hAnsi="Calibri" w:cstheme="minorHAnsi"/>
        </w:rPr>
        <w:t>gdy pies ma kaganiec i całkowicie wyłączone wobec psów ras uznawanych za agresywne lub w typie tych ras (§ 13 ust. 1 pkt. 1 lit. d</w:t>
      </w:r>
      <w:r w:rsidR="003F77DD">
        <w:rPr>
          <w:rFonts w:ascii="Calibri" w:hAnsi="Calibri" w:cstheme="minorHAnsi"/>
        </w:rPr>
        <w:t xml:space="preserve"> Regulaminu</w:t>
      </w:r>
      <w:r w:rsidRPr="003F77DD">
        <w:rPr>
          <w:rFonts w:ascii="Calibri" w:hAnsi="Calibri" w:cstheme="minorHAnsi"/>
        </w:rPr>
        <w:t xml:space="preserve">). </w:t>
      </w:r>
    </w:p>
    <w:p w:rsidR="00272D88" w:rsidRPr="003F77DD" w:rsidRDefault="002A6AD6" w:rsidP="003F77DD">
      <w:pPr>
        <w:spacing w:line="300" w:lineRule="exact"/>
        <w:ind w:firstLine="708"/>
        <w:jc w:val="both"/>
        <w:rPr>
          <w:rFonts w:ascii="Calibri" w:hAnsi="Calibri" w:cs="Calibri"/>
        </w:rPr>
      </w:pPr>
      <w:r w:rsidRPr="003F77DD">
        <w:rPr>
          <w:rFonts w:ascii="Calibri" w:hAnsi="Calibri" w:cstheme="minorHAnsi"/>
        </w:rPr>
        <w:t xml:space="preserve">W regulaminie w odniesieniu do zwierząt domowych określa się jedynie kwestie obowiązków osób utrzymujących zwierzęta domowe, mających na celu ochronę przed zagrożeniem lub uciążliwością dla ludzi oraz przed zanieczyszczeniem terenów przeznaczonych do wspólnego użytku (art. 4 ust. 2 pkt 6 </w:t>
      </w:r>
      <w:proofErr w:type="spellStart"/>
      <w:r w:rsidRPr="003F77DD">
        <w:rPr>
          <w:rFonts w:ascii="Calibri" w:hAnsi="Calibri" w:cstheme="minorHAnsi"/>
          <w:i/>
        </w:rPr>
        <w:t>u</w:t>
      </w:r>
      <w:r w:rsidR="003F77DD">
        <w:rPr>
          <w:rFonts w:ascii="Calibri" w:hAnsi="Calibri" w:cstheme="minorHAnsi"/>
          <w:i/>
        </w:rPr>
        <w:t>.</w:t>
      </w:r>
      <w:r w:rsidRPr="003F77DD">
        <w:rPr>
          <w:rFonts w:ascii="Calibri" w:hAnsi="Calibri" w:cstheme="minorHAnsi"/>
          <w:i/>
        </w:rPr>
        <w:t>c</w:t>
      </w:r>
      <w:r w:rsidR="003F77DD">
        <w:rPr>
          <w:rFonts w:ascii="Calibri" w:hAnsi="Calibri" w:cstheme="minorHAnsi"/>
          <w:i/>
        </w:rPr>
        <w:t>.</w:t>
      </w:r>
      <w:r w:rsidRPr="003F77DD">
        <w:rPr>
          <w:rFonts w:ascii="Calibri" w:hAnsi="Calibri" w:cstheme="minorHAnsi"/>
          <w:i/>
        </w:rPr>
        <w:t>p</w:t>
      </w:r>
      <w:r w:rsidR="003F77DD">
        <w:rPr>
          <w:rFonts w:ascii="Calibri" w:hAnsi="Calibri" w:cstheme="minorHAnsi"/>
          <w:i/>
        </w:rPr>
        <w:t>.</w:t>
      </w:r>
      <w:r w:rsidRPr="003F77DD">
        <w:rPr>
          <w:rFonts w:ascii="Calibri" w:hAnsi="Calibri" w:cstheme="minorHAnsi"/>
          <w:i/>
        </w:rPr>
        <w:t>g</w:t>
      </w:r>
      <w:proofErr w:type="spellEnd"/>
      <w:r w:rsidR="003F77DD">
        <w:rPr>
          <w:rFonts w:ascii="Calibri" w:hAnsi="Calibri" w:cstheme="minorHAnsi"/>
          <w:i/>
        </w:rPr>
        <w:t>.</w:t>
      </w:r>
      <w:r w:rsidRPr="003F77DD">
        <w:rPr>
          <w:rFonts w:ascii="Calibri" w:hAnsi="Calibri" w:cstheme="minorHAnsi"/>
        </w:rPr>
        <w:t>). W odniesieniu do restrykcyjnych obostrzeń dotyczących wyprowadzania psów i ich zwalniania z uwięzi a</w:t>
      </w:r>
      <w:r w:rsidRPr="003F77DD">
        <w:rPr>
          <w:rFonts w:ascii="Calibri" w:hAnsi="Calibri" w:cs="Calibri"/>
        </w:rPr>
        <w:t>ktualny pozostaje wyrok Naczelnego Sądu Administracyjnego, w którym Sąd orzekł, że: „</w:t>
      </w:r>
      <w:r w:rsidRPr="003F77DD">
        <w:rPr>
          <w:rFonts w:ascii="Calibri" w:hAnsi="Calibri" w:cs="Calibri"/>
          <w:i/>
        </w:rPr>
        <w:t>Generalny nakaz wyprowadzania psów na smyczy i w kagańcu, niezależnie od jego cech i innych uwarunkowań (w tym choroby) może zatem w określonych sytuacjach prowadzić do działań niehumanitarnych. Ponadto jak wszelkie ograniczenia praw jednostki, także ograniczenia uprawnień właściciela psa bądź nałożenie na niego dodatkowych obowiązków, muszą być wprowadzane z poszanowaniem zasady proporcjonalności. Postanowienia Regulaminu czystości i porządku nie pozwalające na uwzględnienie specyficznych sytuacji i tym samym niekiedy nadmierne, w rezultacie prowadzące do sankcji karnych, mogą tę zasadę naruszać, tym bardziej gdy nakazane Regulaminem środki ostrożności przy trzymaniu zwierzęcia mogą być uznane za bardziej rygorystyczne niż środki przewidziane ustawami i innymi aktami prawa miejscowego”</w:t>
      </w:r>
      <w:r w:rsidRPr="003F77DD">
        <w:rPr>
          <w:rFonts w:ascii="Calibri" w:hAnsi="Calibri" w:cs="Calibri"/>
        </w:rPr>
        <w:t xml:space="preserve"> (wyrok NSA z 13 września 2012 r. sygn. akt II OSK 1492/12). </w:t>
      </w:r>
    </w:p>
    <w:p w:rsidR="003F77DD" w:rsidRDefault="00272D88" w:rsidP="003F77DD">
      <w:pPr>
        <w:spacing w:line="300" w:lineRule="exact"/>
        <w:ind w:firstLine="708"/>
        <w:jc w:val="both"/>
        <w:rPr>
          <w:rFonts w:ascii="Calibri" w:hAnsi="Calibri"/>
        </w:rPr>
      </w:pPr>
      <w:r w:rsidRPr="003F77DD">
        <w:rPr>
          <w:rFonts w:ascii="Calibri" w:hAnsi="Calibri"/>
        </w:rPr>
        <w:t xml:space="preserve">Nie budzi wątpliwości, że porządek i zdrowie publiczne stanowią wartości uzasadniające ograniczenie konstytucyjnych praw i wolności (art. 31 ust. 3 Konstytucji RP), przy czym ograniczenia te powinny mieć charakter proporcjonalny do innych wartości konstytucyjnie chronionych. Taką wartością jest zgodnie z art. 31 ust. 1 Konstytucji RP wolność jednostki rozumiana przede wszystkim jako swoboda decydowania o własnym postępowaniu. Tym samym, ingerencje władzy publicznej w tę swobodę następować mogą tylko w sytuacjach i w formach przewidzianych konstytucyjnie. Innymi słowy, zasada wolności formułuje domniemanie swobody decyzji i działań, natomiast dla poddawania ich ograniczeniom konieczna jest zawsze interwencja prawodawcy, która winna odpowiadać zasadzie proporcjonalności przewidzianej w art. 31 ust. 3 Konstytucji RP. Zasada proporcjonalności daje wyraz przekonaniu, że stopień intensywności ingerencji w sytuację prawną jednostki musi znajdować uzasadnienie w randze promowanego w ten sposób interesu publicznego. Innymi słowy, ograniczenie praw jednostki musi być ekwiwalentne wobec celu, któremu służy dana regulacja, musi to więc być ograniczenie racjonalne. </w:t>
      </w:r>
    </w:p>
    <w:p w:rsidR="00932607" w:rsidRPr="003F77DD" w:rsidRDefault="00272D88" w:rsidP="003F77DD">
      <w:pPr>
        <w:spacing w:line="300" w:lineRule="exact"/>
        <w:ind w:firstLine="708"/>
        <w:jc w:val="both"/>
        <w:rPr>
          <w:rStyle w:val="warheader"/>
          <w:rFonts w:ascii="Calibri" w:hAnsi="Calibri"/>
        </w:rPr>
      </w:pPr>
      <w:r w:rsidRPr="003F77DD">
        <w:rPr>
          <w:rFonts w:ascii="Calibri" w:hAnsi="Calibri"/>
        </w:rPr>
        <w:lastRenderedPageBreak/>
        <w:t xml:space="preserve">Podstawowy cel, a zarazem dyrektywa interpretacyjna, którą trzeba uwzględniać przy stosowaniu przepisów odnoszących się do zwierząt oraz przy kształtowaniu prawnej sytuacji zwierząt w innych aktach prawnych, zawarta została w art. 1 ust. 1 </w:t>
      </w:r>
      <w:r w:rsidR="00102F03" w:rsidRPr="003F77DD">
        <w:rPr>
          <w:rFonts w:ascii="Calibri" w:hAnsi="Calibri"/>
        </w:rPr>
        <w:t xml:space="preserve">ustawy z </w:t>
      </w:r>
      <w:r w:rsidR="00102F03" w:rsidRPr="00102F03">
        <w:rPr>
          <w:rFonts w:ascii="Calibri" w:hAnsi="Calibri"/>
        </w:rPr>
        <w:t>dnia 21 sierpnia 1997 r.</w:t>
      </w:r>
      <w:r w:rsidR="00102F03" w:rsidRPr="003F77DD">
        <w:rPr>
          <w:rFonts w:ascii="Calibri" w:hAnsi="Calibri"/>
        </w:rPr>
        <w:t xml:space="preserve"> </w:t>
      </w:r>
      <w:r w:rsidR="00102F03" w:rsidRPr="00102F03">
        <w:rPr>
          <w:rFonts w:ascii="Calibri" w:hAnsi="Calibri"/>
        </w:rPr>
        <w:t xml:space="preserve">o </w:t>
      </w:r>
      <w:r w:rsidR="00102F03" w:rsidRPr="003F77DD">
        <w:rPr>
          <w:rFonts w:ascii="Calibri" w:hAnsi="Calibri"/>
          <w:i/>
          <w:iCs/>
        </w:rPr>
        <w:t xml:space="preserve">ochronie zwierząt </w:t>
      </w:r>
      <w:r w:rsidR="00102F03" w:rsidRPr="003F77DD">
        <w:rPr>
          <w:rFonts w:ascii="Calibri" w:hAnsi="Calibri"/>
          <w:iCs/>
        </w:rPr>
        <w:t xml:space="preserve">(Dz. U. z 2020 r. poz. 638), zwanej dalej </w:t>
      </w:r>
      <w:r w:rsidR="00102F03" w:rsidRPr="003F77DD">
        <w:rPr>
          <w:rFonts w:ascii="Calibri" w:hAnsi="Calibri"/>
          <w:i/>
          <w:iCs/>
        </w:rPr>
        <w:t>„</w:t>
      </w:r>
      <w:proofErr w:type="spellStart"/>
      <w:r w:rsidR="00102F03" w:rsidRPr="003F77DD">
        <w:rPr>
          <w:rFonts w:ascii="Calibri" w:hAnsi="Calibri"/>
          <w:i/>
          <w:iCs/>
        </w:rPr>
        <w:t>u.o.z</w:t>
      </w:r>
      <w:proofErr w:type="spellEnd"/>
      <w:r w:rsidR="00102F03" w:rsidRPr="003F77DD">
        <w:rPr>
          <w:rFonts w:ascii="Calibri" w:hAnsi="Calibri"/>
          <w:i/>
          <w:iCs/>
        </w:rPr>
        <w:t>.”</w:t>
      </w:r>
      <w:r w:rsidRPr="003F77DD">
        <w:rPr>
          <w:rFonts w:ascii="Calibri" w:hAnsi="Calibri"/>
        </w:rPr>
        <w:t xml:space="preserve">, który stanowi, że zwierzę, jako istota żyjąca, zdolna do odczuwania cierpienia, nie jest rzeczą. Człowiek jest mu winien poszanowanie, ochronę i opiekę. Z przepisu tego wynika, że każde zwierzę ma prawo oczekiwać od ludzi należnego zrozumienia, zgodnego z normami obyczajowymi traktowania, a nawet szacunku. Wszelkie środki prawne, podejmowane w stosunku do zwierząt powinny mieć na względzie ich dobro, a przede wszystkim prawo do istnienia. W art. 5 </w:t>
      </w:r>
      <w:proofErr w:type="spellStart"/>
      <w:r w:rsidRPr="003F77DD">
        <w:rPr>
          <w:rFonts w:ascii="Calibri" w:hAnsi="Calibri"/>
          <w:i/>
        </w:rPr>
        <w:t>u.o.z</w:t>
      </w:r>
      <w:proofErr w:type="spellEnd"/>
      <w:r w:rsidRPr="003F77DD">
        <w:rPr>
          <w:rFonts w:ascii="Calibri" w:hAnsi="Calibri"/>
          <w:i/>
        </w:rPr>
        <w:t>.</w:t>
      </w:r>
      <w:r w:rsidRPr="003F77DD">
        <w:rPr>
          <w:rFonts w:ascii="Calibri" w:hAnsi="Calibri"/>
        </w:rPr>
        <w:t xml:space="preserve"> przewidziano obowiązek humanitarnego traktowania zwierząt.</w:t>
      </w:r>
      <w:r w:rsidR="00102F03" w:rsidRPr="003F77DD">
        <w:rPr>
          <w:rFonts w:ascii="Calibri" w:hAnsi="Calibri"/>
        </w:rPr>
        <w:t xml:space="preserve"> </w:t>
      </w:r>
      <w:r w:rsidRPr="003F77DD">
        <w:rPr>
          <w:rFonts w:ascii="Calibri" w:hAnsi="Calibri"/>
        </w:rPr>
        <w:t xml:space="preserve">W świetle tego, zdaniem </w:t>
      </w:r>
      <w:r w:rsidR="00102F03" w:rsidRPr="003F77DD">
        <w:rPr>
          <w:rFonts w:ascii="Calibri" w:hAnsi="Calibri"/>
        </w:rPr>
        <w:t>organu nadzoru</w:t>
      </w:r>
      <w:r w:rsidRPr="003F77DD">
        <w:rPr>
          <w:rFonts w:ascii="Calibri" w:hAnsi="Calibri"/>
        </w:rPr>
        <w:t>, regulacja § 1</w:t>
      </w:r>
      <w:r w:rsidR="00102F03" w:rsidRPr="003F77DD">
        <w:rPr>
          <w:rFonts w:ascii="Calibri" w:hAnsi="Calibri"/>
        </w:rPr>
        <w:t>3 ust. 1 pkt 1 lit. b-d i pkt 2 lit. b</w:t>
      </w:r>
      <w:r w:rsidR="003F77DD">
        <w:rPr>
          <w:rFonts w:ascii="Calibri" w:hAnsi="Calibri"/>
        </w:rPr>
        <w:t xml:space="preserve"> R</w:t>
      </w:r>
      <w:r w:rsidRPr="003F77DD">
        <w:rPr>
          <w:rFonts w:ascii="Calibri" w:hAnsi="Calibri"/>
        </w:rPr>
        <w:t xml:space="preserve">egulaminu poprzez wprowadzenie generalnego </w:t>
      </w:r>
      <w:r w:rsidRPr="003F77DD">
        <w:rPr>
          <w:rStyle w:val="highlight"/>
          <w:rFonts w:ascii="Calibri" w:hAnsi="Calibri"/>
        </w:rPr>
        <w:t>nakazu</w:t>
      </w:r>
      <w:r w:rsidRPr="003F77DD">
        <w:rPr>
          <w:rFonts w:ascii="Calibri" w:hAnsi="Calibri"/>
        </w:rPr>
        <w:t xml:space="preserve"> </w:t>
      </w:r>
      <w:r w:rsidRPr="003F77DD">
        <w:rPr>
          <w:rStyle w:val="highlight"/>
          <w:rFonts w:ascii="Calibri" w:hAnsi="Calibri"/>
        </w:rPr>
        <w:t>wyprowadzania</w:t>
      </w:r>
      <w:r w:rsidRPr="003F77DD">
        <w:rPr>
          <w:rFonts w:ascii="Calibri" w:hAnsi="Calibri"/>
        </w:rPr>
        <w:t xml:space="preserve"> </w:t>
      </w:r>
      <w:r w:rsidRPr="003F77DD">
        <w:rPr>
          <w:rStyle w:val="highlight"/>
          <w:rFonts w:ascii="Calibri" w:hAnsi="Calibri"/>
        </w:rPr>
        <w:t>psów</w:t>
      </w:r>
      <w:r w:rsidRPr="003F77DD">
        <w:rPr>
          <w:rFonts w:ascii="Calibri" w:hAnsi="Calibri"/>
        </w:rPr>
        <w:t xml:space="preserve"> </w:t>
      </w:r>
      <w:r w:rsidRPr="003F77DD">
        <w:rPr>
          <w:rStyle w:val="highlight"/>
          <w:rFonts w:ascii="Calibri" w:hAnsi="Calibri"/>
        </w:rPr>
        <w:t>na</w:t>
      </w:r>
      <w:r w:rsidRPr="003F77DD">
        <w:rPr>
          <w:rFonts w:ascii="Calibri" w:hAnsi="Calibri"/>
        </w:rPr>
        <w:t xml:space="preserve"> </w:t>
      </w:r>
      <w:r w:rsidRPr="003F77DD">
        <w:rPr>
          <w:rStyle w:val="highlight"/>
          <w:rFonts w:ascii="Calibri" w:hAnsi="Calibri"/>
        </w:rPr>
        <w:t>smyczy</w:t>
      </w:r>
      <w:r w:rsidRPr="003F77DD">
        <w:rPr>
          <w:rFonts w:ascii="Calibri" w:hAnsi="Calibri"/>
        </w:rPr>
        <w:t xml:space="preserve"> </w:t>
      </w:r>
      <w:r w:rsidRPr="003F77DD">
        <w:rPr>
          <w:rStyle w:val="highlight"/>
          <w:rFonts w:ascii="Calibri" w:hAnsi="Calibri"/>
        </w:rPr>
        <w:t>i</w:t>
      </w:r>
      <w:r w:rsidRPr="003F77DD">
        <w:rPr>
          <w:rFonts w:ascii="Calibri" w:hAnsi="Calibri"/>
        </w:rPr>
        <w:t xml:space="preserve"> </w:t>
      </w:r>
      <w:r w:rsidRPr="003F77DD">
        <w:rPr>
          <w:rStyle w:val="highlight"/>
          <w:rFonts w:ascii="Calibri" w:hAnsi="Calibri"/>
        </w:rPr>
        <w:t>w</w:t>
      </w:r>
      <w:r w:rsidRPr="003F77DD">
        <w:rPr>
          <w:rFonts w:ascii="Calibri" w:hAnsi="Calibri"/>
        </w:rPr>
        <w:t xml:space="preserve"> </w:t>
      </w:r>
      <w:r w:rsidRPr="003F77DD">
        <w:rPr>
          <w:rStyle w:val="highlight"/>
          <w:rFonts w:ascii="Calibri" w:hAnsi="Calibri"/>
        </w:rPr>
        <w:t>kagańcu</w:t>
      </w:r>
      <w:r w:rsidRPr="003F77DD">
        <w:rPr>
          <w:rFonts w:ascii="Calibri" w:hAnsi="Calibri"/>
        </w:rPr>
        <w:t xml:space="preserve">, niezależnie od jego cech osobniczych i uwarunkowań indywidualnych (np. choroba), może w określonych sytuacjach prowadzić do działań sprzecznych z wymogami </w:t>
      </w:r>
      <w:proofErr w:type="spellStart"/>
      <w:r w:rsidRPr="003F77DD">
        <w:rPr>
          <w:rFonts w:ascii="Calibri" w:hAnsi="Calibri"/>
          <w:i/>
        </w:rPr>
        <w:t>u.o.z</w:t>
      </w:r>
      <w:proofErr w:type="spellEnd"/>
      <w:r w:rsidRPr="003F77DD">
        <w:rPr>
          <w:rFonts w:ascii="Calibri" w:hAnsi="Calibri"/>
          <w:i/>
        </w:rPr>
        <w:t>.</w:t>
      </w:r>
      <w:r w:rsidRPr="003F77DD">
        <w:rPr>
          <w:rFonts w:ascii="Calibri" w:hAnsi="Calibri"/>
        </w:rPr>
        <w:t xml:space="preserve">, w tym działań określanych jako niehumanitarne. Prawidłową redakcją przepisu realizującego upoważnienie z art. 4 ust. 2 pkt 6 </w:t>
      </w:r>
      <w:proofErr w:type="spellStart"/>
      <w:r w:rsidRPr="003F77DD">
        <w:rPr>
          <w:rFonts w:ascii="Calibri" w:hAnsi="Calibri"/>
          <w:i/>
        </w:rPr>
        <w:t>u.c.p.g</w:t>
      </w:r>
      <w:proofErr w:type="spellEnd"/>
      <w:r w:rsidRPr="003F77DD">
        <w:rPr>
          <w:rFonts w:ascii="Calibri" w:hAnsi="Calibri"/>
          <w:i/>
        </w:rPr>
        <w:t xml:space="preserve">. </w:t>
      </w:r>
      <w:r w:rsidRPr="003F77DD">
        <w:rPr>
          <w:rFonts w:ascii="Calibri" w:hAnsi="Calibri"/>
        </w:rPr>
        <w:t>byłaby treść przewidująca wyjątki uzasadniające odstąpienie od obowiązku wyprowadzania psów na smyczy</w:t>
      </w:r>
      <w:r w:rsidR="00102F03" w:rsidRPr="003F77DD">
        <w:rPr>
          <w:rFonts w:ascii="Calibri" w:hAnsi="Calibri"/>
        </w:rPr>
        <w:t xml:space="preserve"> </w:t>
      </w:r>
      <w:r w:rsidRPr="003F77DD">
        <w:rPr>
          <w:rFonts w:ascii="Calibri" w:hAnsi="Calibri"/>
        </w:rPr>
        <w:t>i w kagańcu, a wynikające z rasy, uwarunkowań behawioralnych, wieku, stanu zdrowia</w:t>
      </w:r>
      <w:r w:rsidR="00102F03" w:rsidRPr="003F77DD">
        <w:rPr>
          <w:rFonts w:ascii="Calibri" w:hAnsi="Calibri"/>
        </w:rPr>
        <w:t xml:space="preserve"> </w:t>
      </w:r>
      <w:r w:rsidRPr="003F77DD">
        <w:rPr>
          <w:rFonts w:ascii="Calibri" w:hAnsi="Calibri"/>
        </w:rPr>
        <w:t xml:space="preserve">i cech anatomicznych </w:t>
      </w:r>
      <w:r w:rsidR="00102F03" w:rsidRPr="003F77DD">
        <w:rPr>
          <w:rFonts w:ascii="Calibri" w:hAnsi="Calibri"/>
        </w:rPr>
        <w:t>(wyrok</w:t>
      </w:r>
      <w:r w:rsidR="002162C8" w:rsidRPr="003F77DD">
        <w:rPr>
          <w:rFonts w:ascii="Calibri" w:hAnsi="Calibri"/>
        </w:rPr>
        <w:t>i</w:t>
      </w:r>
      <w:r w:rsidR="00102F03" w:rsidRPr="003F77DD">
        <w:rPr>
          <w:rFonts w:ascii="Calibri" w:hAnsi="Calibri"/>
        </w:rPr>
        <w:t xml:space="preserve"> WSA w Warszawie z 16 października 2019 r. sygn. akt </w:t>
      </w:r>
      <w:r w:rsidRPr="003F77DD">
        <w:rPr>
          <w:rFonts w:ascii="Calibri" w:hAnsi="Calibri"/>
        </w:rPr>
        <w:t>VIII SA/</w:t>
      </w:r>
      <w:proofErr w:type="spellStart"/>
      <w:r w:rsidRPr="003F77DD">
        <w:rPr>
          <w:rFonts w:ascii="Calibri" w:hAnsi="Calibri"/>
        </w:rPr>
        <w:t>Wa</w:t>
      </w:r>
      <w:proofErr w:type="spellEnd"/>
      <w:r w:rsidRPr="003F77DD">
        <w:rPr>
          <w:rFonts w:ascii="Calibri" w:hAnsi="Calibri"/>
        </w:rPr>
        <w:t xml:space="preserve"> 469/19</w:t>
      </w:r>
      <w:r w:rsidR="002162C8" w:rsidRPr="003F77DD">
        <w:rPr>
          <w:rFonts w:ascii="Calibri" w:hAnsi="Calibri"/>
        </w:rPr>
        <w:t>, z 10 października 2019 r. sygn. akt VIII SA/</w:t>
      </w:r>
      <w:proofErr w:type="spellStart"/>
      <w:r w:rsidR="002162C8" w:rsidRPr="003F77DD">
        <w:rPr>
          <w:rFonts w:ascii="Calibri" w:hAnsi="Calibri"/>
        </w:rPr>
        <w:t>Wa</w:t>
      </w:r>
      <w:proofErr w:type="spellEnd"/>
      <w:r w:rsidR="002162C8" w:rsidRPr="003F77DD">
        <w:rPr>
          <w:rFonts w:ascii="Calibri" w:hAnsi="Calibri"/>
        </w:rPr>
        <w:t xml:space="preserve"> 522/19</w:t>
      </w:r>
      <w:r w:rsidR="00AF034E" w:rsidRPr="003F77DD">
        <w:rPr>
          <w:rFonts w:ascii="Calibri" w:hAnsi="Calibri"/>
        </w:rPr>
        <w:t xml:space="preserve"> i </w:t>
      </w:r>
      <w:r w:rsidR="00AF034E" w:rsidRPr="003F77DD">
        <w:rPr>
          <w:rStyle w:val="warheader"/>
          <w:rFonts w:ascii="Calibri" w:hAnsi="Calibri"/>
        </w:rPr>
        <w:t>VIII SA/</w:t>
      </w:r>
      <w:proofErr w:type="spellStart"/>
      <w:r w:rsidR="00AF034E" w:rsidRPr="003F77DD">
        <w:rPr>
          <w:rStyle w:val="warheader"/>
          <w:rFonts w:ascii="Calibri" w:hAnsi="Calibri"/>
        </w:rPr>
        <w:t>Wa</w:t>
      </w:r>
      <w:proofErr w:type="spellEnd"/>
      <w:r w:rsidR="00AF034E" w:rsidRPr="003F77DD">
        <w:rPr>
          <w:rStyle w:val="warheader"/>
          <w:rFonts w:ascii="Calibri" w:hAnsi="Calibri"/>
        </w:rPr>
        <w:t xml:space="preserve"> 505/19</w:t>
      </w:r>
      <w:r w:rsidR="00A04EA6" w:rsidRPr="003F77DD">
        <w:rPr>
          <w:rStyle w:val="warheader"/>
          <w:rFonts w:ascii="Calibri" w:hAnsi="Calibri"/>
        </w:rPr>
        <w:t>, VIII SA/</w:t>
      </w:r>
      <w:proofErr w:type="spellStart"/>
      <w:r w:rsidR="00A04EA6" w:rsidRPr="003F77DD">
        <w:rPr>
          <w:rStyle w:val="warheader"/>
          <w:rFonts w:ascii="Calibri" w:hAnsi="Calibri"/>
        </w:rPr>
        <w:t>Wa</w:t>
      </w:r>
      <w:proofErr w:type="spellEnd"/>
      <w:r w:rsidR="00A04EA6" w:rsidRPr="003F77DD">
        <w:rPr>
          <w:rStyle w:val="warheader"/>
          <w:rFonts w:ascii="Calibri" w:hAnsi="Calibri"/>
        </w:rPr>
        <w:t xml:space="preserve"> 541/19, z 29 maja 2018 r. sygn. akt </w:t>
      </w:r>
      <w:r w:rsidR="00A04EA6" w:rsidRPr="003F77DD">
        <w:rPr>
          <w:rFonts w:ascii="Calibri" w:hAnsi="Calibri"/>
        </w:rPr>
        <w:t>VIII SA/</w:t>
      </w:r>
      <w:proofErr w:type="spellStart"/>
      <w:r w:rsidR="00A04EA6" w:rsidRPr="003F77DD">
        <w:rPr>
          <w:rFonts w:ascii="Calibri" w:hAnsi="Calibri"/>
        </w:rPr>
        <w:t>Wa</w:t>
      </w:r>
      <w:proofErr w:type="spellEnd"/>
      <w:r w:rsidR="00A04EA6" w:rsidRPr="003F77DD">
        <w:rPr>
          <w:rFonts w:ascii="Calibri" w:hAnsi="Calibri"/>
        </w:rPr>
        <w:t xml:space="preserve"> 83/18, z 17 maja 2018 r. sygn. akt VIII SA/</w:t>
      </w:r>
      <w:proofErr w:type="spellStart"/>
      <w:r w:rsidR="00A04EA6" w:rsidRPr="003F77DD">
        <w:rPr>
          <w:rFonts w:ascii="Calibri" w:hAnsi="Calibri"/>
        </w:rPr>
        <w:t>Wa</w:t>
      </w:r>
      <w:proofErr w:type="spellEnd"/>
      <w:r w:rsidR="00A04EA6" w:rsidRPr="003F77DD">
        <w:rPr>
          <w:rFonts w:ascii="Calibri" w:hAnsi="Calibri"/>
        </w:rPr>
        <w:t xml:space="preserve"> 31/18</w:t>
      </w:r>
      <w:r w:rsidR="0020580B" w:rsidRPr="003F77DD">
        <w:rPr>
          <w:rFonts w:ascii="Calibri" w:hAnsi="Calibri"/>
        </w:rPr>
        <w:t xml:space="preserve"> </w:t>
      </w:r>
      <w:r w:rsidR="00E57BAA" w:rsidRPr="003F77DD">
        <w:rPr>
          <w:rFonts w:ascii="Calibri" w:hAnsi="Calibri"/>
        </w:rPr>
        <w:t>oraz wyrok</w:t>
      </w:r>
      <w:r w:rsidR="007F1BD2" w:rsidRPr="003F77DD">
        <w:rPr>
          <w:rFonts w:ascii="Calibri" w:hAnsi="Calibri"/>
        </w:rPr>
        <w:t>i</w:t>
      </w:r>
      <w:r w:rsidR="00E57BAA" w:rsidRPr="003F77DD">
        <w:rPr>
          <w:rFonts w:ascii="Calibri" w:hAnsi="Calibri"/>
        </w:rPr>
        <w:t xml:space="preserve"> NSA z 14 listopada 2017 r. sygn. akt </w:t>
      </w:r>
      <w:r w:rsidR="007F1BD2" w:rsidRPr="003F77DD">
        <w:rPr>
          <w:rFonts w:ascii="Calibri" w:hAnsi="Calibri"/>
        </w:rPr>
        <w:t>II OSK 443/16, z 27 czerwca 2017 r. sygn. akt I OSK 2678/15</w:t>
      </w:r>
      <w:r w:rsidR="009C30CA" w:rsidRPr="003F77DD">
        <w:rPr>
          <w:rFonts w:ascii="Calibri" w:hAnsi="Calibri"/>
        </w:rPr>
        <w:t>,</w:t>
      </w:r>
      <w:r w:rsidR="00932607" w:rsidRPr="003F77DD">
        <w:rPr>
          <w:rFonts w:ascii="Calibri" w:hAnsi="Calibri"/>
        </w:rPr>
        <w:t xml:space="preserve"> II OSK 2748/15</w:t>
      </w:r>
      <w:r w:rsidR="009C30CA" w:rsidRPr="003F77DD">
        <w:rPr>
          <w:rFonts w:ascii="Calibri" w:hAnsi="Calibri"/>
        </w:rPr>
        <w:t xml:space="preserve"> i </w:t>
      </w:r>
      <w:r w:rsidR="009C30CA" w:rsidRPr="003F77DD">
        <w:rPr>
          <w:rStyle w:val="warheader"/>
          <w:rFonts w:ascii="Calibri" w:hAnsi="Calibri"/>
        </w:rPr>
        <w:t>II OSK 2980/15</w:t>
      </w:r>
      <w:r w:rsidR="0020580B" w:rsidRPr="003F77DD">
        <w:rPr>
          <w:rStyle w:val="warheader"/>
          <w:rFonts w:ascii="Calibri" w:hAnsi="Calibri"/>
        </w:rPr>
        <w:t>).</w:t>
      </w:r>
    </w:p>
    <w:p w:rsidR="006026D9" w:rsidRPr="003F77DD" w:rsidRDefault="006026D9" w:rsidP="003F77DD">
      <w:pPr>
        <w:spacing w:line="300" w:lineRule="exact"/>
        <w:ind w:firstLine="708"/>
        <w:jc w:val="both"/>
        <w:rPr>
          <w:rFonts w:ascii="Calibri" w:hAnsi="Calibri"/>
        </w:rPr>
      </w:pPr>
      <w:r w:rsidRPr="003F77DD">
        <w:rPr>
          <w:rFonts w:ascii="Calibri" w:hAnsi="Calibri"/>
        </w:rPr>
        <w:t xml:space="preserve">W </w:t>
      </w:r>
      <w:r w:rsidR="003F77DD">
        <w:rPr>
          <w:rFonts w:ascii="Calibri" w:hAnsi="Calibri" w:cstheme="minorHAnsi"/>
        </w:rPr>
        <w:t>kwestionowanym § 15 ust. 2 R</w:t>
      </w:r>
      <w:r w:rsidRPr="003F77DD">
        <w:rPr>
          <w:rFonts w:ascii="Calibri" w:hAnsi="Calibri" w:cstheme="minorHAnsi"/>
        </w:rPr>
        <w:t xml:space="preserve">egulaminu Rada przyjęła, że </w:t>
      </w:r>
      <w:r w:rsidR="003F77DD" w:rsidRPr="003F77DD">
        <w:rPr>
          <w:rFonts w:ascii="Calibri" w:hAnsi="Calibri" w:cstheme="minorHAnsi"/>
        </w:rPr>
        <w:t>„</w:t>
      </w:r>
      <w:r w:rsidR="003F77DD" w:rsidRPr="003F77DD">
        <w:rPr>
          <w:rFonts w:ascii="Calibri" w:hAnsi="Calibri" w:cstheme="minorHAnsi"/>
          <w:i/>
        </w:rPr>
        <w:t>Deratyzacja na terenie obszarów wymienionych w ust. 1 winna być przeprowadzana co najmniej raz w roku w okresie od marca do października oraz każdorazowo w przypadku wystąpienia populacji gryzoni na terenie nieruchomości.”</w:t>
      </w:r>
      <w:r w:rsidR="003F77DD" w:rsidRPr="003F77DD">
        <w:rPr>
          <w:rFonts w:ascii="Calibri" w:hAnsi="Calibri" w:cstheme="minorHAnsi"/>
        </w:rPr>
        <w:t>. K</w:t>
      </w:r>
      <w:r w:rsidRPr="003F77DD">
        <w:rPr>
          <w:rFonts w:ascii="Calibri" w:hAnsi="Calibri"/>
        </w:rPr>
        <w:t xml:space="preserve">westie dotyczące zwalczania gryzoni na nieruchomościach zostały uregulowane </w:t>
      </w:r>
      <w:r w:rsidR="003F77DD">
        <w:rPr>
          <w:rFonts w:ascii="Calibri" w:hAnsi="Calibri"/>
        </w:rPr>
        <w:t xml:space="preserve">między innymi </w:t>
      </w:r>
      <w:r w:rsidR="003F77DD" w:rsidRPr="003F77DD">
        <w:rPr>
          <w:rFonts w:ascii="Calibri" w:hAnsi="Calibri"/>
        </w:rPr>
        <w:t xml:space="preserve">w art. 22 </w:t>
      </w:r>
      <w:r w:rsidRPr="003F77DD">
        <w:rPr>
          <w:rFonts w:ascii="Calibri" w:hAnsi="Calibri"/>
        </w:rPr>
        <w:t>ustaw</w:t>
      </w:r>
      <w:r w:rsidR="003F77DD" w:rsidRPr="003F77DD">
        <w:rPr>
          <w:rFonts w:ascii="Calibri" w:hAnsi="Calibri"/>
        </w:rPr>
        <w:t>y</w:t>
      </w:r>
      <w:r w:rsidRPr="003F77DD">
        <w:rPr>
          <w:rFonts w:ascii="Calibri" w:hAnsi="Calibri"/>
        </w:rPr>
        <w:t xml:space="preserve"> z 5 grudnia 2008 r. </w:t>
      </w:r>
      <w:r w:rsidRPr="003F77DD">
        <w:rPr>
          <w:rFonts w:ascii="Calibri" w:hAnsi="Calibri"/>
          <w:i/>
        </w:rPr>
        <w:t>o zapobieganiu oraz zwalczaniu zakażeń i chorób zakaźnych u ludzi</w:t>
      </w:r>
      <w:r w:rsidRPr="003F77DD">
        <w:rPr>
          <w:rFonts w:ascii="Calibri" w:hAnsi="Calibri"/>
        </w:rPr>
        <w:t xml:space="preserve"> (Dz. U. z 2019 r. poz. 1239, z </w:t>
      </w:r>
      <w:proofErr w:type="spellStart"/>
      <w:r w:rsidRPr="003F77DD">
        <w:rPr>
          <w:rFonts w:ascii="Calibri" w:hAnsi="Calibri"/>
        </w:rPr>
        <w:t>późn</w:t>
      </w:r>
      <w:proofErr w:type="spellEnd"/>
      <w:r w:rsidRPr="003F77DD">
        <w:rPr>
          <w:rFonts w:ascii="Calibri" w:hAnsi="Calibri"/>
        </w:rPr>
        <w:t>. zm.), zgodnie z któr</w:t>
      </w:r>
      <w:r w:rsidR="003F77DD">
        <w:rPr>
          <w:rFonts w:ascii="Calibri" w:hAnsi="Calibri"/>
        </w:rPr>
        <w:t>ym</w:t>
      </w:r>
      <w:r w:rsidRPr="003F77DD">
        <w:rPr>
          <w:rFonts w:ascii="Calibri" w:hAnsi="Calibri"/>
        </w:rPr>
        <w:t xml:space="preserve"> na właścicielu, posiadaczu czy zarządcy nieruchomości ciąży ustawowy obowiązek przeprowadzenia deratyzacji w przypadku wystąpienia gryzoni na jego nieruchomości (wyrok WSA w Łodzi z 3 marca 2020 r. sygn. akt II SA/</w:t>
      </w:r>
      <w:proofErr w:type="spellStart"/>
      <w:r w:rsidRPr="003F77DD">
        <w:rPr>
          <w:rFonts w:ascii="Calibri" w:hAnsi="Calibri"/>
        </w:rPr>
        <w:t>Łd</w:t>
      </w:r>
      <w:proofErr w:type="spellEnd"/>
      <w:r w:rsidRPr="003F77DD">
        <w:rPr>
          <w:rFonts w:ascii="Calibri" w:hAnsi="Calibri"/>
        </w:rPr>
        <w:t xml:space="preserve"> 48/20). </w:t>
      </w:r>
      <w:r w:rsidR="003F77DD" w:rsidRPr="003F77DD">
        <w:rPr>
          <w:rFonts w:ascii="Calibri" w:hAnsi="Calibri"/>
        </w:rPr>
        <w:t>B</w:t>
      </w:r>
      <w:r w:rsidRPr="003F77DD">
        <w:rPr>
          <w:rFonts w:ascii="Calibri" w:hAnsi="Calibri"/>
        </w:rPr>
        <w:t xml:space="preserve">rak jest upoważnienia dla Rady do wprowadzenia tego rodzaju obowiązku w regulaminie. </w:t>
      </w:r>
      <w:r w:rsidR="003F77DD" w:rsidRPr="003F77DD">
        <w:rPr>
          <w:rFonts w:ascii="Calibri" w:hAnsi="Calibri" w:cstheme="minorHAnsi"/>
        </w:rPr>
        <w:t>P</w:t>
      </w:r>
      <w:r w:rsidRPr="003F77DD">
        <w:rPr>
          <w:rFonts w:ascii="Calibri" w:hAnsi="Calibri"/>
        </w:rPr>
        <w:t xml:space="preserve">rzepisy </w:t>
      </w:r>
      <w:proofErr w:type="spellStart"/>
      <w:r w:rsidRPr="003F77DD">
        <w:rPr>
          <w:rFonts w:ascii="Calibri" w:hAnsi="Calibri"/>
          <w:i/>
        </w:rPr>
        <w:t>u.c.p.g</w:t>
      </w:r>
      <w:proofErr w:type="spellEnd"/>
      <w:r w:rsidRPr="003F77DD">
        <w:rPr>
          <w:rFonts w:ascii="Calibri" w:hAnsi="Calibri"/>
          <w:i/>
        </w:rPr>
        <w:t>.</w:t>
      </w:r>
      <w:r w:rsidRPr="003F77DD">
        <w:rPr>
          <w:rFonts w:ascii="Calibri" w:hAnsi="Calibri"/>
        </w:rPr>
        <w:t xml:space="preserve"> nadają Radzie upoważnienie wyłącznie do regulowania </w:t>
      </w:r>
      <w:r w:rsidR="003F77DD" w:rsidRPr="003F77DD">
        <w:rPr>
          <w:rFonts w:ascii="Calibri" w:hAnsi="Calibri"/>
        </w:rPr>
        <w:t xml:space="preserve">zasad utrzymania czystości i porządku na terenie gminy dotyczących wyznaczania obszarów podlegających obowiązkowej deratyzacji </w:t>
      </w:r>
      <w:r w:rsidR="003F77DD">
        <w:rPr>
          <w:rFonts w:ascii="Calibri" w:hAnsi="Calibri"/>
        </w:rPr>
        <w:br/>
      </w:r>
      <w:r w:rsidR="003F77DD" w:rsidRPr="003F77DD">
        <w:rPr>
          <w:rFonts w:ascii="Calibri" w:hAnsi="Calibri"/>
        </w:rPr>
        <w:t xml:space="preserve">i terminów jej przeprowadzania </w:t>
      </w:r>
      <w:r w:rsidRPr="003F77DD">
        <w:rPr>
          <w:rFonts w:ascii="Calibri" w:hAnsi="Calibri"/>
        </w:rPr>
        <w:t xml:space="preserve">(art. 4 ust. 2 pkt 8 </w:t>
      </w:r>
      <w:proofErr w:type="spellStart"/>
      <w:r w:rsidRPr="003F77DD">
        <w:rPr>
          <w:rFonts w:ascii="Calibri" w:hAnsi="Calibri"/>
          <w:i/>
        </w:rPr>
        <w:t>u.c.p.g</w:t>
      </w:r>
      <w:proofErr w:type="spellEnd"/>
      <w:r w:rsidRPr="003F77DD">
        <w:rPr>
          <w:rFonts w:ascii="Calibri" w:hAnsi="Calibri"/>
          <w:i/>
        </w:rPr>
        <w:t>.</w:t>
      </w:r>
      <w:r w:rsidRPr="003F77DD">
        <w:rPr>
          <w:rFonts w:ascii="Calibri" w:hAnsi="Calibri"/>
        </w:rPr>
        <w:t>). Wobec powyższego uznać należy, że Rada przekroczyła upoważnienie ustawowe w zakresie, w jakim kwestie ustalenia terminów przeprowadzenia deratyzacji rozszerzyła o określenie innych okoliczności związanych z jej przeprowadzeniem.</w:t>
      </w:r>
    </w:p>
    <w:p w:rsidR="00FC790C" w:rsidRPr="003F77DD" w:rsidRDefault="00FC790C" w:rsidP="003F77DD">
      <w:pPr>
        <w:spacing w:line="300" w:lineRule="exact"/>
        <w:ind w:firstLine="708"/>
        <w:jc w:val="both"/>
        <w:rPr>
          <w:rFonts w:ascii="Calibri" w:hAnsi="Calibri" w:cstheme="minorHAnsi"/>
        </w:rPr>
      </w:pPr>
      <w:r w:rsidRPr="003F77DD">
        <w:rPr>
          <w:rFonts w:ascii="Calibri" w:hAnsi="Calibri" w:cstheme="minorHAnsi"/>
        </w:rPr>
        <w:t xml:space="preserve">Mając na uwadze powyższe, stwierdzenie nieważności przedmiotowej </w:t>
      </w:r>
      <w:r w:rsidRPr="003F77DD">
        <w:rPr>
          <w:rFonts w:ascii="Calibri" w:hAnsi="Calibri" w:cstheme="minorHAnsi"/>
          <w:bCs/>
        </w:rPr>
        <w:t xml:space="preserve">uchwały </w:t>
      </w:r>
      <w:r w:rsidRPr="003F77DD">
        <w:rPr>
          <w:rFonts w:ascii="Calibri" w:hAnsi="Calibri" w:cstheme="minorHAnsi"/>
        </w:rPr>
        <w:t xml:space="preserve">Rady Miasta Pruszkowa, we wskazanej w petitum rozstrzygnięcia części, jest w pełni uzasadnione. </w:t>
      </w:r>
    </w:p>
    <w:p w:rsidR="00FC790C" w:rsidRPr="003F77DD" w:rsidRDefault="00FC790C" w:rsidP="003F77DD">
      <w:pPr>
        <w:spacing w:line="300" w:lineRule="exact"/>
        <w:ind w:firstLine="708"/>
        <w:jc w:val="both"/>
        <w:rPr>
          <w:rFonts w:ascii="Calibri" w:hAnsi="Calibri" w:cstheme="minorHAnsi"/>
        </w:rPr>
      </w:pPr>
      <w:r w:rsidRPr="003F77DD">
        <w:rPr>
          <w:rFonts w:ascii="Calibri" w:hAnsi="Calibri" w:cstheme="minorHAnsi"/>
        </w:rPr>
        <w:t xml:space="preserve">Na niniejsze rozstrzygnięcie nadzorcze Miastu przysługuje skarga do Wojewódzkiego Sądu Administracyjnego w Warszawie w terminie 30 dni od daty jego doręczenia, wnoszona </w:t>
      </w:r>
      <w:r w:rsidRPr="003F77DD">
        <w:rPr>
          <w:rFonts w:ascii="Calibri" w:hAnsi="Calibri" w:cstheme="minorHAnsi"/>
        </w:rPr>
        <w:br/>
        <w:t>za pośrednictwem organu, który skarżone orzeczenie wydał.</w:t>
      </w:r>
    </w:p>
    <w:p w:rsidR="00FC790C" w:rsidRPr="003F77DD" w:rsidRDefault="00FC790C" w:rsidP="003F77DD">
      <w:pPr>
        <w:pStyle w:val="Tekstpodstawowy"/>
        <w:spacing w:line="300" w:lineRule="exact"/>
        <w:ind w:right="-1" w:firstLine="708"/>
        <w:rPr>
          <w:rFonts w:ascii="Calibri" w:hAnsi="Calibri" w:cstheme="minorHAnsi"/>
          <w:sz w:val="24"/>
        </w:rPr>
      </w:pPr>
      <w:r w:rsidRPr="003F77DD">
        <w:rPr>
          <w:rFonts w:ascii="Calibri" w:hAnsi="Calibri" w:cstheme="minorHAnsi"/>
          <w:sz w:val="24"/>
        </w:rPr>
        <w:t>Informuję, że rozstrzygnięcie nadzorcze wstrzymuje wykonanie uchwały z mocy prawa, w części objętej orzeczeniem, z dniem jego doręczenia.</w:t>
      </w:r>
      <w:r w:rsidR="003F77DD">
        <w:rPr>
          <w:rFonts w:ascii="Calibri" w:hAnsi="Calibri" w:cstheme="minorHAnsi"/>
          <w:sz w:val="24"/>
        </w:rPr>
        <w:t xml:space="preserve"> </w:t>
      </w:r>
    </w:p>
    <w:sectPr w:rsidR="00FC790C" w:rsidRPr="003F77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8C2" w:rsidRDefault="005C18C2">
      <w:r>
        <w:separator/>
      </w:r>
    </w:p>
  </w:endnote>
  <w:endnote w:type="continuationSeparator" w:id="0">
    <w:p w:rsidR="005C18C2" w:rsidRDefault="005C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352075"/>
      <w:docPartObj>
        <w:docPartGallery w:val="Page Numbers (Bottom of Page)"/>
        <w:docPartUnique/>
      </w:docPartObj>
    </w:sdtPr>
    <w:sdtEndPr/>
    <w:sdtContent>
      <w:p w:rsidR="008E01B9" w:rsidRDefault="00FB2077">
        <w:pPr>
          <w:pStyle w:val="Stopka"/>
          <w:jc w:val="center"/>
        </w:pPr>
        <w:r>
          <w:fldChar w:fldCharType="begin"/>
        </w:r>
        <w:r>
          <w:instrText>PAGE   \* MERGEFORMAT</w:instrText>
        </w:r>
        <w:r>
          <w:fldChar w:fldCharType="separate"/>
        </w:r>
        <w:r w:rsidR="00A82759">
          <w:rPr>
            <w:noProof/>
          </w:rPr>
          <w:t>2</w:t>
        </w:r>
        <w:r>
          <w:fldChar w:fldCharType="end"/>
        </w:r>
      </w:p>
    </w:sdtContent>
  </w:sdt>
  <w:p w:rsidR="008E01B9" w:rsidRDefault="005C18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8C2" w:rsidRDefault="005C18C2">
      <w:r>
        <w:separator/>
      </w:r>
    </w:p>
  </w:footnote>
  <w:footnote w:type="continuationSeparator" w:id="0">
    <w:p w:rsidR="005C18C2" w:rsidRDefault="005C1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0C"/>
    <w:rsid w:val="00102F03"/>
    <w:rsid w:val="0020580B"/>
    <w:rsid w:val="0021352A"/>
    <w:rsid w:val="002162C8"/>
    <w:rsid w:val="00272D88"/>
    <w:rsid w:val="002A6AD6"/>
    <w:rsid w:val="003F77DD"/>
    <w:rsid w:val="0052348C"/>
    <w:rsid w:val="005C18C2"/>
    <w:rsid w:val="006026D9"/>
    <w:rsid w:val="0066234A"/>
    <w:rsid w:val="007F1BD2"/>
    <w:rsid w:val="007F3E0F"/>
    <w:rsid w:val="008538D9"/>
    <w:rsid w:val="00932607"/>
    <w:rsid w:val="009C30CA"/>
    <w:rsid w:val="009F1829"/>
    <w:rsid w:val="00A04EA6"/>
    <w:rsid w:val="00A82759"/>
    <w:rsid w:val="00AF034E"/>
    <w:rsid w:val="00C35BD9"/>
    <w:rsid w:val="00D94149"/>
    <w:rsid w:val="00E57BAA"/>
    <w:rsid w:val="00FB2077"/>
    <w:rsid w:val="00FC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32B4"/>
  <w15:chartTrackingRefBased/>
  <w15:docId w15:val="{9A20094F-E39E-4A39-8817-32F6FB8E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790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C790C"/>
    <w:pPr>
      <w:suppressAutoHyphens/>
      <w:spacing w:line="360" w:lineRule="auto"/>
      <w:jc w:val="both"/>
    </w:pPr>
    <w:rPr>
      <w:sz w:val="28"/>
      <w:lang w:eastAsia="ar-SA"/>
    </w:rPr>
  </w:style>
  <w:style w:type="character" w:customStyle="1" w:styleId="TekstpodstawowyZnak">
    <w:name w:val="Tekst podstawowy Znak"/>
    <w:basedOn w:val="Domylnaczcionkaakapitu"/>
    <w:link w:val="Tekstpodstawowy"/>
    <w:rsid w:val="00FC790C"/>
    <w:rPr>
      <w:rFonts w:ascii="Times New Roman" w:eastAsia="Times New Roman" w:hAnsi="Times New Roman" w:cs="Times New Roman"/>
      <w:sz w:val="28"/>
      <w:szCs w:val="24"/>
      <w:lang w:eastAsia="ar-SA"/>
    </w:rPr>
  </w:style>
  <w:style w:type="paragraph" w:styleId="Stopka">
    <w:name w:val="footer"/>
    <w:basedOn w:val="Normalny"/>
    <w:link w:val="StopkaZnak"/>
    <w:uiPriority w:val="99"/>
    <w:unhideWhenUsed/>
    <w:rsid w:val="00FC790C"/>
    <w:pPr>
      <w:tabs>
        <w:tab w:val="center" w:pos="4536"/>
        <w:tab w:val="right" w:pos="9072"/>
      </w:tabs>
    </w:pPr>
  </w:style>
  <w:style w:type="character" w:customStyle="1" w:styleId="StopkaZnak">
    <w:name w:val="Stopka Znak"/>
    <w:basedOn w:val="Domylnaczcionkaakapitu"/>
    <w:link w:val="Stopka"/>
    <w:uiPriority w:val="99"/>
    <w:rsid w:val="00FC790C"/>
    <w:rPr>
      <w:rFonts w:ascii="Times New Roman" w:eastAsia="Times New Roman" w:hAnsi="Times New Roman" w:cs="Times New Roman"/>
      <w:sz w:val="24"/>
      <w:szCs w:val="24"/>
      <w:lang w:eastAsia="pl-PL"/>
    </w:rPr>
  </w:style>
  <w:style w:type="character" w:customStyle="1" w:styleId="alb">
    <w:name w:val="a_lb"/>
    <w:basedOn w:val="Domylnaczcionkaakapitu"/>
    <w:rsid w:val="00D94149"/>
  </w:style>
  <w:style w:type="paragraph" w:styleId="NormalnyWeb">
    <w:name w:val="Normal (Web)"/>
    <w:basedOn w:val="Normalny"/>
    <w:uiPriority w:val="99"/>
    <w:semiHidden/>
    <w:unhideWhenUsed/>
    <w:rsid w:val="00272D88"/>
    <w:pPr>
      <w:spacing w:before="100" w:beforeAutospacing="1" w:after="100" w:afterAutospacing="1"/>
    </w:pPr>
  </w:style>
  <w:style w:type="character" w:customStyle="1" w:styleId="highlight">
    <w:name w:val="highlight"/>
    <w:basedOn w:val="Domylnaczcionkaakapitu"/>
    <w:rsid w:val="00272D88"/>
  </w:style>
  <w:style w:type="character" w:customStyle="1" w:styleId="warheader">
    <w:name w:val="war_header"/>
    <w:basedOn w:val="Domylnaczcionkaakapitu"/>
    <w:rsid w:val="00272D88"/>
  </w:style>
  <w:style w:type="character" w:styleId="Uwydatnienie">
    <w:name w:val="Emphasis"/>
    <w:basedOn w:val="Domylnaczcionkaakapitu"/>
    <w:uiPriority w:val="20"/>
    <w:qFormat/>
    <w:rsid w:val="00102F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427030">
      <w:bodyDiv w:val="1"/>
      <w:marLeft w:val="0"/>
      <w:marRight w:val="0"/>
      <w:marTop w:val="0"/>
      <w:marBottom w:val="0"/>
      <w:divBdr>
        <w:top w:val="none" w:sz="0" w:space="0" w:color="auto"/>
        <w:left w:val="none" w:sz="0" w:space="0" w:color="auto"/>
        <w:bottom w:val="none" w:sz="0" w:space="0" w:color="auto"/>
        <w:right w:val="none" w:sz="0" w:space="0" w:color="auto"/>
      </w:divBdr>
      <w:divsChild>
        <w:div w:id="992417956">
          <w:marLeft w:val="0"/>
          <w:marRight w:val="0"/>
          <w:marTop w:val="0"/>
          <w:marBottom w:val="0"/>
          <w:divBdr>
            <w:top w:val="none" w:sz="0" w:space="0" w:color="auto"/>
            <w:left w:val="none" w:sz="0" w:space="0" w:color="auto"/>
            <w:bottom w:val="none" w:sz="0" w:space="0" w:color="auto"/>
            <w:right w:val="none" w:sz="0" w:space="0" w:color="auto"/>
          </w:divBdr>
        </w:div>
      </w:divsChild>
    </w:div>
    <w:div w:id="445931094">
      <w:bodyDiv w:val="1"/>
      <w:marLeft w:val="0"/>
      <w:marRight w:val="0"/>
      <w:marTop w:val="0"/>
      <w:marBottom w:val="0"/>
      <w:divBdr>
        <w:top w:val="none" w:sz="0" w:space="0" w:color="auto"/>
        <w:left w:val="none" w:sz="0" w:space="0" w:color="auto"/>
        <w:bottom w:val="none" w:sz="0" w:space="0" w:color="auto"/>
        <w:right w:val="none" w:sz="0" w:space="0" w:color="auto"/>
      </w:divBdr>
      <w:divsChild>
        <w:div w:id="895505025">
          <w:marLeft w:val="0"/>
          <w:marRight w:val="0"/>
          <w:marTop w:val="0"/>
          <w:marBottom w:val="0"/>
          <w:divBdr>
            <w:top w:val="none" w:sz="0" w:space="0" w:color="auto"/>
            <w:left w:val="none" w:sz="0" w:space="0" w:color="auto"/>
            <w:bottom w:val="none" w:sz="0" w:space="0" w:color="auto"/>
            <w:right w:val="none" w:sz="0" w:space="0" w:color="auto"/>
          </w:divBdr>
        </w:div>
      </w:divsChild>
    </w:div>
    <w:div w:id="504781799">
      <w:bodyDiv w:val="1"/>
      <w:marLeft w:val="0"/>
      <w:marRight w:val="0"/>
      <w:marTop w:val="0"/>
      <w:marBottom w:val="0"/>
      <w:divBdr>
        <w:top w:val="none" w:sz="0" w:space="0" w:color="auto"/>
        <w:left w:val="none" w:sz="0" w:space="0" w:color="auto"/>
        <w:bottom w:val="none" w:sz="0" w:space="0" w:color="auto"/>
        <w:right w:val="none" w:sz="0" w:space="0" w:color="auto"/>
      </w:divBdr>
      <w:divsChild>
        <w:div w:id="2010791120">
          <w:marLeft w:val="0"/>
          <w:marRight w:val="0"/>
          <w:marTop w:val="0"/>
          <w:marBottom w:val="0"/>
          <w:divBdr>
            <w:top w:val="none" w:sz="0" w:space="0" w:color="auto"/>
            <w:left w:val="none" w:sz="0" w:space="0" w:color="auto"/>
            <w:bottom w:val="none" w:sz="0" w:space="0" w:color="auto"/>
            <w:right w:val="none" w:sz="0" w:space="0" w:color="auto"/>
          </w:divBdr>
        </w:div>
      </w:divsChild>
    </w:div>
    <w:div w:id="936207466">
      <w:bodyDiv w:val="1"/>
      <w:marLeft w:val="0"/>
      <w:marRight w:val="0"/>
      <w:marTop w:val="0"/>
      <w:marBottom w:val="0"/>
      <w:divBdr>
        <w:top w:val="none" w:sz="0" w:space="0" w:color="auto"/>
        <w:left w:val="none" w:sz="0" w:space="0" w:color="auto"/>
        <w:bottom w:val="none" w:sz="0" w:space="0" w:color="auto"/>
        <w:right w:val="none" w:sz="0" w:space="0" w:color="auto"/>
      </w:divBdr>
    </w:div>
    <w:div w:id="1029573825">
      <w:bodyDiv w:val="1"/>
      <w:marLeft w:val="0"/>
      <w:marRight w:val="0"/>
      <w:marTop w:val="0"/>
      <w:marBottom w:val="0"/>
      <w:divBdr>
        <w:top w:val="none" w:sz="0" w:space="0" w:color="auto"/>
        <w:left w:val="none" w:sz="0" w:space="0" w:color="auto"/>
        <w:bottom w:val="none" w:sz="0" w:space="0" w:color="auto"/>
        <w:right w:val="none" w:sz="0" w:space="0" w:color="auto"/>
      </w:divBdr>
      <w:divsChild>
        <w:div w:id="2001225566">
          <w:marLeft w:val="0"/>
          <w:marRight w:val="0"/>
          <w:marTop w:val="0"/>
          <w:marBottom w:val="0"/>
          <w:divBdr>
            <w:top w:val="none" w:sz="0" w:space="0" w:color="auto"/>
            <w:left w:val="none" w:sz="0" w:space="0" w:color="auto"/>
            <w:bottom w:val="none" w:sz="0" w:space="0" w:color="auto"/>
            <w:right w:val="none" w:sz="0" w:space="0" w:color="auto"/>
          </w:divBdr>
        </w:div>
        <w:div w:id="2123257507">
          <w:marLeft w:val="0"/>
          <w:marRight w:val="0"/>
          <w:marTop w:val="0"/>
          <w:marBottom w:val="0"/>
          <w:divBdr>
            <w:top w:val="none" w:sz="0" w:space="0" w:color="auto"/>
            <w:left w:val="none" w:sz="0" w:space="0" w:color="auto"/>
            <w:bottom w:val="none" w:sz="0" w:space="0" w:color="auto"/>
            <w:right w:val="none" w:sz="0" w:space="0" w:color="auto"/>
          </w:divBdr>
        </w:div>
      </w:divsChild>
    </w:div>
    <w:div w:id="1482773915">
      <w:bodyDiv w:val="1"/>
      <w:marLeft w:val="0"/>
      <w:marRight w:val="0"/>
      <w:marTop w:val="0"/>
      <w:marBottom w:val="0"/>
      <w:divBdr>
        <w:top w:val="none" w:sz="0" w:space="0" w:color="auto"/>
        <w:left w:val="none" w:sz="0" w:space="0" w:color="auto"/>
        <w:bottom w:val="none" w:sz="0" w:space="0" w:color="auto"/>
        <w:right w:val="none" w:sz="0" w:space="0" w:color="auto"/>
      </w:divBdr>
      <w:divsChild>
        <w:div w:id="7297359">
          <w:marLeft w:val="0"/>
          <w:marRight w:val="0"/>
          <w:marTop w:val="0"/>
          <w:marBottom w:val="0"/>
          <w:divBdr>
            <w:top w:val="none" w:sz="0" w:space="0" w:color="auto"/>
            <w:left w:val="none" w:sz="0" w:space="0" w:color="auto"/>
            <w:bottom w:val="none" w:sz="0" w:space="0" w:color="auto"/>
            <w:right w:val="none" w:sz="0" w:space="0" w:color="auto"/>
          </w:divBdr>
        </w:div>
      </w:divsChild>
    </w:div>
    <w:div w:id="1748113319">
      <w:bodyDiv w:val="1"/>
      <w:marLeft w:val="0"/>
      <w:marRight w:val="0"/>
      <w:marTop w:val="0"/>
      <w:marBottom w:val="0"/>
      <w:divBdr>
        <w:top w:val="none" w:sz="0" w:space="0" w:color="auto"/>
        <w:left w:val="none" w:sz="0" w:space="0" w:color="auto"/>
        <w:bottom w:val="none" w:sz="0" w:space="0" w:color="auto"/>
        <w:right w:val="none" w:sz="0" w:space="0" w:color="auto"/>
      </w:divBdr>
      <w:divsChild>
        <w:div w:id="1868715950">
          <w:marLeft w:val="0"/>
          <w:marRight w:val="0"/>
          <w:marTop w:val="0"/>
          <w:marBottom w:val="0"/>
          <w:divBdr>
            <w:top w:val="none" w:sz="0" w:space="0" w:color="auto"/>
            <w:left w:val="none" w:sz="0" w:space="0" w:color="auto"/>
            <w:bottom w:val="none" w:sz="0" w:space="0" w:color="auto"/>
            <w:right w:val="none" w:sz="0" w:space="0" w:color="auto"/>
          </w:divBdr>
        </w:div>
      </w:divsChild>
    </w:div>
    <w:div w:id="1778284506">
      <w:bodyDiv w:val="1"/>
      <w:marLeft w:val="0"/>
      <w:marRight w:val="0"/>
      <w:marTop w:val="0"/>
      <w:marBottom w:val="0"/>
      <w:divBdr>
        <w:top w:val="none" w:sz="0" w:space="0" w:color="auto"/>
        <w:left w:val="none" w:sz="0" w:space="0" w:color="auto"/>
        <w:bottom w:val="none" w:sz="0" w:space="0" w:color="auto"/>
        <w:right w:val="none" w:sz="0" w:space="0" w:color="auto"/>
      </w:divBdr>
      <w:divsChild>
        <w:div w:id="277735">
          <w:marLeft w:val="0"/>
          <w:marRight w:val="0"/>
          <w:marTop w:val="0"/>
          <w:marBottom w:val="0"/>
          <w:divBdr>
            <w:top w:val="none" w:sz="0" w:space="0" w:color="auto"/>
            <w:left w:val="none" w:sz="0" w:space="0" w:color="auto"/>
            <w:bottom w:val="none" w:sz="0" w:space="0" w:color="auto"/>
            <w:right w:val="none" w:sz="0" w:space="0" w:color="auto"/>
          </w:divBdr>
        </w:div>
        <w:div w:id="1948542589">
          <w:marLeft w:val="0"/>
          <w:marRight w:val="0"/>
          <w:marTop w:val="0"/>
          <w:marBottom w:val="0"/>
          <w:divBdr>
            <w:top w:val="none" w:sz="0" w:space="0" w:color="auto"/>
            <w:left w:val="none" w:sz="0" w:space="0" w:color="auto"/>
            <w:bottom w:val="none" w:sz="0" w:space="0" w:color="auto"/>
            <w:right w:val="none" w:sz="0" w:space="0" w:color="auto"/>
          </w:divBdr>
        </w:div>
      </w:divsChild>
    </w:div>
    <w:div w:id="1905216399">
      <w:bodyDiv w:val="1"/>
      <w:marLeft w:val="0"/>
      <w:marRight w:val="0"/>
      <w:marTop w:val="0"/>
      <w:marBottom w:val="0"/>
      <w:divBdr>
        <w:top w:val="none" w:sz="0" w:space="0" w:color="auto"/>
        <w:left w:val="none" w:sz="0" w:space="0" w:color="auto"/>
        <w:bottom w:val="none" w:sz="0" w:space="0" w:color="auto"/>
        <w:right w:val="none" w:sz="0" w:space="0" w:color="auto"/>
      </w:divBdr>
      <w:divsChild>
        <w:div w:id="429160170">
          <w:marLeft w:val="0"/>
          <w:marRight w:val="0"/>
          <w:marTop w:val="0"/>
          <w:marBottom w:val="0"/>
          <w:divBdr>
            <w:top w:val="none" w:sz="0" w:space="0" w:color="auto"/>
            <w:left w:val="none" w:sz="0" w:space="0" w:color="auto"/>
            <w:bottom w:val="none" w:sz="0" w:space="0" w:color="auto"/>
            <w:right w:val="none" w:sz="0" w:space="0" w:color="auto"/>
          </w:divBdr>
        </w:div>
      </w:divsChild>
    </w:div>
    <w:div w:id="1929843507">
      <w:bodyDiv w:val="1"/>
      <w:marLeft w:val="0"/>
      <w:marRight w:val="0"/>
      <w:marTop w:val="0"/>
      <w:marBottom w:val="0"/>
      <w:divBdr>
        <w:top w:val="none" w:sz="0" w:space="0" w:color="auto"/>
        <w:left w:val="none" w:sz="0" w:space="0" w:color="auto"/>
        <w:bottom w:val="none" w:sz="0" w:space="0" w:color="auto"/>
        <w:right w:val="none" w:sz="0" w:space="0" w:color="auto"/>
      </w:divBdr>
      <w:divsChild>
        <w:div w:id="23320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8814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Jadczyk-Sternicka</dc:creator>
  <cp:keywords/>
  <dc:description/>
  <cp:lastModifiedBy>Beata Darnowska</cp:lastModifiedBy>
  <cp:revision>2</cp:revision>
  <dcterms:created xsi:type="dcterms:W3CDTF">2020-08-03T08:43:00Z</dcterms:created>
  <dcterms:modified xsi:type="dcterms:W3CDTF">2020-08-03T08:43:00Z</dcterms:modified>
</cp:coreProperties>
</file>