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E4E33" w14:textId="77777777" w:rsidR="00612C01" w:rsidRPr="00176DB6" w:rsidRDefault="00612C01" w:rsidP="00612C01">
      <w:pPr>
        <w:spacing w:before="120"/>
        <w:rPr>
          <w:rFonts w:cs="Arial"/>
          <w:lang w:eastAsia="pl-PL"/>
        </w:rPr>
      </w:pPr>
      <w:r w:rsidRPr="00176DB6">
        <w:rPr>
          <w:rFonts w:cs="Arial"/>
          <w:lang w:eastAsia="pl-PL"/>
        </w:rPr>
        <w:t>Dla poprawienia czytelności diagram został przy pomocy kolorów podzielony na obszary funkcjonalne w</w:t>
      </w:r>
      <w:r>
        <w:rPr>
          <w:rFonts w:cs="Arial"/>
          <w:lang w:eastAsia="pl-PL"/>
        </w:rPr>
        <w:t> </w:t>
      </w:r>
      <w:r w:rsidRPr="00176DB6">
        <w:rPr>
          <w:rFonts w:cs="Arial"/>
          <w:lang w:eastAsia="pl-PL"/>
        </w:rPr>
        <w:t>następujący sposób:</w:t>
      </w:r>
    </w:p>
    <w:p w14:paraId="622AED8A" w14:textId="77777777" w:rsidR="00612C01" w:rsidRPr="00176DB6" w:rsidRDefault="00612C01" w:rsidP="00612C01">
      <w:pPr>
        <w:numPr>
          <w:ilvl w:val="0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kolor czerwony – systemy gromadzące dane medyczne</w:t>
      </w:r>
    </w:p>
    <w:p w14:paraId="23E7C05E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Gromadzenia Danych Medycznych – Recepty (SGR) – baza danych recept elektronicznych</w:t>
      </w:r>
    </w:p>
    <w:p w14:paraId="0CCBABF2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Gromadzenia Danych Medycznych – Skierowania (SGS) – baza danych skierowań elektronicznych</w:t>
      </w:r>
    </w:p>
    <w:p w14:paraId="7C901590" w14:textId="77777777" w:rsid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Gromadzenia Danych Medycznych – Zdarzenia medyczne (SGZ) – baza danych zdarzeń medycznych i indeksów dokumentacji medycznej</w:t>
      </w:r>
    </w:p>
    <w:p w14:paraId="3E982D6C" w14:textId="77777777" w:rsidR="00612C01" w:rsidRPr="00293C7A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>
        <w:rPr>
          <w:rFonts w:cs="Arial"/>
          <w:lang w:eastAsia="pl-PL"/>
        </w:rPr>
        <w:t xml:space="preserve">System Gromadzenia Danych Medycznych - </w:t>
      </w:r>
      <w:r>
        <w:t>Podsumowanie Danych o Pacjencie (SGP) – baza danych informacji o pacjencie (</w:t>
      </w:r>
      <w:proofErr w:type="spellStart"/>
      <w:r>
        <w:t>Patient</w:t>
      </w:r>
      <w:proofErr w:type="spellEnd"/>
      <w:r>
        <w:t xml:space="preserve"> </w:t>
      </w:r>
      <w:proofErr w:type="spellStart"/>
      <w:r>
        <w:t>Summary</w:t>
      </w:r>
      <w:proofErr w:type="spellEnd"/>
      <w:r>
        <w:t>)</w:t>
      </w:r>
    </w:p>
    <w:p w14:paraId="6F1368AA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 xml:space="preserve">System </w:t>
      </w:r>
      <w:r>
        <w:rPr>
          <w:rFonts w:cs="Arial"/>
          <w:lang w:eastAsia="pl-PL"/>
        </w:rPr>
        <w:t>g</w:t>
      </w:r>
      <w:r w:rsidRPr="00176DB6">
        <w:rPr>
          <w:rFonts w:cs="Arial"/>
          <w:lang w:eastAsia="pl-PL"/>
        </w:rPr>
        <w:t xml:space="preserve">romadzenia </w:t>
      </w:r>
      <w:r>
        <w:rPr>
          <w:rFonts w:cs="Arial"/>
          <w:lang w:eastAsia="pl-PL"/>
        </w:rPr>
        <w:t>e-Zwolnień</w:t>
      </w:r>
      <w:r w:rsidRPr="00176DB6">
        <w:rPr>
          <w:rFonts w:cs="Arial"/>
          <w:lang w:eastAsia="pl-PL"/>
        </w:rPr>
        <w:t xml:space="preserve"> (</w:t>
      </w:r>
      <w:r>
        <w:rPr>
          <w:rFonts w:cs="Arial"/>
          <w:lang w:eastAsia="pl-PL"/>
        </w:rPr>
        <w:t>ZLA</w:t>
      </w:r>
      <w:r w:rsidRPr="00176DB6">
        <w:rPr>
          <w:rFonts w:cs="Arial"/>
          <w:lang w:eastAsia="pl-PL"/>
        </w:rPr>
        <w:t xml:space="preserve">) – baza danych </w:t>
      </w:r>
      <w:r>
        <w:rPr>
          <w:rFonts w:cs="Arial"/>
          <w:lang w:eastAsia="pl-PL"/>
        </w:rPr>
        <w:t>elektronicznych zwolnień Pacjenta</w:t>
      </w:r>
    </w:p>
    <w:p w14:paraId="56A33931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 xml:space="preserve">System </w:t>
      </w:r>
      <w:r>
        <w:rPr>
          <w:rFonts w:cs="Arial"/>
          <w:lang w:eastAsia="pl-PL"/>
        </w:rPr>
        <w:t>Elektronicznej Rejestracji</w:t>
      </w:r>
      <w:r w:rsidRPr="00176DB6">
        <w:rPr>
          <w:rFonts w:cs="Arial"/>
          <w:lang w:eastAsia="pl-PL"/>
        </w:rPr>
        <w:t xml:space="preserve"> (S</w:t>
      </w:r>
      <w:r>
        <w:rPr>
          <w:rFonts w:cs="Arial"/>
          <w:lang w:eastAsia="pl-PL"/>
        </w:rPr>
        <w:t>ER</w:t>
      </w:r>
      <w:r w:rsidRPr="00176DB6">
        <w:rPr>
          <w:rFonts w:cs="Arial"/>
          <w:lang w:eastAsia="pl-PL"/>
        </w:rPr>
        <w:t xml:space="preserve">) – baza danych </w:t>
      </w:r>
      <w:r>
        <w:rPr>
          <w:rFonts w:cs="Arial"/>
          <w:lang w:eastAsia="pl-PL"/>
        </w:rPr>
        <w:t>harmonogramów świadczeń</w:t>
      </w:r>
    </w:p>
    <w:p w14:paraId="4ED5FB52" w14:textId="77777777" w:rsidR="00612C01" w:rsidRPr="00176DB6" w:rsidRDefault="00612C01" w:rsidP="00612C01">
      <w:pPr>
        <w:suppressAutoHyphens/>
        <w:spacing w:before="120" w:after="0" w:line="276" w:lineRule="auto"/>
        <w:rPr>
          <w:rFonts w:cs="Arial"/>
          <w:lang w:eastAsia="pl-PL"/>
        </w:rPr>
      </w:pPr>
    </w:p>
    <w:p w14:paraId="02174F8F" w14:textId="77777777" w:rsidR="00612C01" w:rsidRPr="00176DB6" w:rsidRDefault="00612C01" w:rsidP="00612C01">
      <w:pPr>
        <w:numPr>
          <w:ilvl w:val="0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kolor żółty – systemy obsługujące weryfikację danych, w tym przechowujące rejestry i słowniki,</w:t>
      </w:r>
    </w:p>
    <w:p w14:paraId="5353E176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 xml:space="preserve">System Weryfikacji Danych (SWD) – system </w:t>
      </w:r>
      <w:proofErr w:type="spellStart"/>
      <w:r w:rsidRPr="00176DB6">
        <w:rPr>
          <w:rFonts w:cs="Arial"/>
          <w:lang w:eastAsia="pl-PL"/>
        </w:rPr>
        <w:t>regułowy</w:t>
      </w:r>
      <w:proofErr w:type="spellEnd"/>
      <w:r w:rsidRPr="00176DB6">
        <w:rPr>
          <w:rFonts w:cs="Arial"/>
          <w:lang w:eastAsia="pl-PL"/>
        </w:rPr>
        <w:t xml:space="preserve"> zawierający logikę weryfikacji poprawności danych przekazywanych do systemu</w:t>
      </w:r>
    </w:p>
    <w:p w14:paraId="53FD54C5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Obsługi Rejestrów – Rejestry (SRR) – system przechowujący dane Centralnego Wykazu Usługobiorców, Centralnego Wykazu Usługodawców i Centralnego Wykazu Pracowników Medycznych</w:t>
      </w:r>
    </w:p>
    <w:p w14:paraId="38A9DF6F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Obsługi Rejestrów – Słowniki (SRS) – system przechowujący słowniki wykorzystywane w P1</w:t>
      </w:r>
    </w:p>
    <w:p w14:paraId="67ED854E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Obsługi Rejestrów – Zarządzanie Danymi Podstawowymi – system stanowiący interfejs automatyczny i graficzny umożliwiający zasilanie rejestrów i słowników</w:t>
      </w:r>
    </w:p>
    <w:p w14:paraId="1E1FF554" w14:textId="77777777" w:rsidR="00612C01" w:rsidRPr="00176DB6" w:rsidRDefault="00612C01" w:rsidP="00612C01">
      <w:pPr>
        <w:numPr>
          <w:ilvl w:val="0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kolor niebieski – systemy udostępniające interfejs graficzny użytkownikom końcowym,</w:t>
      </w:r>
    </w:p>
    <w:p w14:paraId="4B1351E2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Internetowe Konto Pacjenta (IKP) – portal przeznaczony dla usługobiorców</w:t>
      </w:r>
    </w:p>
    <w:p w14:paraId="3F39380C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Aplikacja Usługodawców i Aptek (</w:t>
      </w:r>
      <w:proofErr w:type="spellStart"/>
      <w:r w:rsidRPr="00176DB6">
        <w:rPr>
          <w:rFonts w:cs="Arial"/>
          <w:lang w:eastAsia="pl-PL"/>
        </w:rPr>
        <w:t>AU</w:t>
      </w:r>
      <w:r>
        <w:rPr>
          <w:rFonts w:cs="Arial"/>
          <w:lang w:eastAsia="pl-PL"/>
        </w:rPr>
        <w:t>i</w:t>
      </w:r>
      <w:r w:rsidRPr="00176DB6">
        <w:rPr>
          <w:rFonts w:cs="Arial"/>
          <w:lang w:eastAsia="pl-PL"/>
        </w:rPr>
        <w:t>A</w:t>
      </w:r>
      <w:proofErr w:type="spellEnd"/>
      <w:r w:rsidRPr="00176DB6">
        <w:rPr>
          <w:rFonts w:cs="Arial"/>
          <w:lang w:eastAsia="pl-PL"/>
        </w:rPr>
        <w:t>) – portal przeznaczony dla usługodawców i pracowników medycznych</w:t>
      </w:r>
    </w:p>
    <w:p w14:paraId="1128023F" w14:textId="77777777" w:rsidR="00612C01" w:rsidRPr="00D00824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Portal – Platforma Publikacyjna (PPP) – portal informacyjny</w:t>
      </w:r>
    </w:p>
    <w:p w14:paraId="46EAF537" w14:textId="77777777" w:rsidR="00612C01" w:rsidRPr="006C6021" w:rsidRDefault="00612C01" w:rsidP="00612C01">
      <w:pPr>
        <w:numPr>
          <w:ilvl w:val="0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 xml:space="preserve">kolor </w:t>
      </w:r>
      <w:r>
        <w:rPr>
          <w:rFonts w:cs="Arial"/>
          <w:lang w:eastAsia="pl-PL"/>
        </w:rPr>
        <w:t>fioletowy</w:t>
      </w:r>
      <w:r w:rsidRPr="00176DB6">
        <w:rPr>
          <w:rFonts w:cs="Arial"/>
          <w:lang w:eastAsia="pl-PL"/>
        </w:rPr>
        <w:t xml:space="preserve"> – systemy udostępniające interfejs graficzny użytkownikom końcowym,</w:t>
      </w:r>
      <w:r>
        <w:rPr>
          <w:rFonts w:cs="Arial"/>
          <w:lang w:eastAsia="pl-PL"/>
        </w:rPr>
        <w:t xml:space="preserve"> budowane w Fazie 2</w:t>
      </w:r>
    </w:p>
    <w:p w14:paraId="3ECE2003" w14:textId="77777777" w:rsidR="00612C01" w:rsidRDefault="00612C01" w:rsidP="00612C01">
      <w:pPr>
        <w:numPr>
          <w:ilvl w:val="1"/>
          <w:numId w:val="1"/>
        </w:numPr>
        <w:spacing w:before="120" w:after="0" w:line="276" w:lineRule="auto"/>
        <w:rPr>
          <w:lang w:eastAsia="pl-PL"/>
        </w:rPr>
      </w:pPr>
      <w:r w:rsidRPr="6547D4D8">
        <w:rPr>
          <w:rFonts w:cs="Arial"/>
          <w:lang w:eastAsia="pl-PL"/>
        </w:rPr>
        <w:t xml:space="preserve">System </w:t>
      </w:r>
      <w:proofErr w:type="spellStart"/>
      <w:r>
        <w:rPr>
          <w:rFonts w:cs="Arial"/>
          <w:lang w:eastAsia="pl-PL"/>
        </w:rPr>
        <w:t>T</w:t>
      </w:r>
      <w:r w:rsidRPr="6547D4D8">
        <w:rPr>
          <w:rFonts w:cs="Arial"/>
          <w:lang w:eastAsia="pl-PL"/>
        </w:rPr>
        <w:t>eleporady</w:t>
      </w:r>
      <w:proofErr w:type="spellEnd"/>
      <w:r w:rsidRPr="6547D4D8">
        <w:rPr>
          <w:rFonts w:cs="Arial"/>
          <w:lang w:eastAsia="pl-PL"/>
        </w:rPr>
        <w:t xml:space="preserve"> (STP)</w:t>
      </w:r>
    </w:p>
    <w:p w14:paraId="04AEF58D" w14:textId="77777777" w:rsidR="00612C01" w:rsidRPr="00176DB6" w:rsidRDefault="00612C01" w:rsidP="00612C01">
      <w:pPr>
        <w:numPr>
          <w:ilvl w:val="0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kolor zielony – Szyna Usług (SUS) – moduł integracyjny klasy szyny integracyjnej</w:t>
      </w:r>
      <w:r>
        <w:rPr>
          <w:rFonts w:cs="Arial"/>
          <w:lang w:eastAsia="pl-PL"/>
        </w:rPr>
        <w:t xml:space="preserve"> (obsługującej procesy wewnętrzne i zewnętrzne)</w:t>
      </w:r>
      <w:r w:rsidRPr="00176DB6">
        <w:rPr>
          <w:rFonts w:cs="Arial"/>
          <w:lang w:eastAsia="pl-PL"/>
        </w:rPr>
        <w:t>,</w:t>
      </w:r>
    </w:p>
    <w:p w14:paraId="470EC943" w14:textId="77777777" w:rsidR="00612C01" w:rsidRPr="00176DB6" w:rsidRDefault="00612C01" w:rsidP="00612C01">
      <w:pPr>
        <w:numPr>
          <w:ilvl w:val="0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kolor różowy – hurtownia danych,</w:t>
      </w:r>
    </w:p>
    <w:p w14:paraId="1D4BDB2B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lastRenderedPageBreak/>
        <w:t>Hurtownia Danych – Analizy, Statystyki, Raporty (ASR) – rozwiązanie klasy hurtowni danych</w:t>
      </w:r>
    </w:p>
    <w:p w14:paraId="0223D392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Hurtownia Danych – Monitorowanie (HDM) – warstwa wskaźników hurtowni danych</w:t>
      </w:r>
    </w:p>
    <w:p w14:paraId="33783E70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Wykrywania Nadużyć (SWN) – warstwa wykrywania nadużyć hurtowni danych</w:t>
      </w:r>
    </w:p>
    <w:p w14:paraId="27002396" w14:textId="77777777" w:rsidR="00612C01" w:rsidRPr="00176DB6" w:rsidRDefault="00612C01" w:rsidP="00612C01">
      <w:pPr>
        <w:numPr>
          <w:ilvl w:val="0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kolor pomarańczowy – systemy administracyjne.</w:t>
      </w:r>
    </w:p>
    <w:p w14:paraId="4B61F441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 xml:space="preserve">System Administracji – Zabezpieczenia i Prywatność (SAZ) – system przechowujący dane kont oraz informacje </w:t>
      </w:r>
      <w:proofErr w:type="spellStart"/>
      <w:r w:rsidRPr="00176DB6">
        <w:rPr>
          <w:rFonts w:cs="Arial"/>
          <w:lang w:eastAsia="pl-PL"/>
        </w:rPr>
        <w:t>personalizacyjne</w:t>
      </w:r>
      <w:proofErr w:type="spellEnd"/>
    </w:p>
    <w:p w14:paraId="07E43563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Administracji – Audyt (SAU) – Podsystem audytowy</w:t>
      </w:r>
    </w:p>
    <w:p w14:paraId="58E0CD49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Administracji – Administracja (SAA) – Podsystem udostępniający funkcjonalności administracyjne P1</w:t>
      </w:r>
    </w:p>
    <w:p w14:paraId="43305DCF" w14:textId="77777777" w:rsidR="00612C01" w:rsidRPr="00176DB6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System Obsługi Wniosków (SOW) – moduł Podsystemu SAA umożliwiający składanie i obsługę wniosków o konto w Systemie P1</w:t>
      </w:r>
    </w:p>
    <w:p w14:paraId="318BA471" w14:textId="77777777" w:rsidR="00612C01" w:rsidRPr="00D00824" w:rsidRDefault="00612C01" w:rsidP="00612C01">
      <w:pPr>
        <w:numPr>
          <w:ilvl w:val="0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176DB6">
        <w:rPr>
          <w:rFonts w:cs="Arial"/>
          <w:lang w:eastAsia="pl-PL"/>
        </w:rPr>
        <w:t>kolor szary – systemy zewnętrzne w stosunku do P1</w:t>
      </w:r>
      <w:r>
        <w:rPr>
          <w:rFonts w:cs="Arial"/>
          <w:lang w:eastAsia="pl-PL"/>
        </w:rPr>
        <w:t xml:space="preserve"> w tym m.in.:</w:t>
      </w:r>
    </w:p>
    <w:p w14:paraId="4F92E76F" w14:textId="4FC5D5D5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Profil Zaufany</w:t>
      </w:r>
    </w:p>
    <w:p w14:paraId="51C55C13" w14:textId="258C6D23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>
        <w:rPr>
          <w:rFonts w:cs="Arial"/>
          <w:lang w:eastAsia="pl-PL"/>
        </w:rPr>
        <w:t xml:space="preserve">System </w:t>
      </w:r>
      <w:r w:rsidRPr="00612C01">
        <w:rPr>
          <w:rFonts w:cs="Arial"/>
          <w:lang w:eastAsia="pl-PL"/>
        </w:rPr>
        <w:t>P2</w:t>
      </w:r>
    </w:p>
    <w:p w14:paraId="1B6A1B13" w14:textId="515339A0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System Informatyczny 500+</w:t>
      </w:r>
    </w:p>
    <w:p w14:paraId="509D5708" w14:textId="40150BA1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Węzeł Krajowy</w:t>
      </w:r>
    </w:p>
    <w:p w14:paraId="3F20B169" w14:textId="02297597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ZUS</w:t>
      </w:r>
    </w:p>
    <w:p w14:paraId="6442EB60" w14:textId="4B94C63C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ZSMOPL</w:t>
      </w:r>
    </w:p>
    <w:p w14:paraId="764CA0BB" w14:textId="173ED060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SRP</w:t>
      </w:r>
    </w:p>
    <w:p w14:paraId="74BF247C" w14:textId="491F3BFB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SOLR</w:t>
      </w:r>
    </w:p>
    <w:p w14:paraId="63E7A14E" w14:textId="7535BBF7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RPL</w:t>
      </w:r>
    </w:p>
    <w:p w14:paraId="48241BB5" w14:textId="1C5AD732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proofErr w:type="spellStart"/>
      <w:r w:rsidRPr="00612C01">
        <w:rPr>
          <w:rFonts w:cs="Arial"/>
          <w:lang w:eastAsia="pl-PL"/>
        </w:rPr>
        <w:t>mObywatel</w:t>
      </w:r>
      <w:proofErr w:type="spellEnd"/>
    </w:p>
    <w:p w14:paraId="2C47B796" w14:textId="31CB7357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proofErr w:type="spellStart"/>
      <w:r w:rsidRPr="00612C01">
        <w:rPr>
          <w:rFonts w:cs="Arial"/>
          <w:lang w:eastAsia="pl-PL"/>
        </w:rPr>
        <w:t>eHDSI</w:t>
      </w:r>
      <w:proofErr w:type="spellEnd"/>
    </w:p>
    <w:p w14:paraId="565ABE3F" w14:textId="640412C9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e-krew</w:t>
      </w:r>
    </w:p>
    <w:p w14:paraId="72415F09" w14:textId="5158209E" w:rsidR="00612C01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system usługodawców (w tym platformy regionalne)</w:t>
      </w:r>
    </w:p>
    <w:p w14:paraId="23AE5344" w14:textId="3E214132" w:rsidR="00D66B4A" w:rsidRPr="00612C01" w:rsidRDefault="00612C01" w:rsidP="00612C01">
      <w:pPr>
        <w:numPr>
          <w:ilvl w:val="1"/>
          <w:numId w:val="1"/>
        </w:numPr>
        <w:suppressAutoHyphens/>
        <w:spacing w:before="120" w:after="0" w:line="276" w:lineRule="auto"/>
        <w:rPr>
          <w:rFonts w:cs="Arial"/>
          <w:lang w:eastAsia="pl-PL"/>
        </w:rPr>
      </w:pPr>
      <w:r w:rsidRPr="00612C01">
        <w:rPr>
          <w:rFonts w:cs="Arial"/>
          <w:lang w:eastAsia="pl-PL"/>
        </w:rPr>
        <w:t>NFZ</w:t>
      </w:r>
    </w:p>
    <w:sectPr w:rsidR="00D66B4A" w:rsidRPr="00612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FC520F"/>
    <w:multiLevelType w:val="hybridMultilevel"/>
    <w:tmpl w:val="9BCA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DC3CE3"/>
    <w:multiLevelType w:val="hybridMultilevel"/>
    <w:tmpl w:val="EFAAE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139"/>
    <w:rsid w:val="00612C01"/>
    <w:rsid w:val="007B5EF7"/>
    <w:rsid w:val="009B2583"/>
    <w:rsid w:val="00B54CD5"/>
    <w:rsid w:val="00BC0139"/>
    <w:rsid w:val="00D1274B"/>
    <w:rsid w:val="00E9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6121"/>
  <w15:chartTrackingRefBased/>
  <w15:docId w15:val="{97F26A3D-AC6A-46A4-A0AA-9D699962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01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2C0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C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CENTRUM\R.ORLIK</Osoba>
    <NazwaPliku xmlns="F60F55B9-AC12-46BD-85CA-E0578CFCB3C7">Zał.1_Opis_architektury.docx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6D213-31D6-4E64-BA15-3AD2BA3265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2.xml><?xml version="1.0" encoding="utf-8"?>
<ds:datastoreItem xmlns:ds="http://schemas.openxmlformats.org/officeDocument/2006/customXml" ds:itemID="{AE012D4B-B8BF-4C31-9B43-69F468B8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Orlik Rafał</dc:creator>
  <cp:keywords/>
  <dc:description/>
  <cp:lastModifiedBy>Perzyńska Ewa</cp:lastModifiedBy>
  <cp:revision>2</cp:revision>
  <dcterms:created xsi:type="dcterms:W3CDTF">2020-06-08T14:47:00Z</dcterms:created>
  <dcterms:modified xsi:type="dcterms:W3CDTF">2020-06-08T14:47:00Z</dcterms:modified>
</cp:coreProperties>
</file>