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D7AB2" w14:textId="77777777" w:rsidR="007276C5" w:rsidRDefault="007276C5" w:rsidP="007276C5">
      <w:pPr>
        <w:suppressAutoHyphens/>
        <w:autoSpaceDN w:val="0"/>
        <w:spacing w:line="360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>Wytyczne do zadania problemowego</w:t>
      </w:r>
    </w:p>
    <w:p w14:paraId="5F28EC48" w14:textId="77777777" w:rsidR="007276C5" w:rsidRDefault="007276C5" w:rsidP="007276C5">
      <w:pPr>
        <w:suppressAutoHyphens/>
        <w:autoSpaceDN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 egzamin dla osób ubiegających się o licencję doradcy restrukturyzacyjnego</w:t>
      </w:r>
      <w:r>
        <w:rPr>
          <w:rFonts w:eastAsia="Calibri"/>
          <w:b/>
          <w:lang w:eastAsia="en-US"/>
        </w:rPr>
        <w:br/>
        <w:t xml:space="preserve"> wyznaczony na dzień 31 sierpnia 2020 r.</w:t>
      </w:r>
    </w:p>
    <w:p w14:paraId="3FFD7C65" w14:textId="77777777" w:rsidR="007276C5" w:rsidRPr="007276C5" w:rsidRDefault="007276C5" w:rsidP="001F6C73">
      <w:pPr>
        <w:suppressAutoHyphens/>
        <w:autoSpaceDN w:val="0"/>
        <w:spacing w:line="360" w:lineRule="auto"/>
        <w:ind w:right="70"/>
        <w:rPr>
          <w:b/>
        </w:rPr>
      </w:pPr>
    </w:p>
    <w:p w14:paraId="7A99FA4A" w14:textId="77777777" w:rsidR="007276C5" w:rsidRPr="007276C5" w:rsidRDefault="007276C5" w:rsidP="007276C5">
      <w:pPr>
        <w:numPr>
          <w:ilvl w:val="3"/>
          <w:numId w:val="1"/>
        </w:numPr>
        <w:suppressAutoHyphens/>
        <w:autoSpaceDN w:val="0"/>
        <w:spacing w:line="360" w:lineRule="auto"/>
        <w:ind w:left="0" w:right="70" w:firstLine="0"/>
      </w:pPr>
      <w:r w:rsidRPr="007276C5">
        <w:t>Układem były objęte wierzytelności następujących wierzycieli:</w:t>
      </w:r>
    </w:p>
    <w:p w14:paraId="0023F3A7" w14:textId="77777777" w:rsidR="007276C5" w:rsidRPr="007276C5" w:rsidRDefault="007276C5" w:rsidP="007276C5">
      <w:pPr>
        <w:suppressAutoHyphens/>
        <w:autoSpaceDN w:val="0"/>
        <w:spacing w:line="360" w:lineRule="auto"/>
        <w:ind w:right="70"/>
        <w:jc w:val="both"/>
        <w:textAlignment w:val="baseline"/>
      </w:pPr>
      <w:r w:rsidRPr="007276C5">
        <w:rPr>
          <w:b/>
          <w:lang w:eastAsia="ar-SA"/>
        </w:rPr>
        <w:t>a)</w:t>
      </w:r>
      <w:r w:rsidR="00681074">
        <w:rPr>
          <w:lang w:eastAsia="ar-SA"/>
        </w:rPr>
        <w:t xml:space="preserve">        </w:t>
      </w:r>
      <w:r w:rsidRPr="007276C5">
        <w:rPr>
          <w:lang w:eastAsia="ar-SA"/>
        </w:rPr>
        <w:t xml:space="preserve">DOBRY </w:t>
      </w:r>
      <w:r w:rsidRPr="007276C5">
        <w:t xml:space="preserve">LEASING S.A. z siedzibą w P. w kwocie 4000 zł. </w:t>
      </w:r>
    </w:p>
    <w:p w14:paraId="7E47106D" w14:textId="77777777" w:rsidR="007276C5" w:rsidRPr="007276C5" w:rsidRDefault="00681074" w:rsidP="00681074">
      <w:pPr>
        <w:suppressAutoHyphens/>
        <w:autoSpaceDN w:val="0"/>
        <w:spacing w:line="360" w:lineRule="auto"/>
        <w:ind w:right="70" w:firstLine="567"/>
        <w:jc w:val="both"/>
        <w:textAlignment w:val="baseline"/>
      </w:pPr>
      <w:r>
        <w:t xml:space="preserve">  </w:t>
      </w:r>
      <w:r w:rsidR="007276C5" w:rsidRPr="007276C5">
        <w:t xml:space="preserve">Zgodnie z art. 77 ust. 1 </w:t>
      </w:r>
      <w:proofErr w:type="spellStart"/>
      <w:r w:rsidR="007276C5" w:rsidRPr="007276C5">
        <w:t>PrRest</w:t>
      </w:r>
      <w:proofErr w:type="spellEnd"/>
      <w:r w:rsidR="007276C5" w:rsidRPr="007276C5">
        <w:t xml:space="preserve">., wierzytelność za okres rozliczeniowy, w trakcie którego zostało otwarte postępowanie restrukturyzacyjne, w szczególności z tytułu czynszu najmu lub dzierżawy, podatków lub składek na ubezpieczenia społeczne, ulega z mocy prawa proporcjonalnemu podziałowi na część traktowaną jak wierzytelność powstała przed dniem otwarcia postępowania oraz część traktowaną jak wierzytelność powstająca po dniu otwarcia postępowania. W myśl ust. 2 art. 77 </w:t>
      </w:r>
      <w:proofErr w:type="spellStart"/>
      <w:r w:rsidR="007276C5" w:rsidRPr="007276C5">
        <w:t>PrRest</w:t>
      </w:r>
      <w:proofErr w:type="spellEnd"/>
      <w:r w:rsidR="007276C5" w:rsidRPr="007276C5">
        <w:t xml:space="preserve">., jeżeli przedmiot leasingu nie stanowi </w:t>
      </w:r>
      <w:r w:rsidR="007276C5" w:rsidRPr="007276C5">
        <w:br/>
        <w:t>u korzystającego dłużnika środka trwałego w rozumieniu </w:t>
      </w:r>
      <w:hyperlink r:id="rId5" w:anchor="hiperlinkText.rpc?hiperlink=type=tresc:nro=Powszechny.2253398:ver=11&amp;full=1" w:tgtFrame="_parent" w:history="1">
        <w:r w:rsidR="007276C5" w:rsidRPr="00295F39">
          <w:t>ustawy</w:t>
        </w:r>
      </w:hyperlink>
      <w:r w:rsidR="007276C5" w:rsidRPr="007276C5">
        <w:t xml:space="preserve"> z dnia 26 lipca 1991 r. </w:t>
      </w:r>
      <w:r w:rsidR="007276C5" w:rsidRPr="007276C5">
        <w:br/>
        <w:t xml:space="preserve">o podatku dochodowym od osób fizycznych (Dz. U. z 2018 r. poz. 1509, z </w:t>
      </w:r>
      <w:proofErr w:type="spellStart"/>
      <w:r w:rsidR="007276C5" w:rsidRPr="007276C5">
        <w:t>późn</w:t>
      </w:r>
      <w:proofErr w:type="spellEnd"/>
      <w:r w:rsidR="007276C5" w:rsidRPr="007276C5">
        <w:t>. zm.) oraz </w:t>
      </w:r>
      <w:hyperlink r:id="rId6" w:anchor="hiperlinkText.rpc?hiperlink=type=tresc:nro=Powszechny.2226635:ver=10&amp;full=1" w:tgtFrame="_parent" w:history="1">
        <w:r w:rsidR="007276C5" w:rsidRPr="00295F39">
          <w:t>ustawy</w:t>
        </w:r>
      </w:hyperlink>
      <w:r w:rsidR="007276C5" w:rsidRPr="00295F39">
        <w:t> </w:t>
      </w:r>
      <w:r w:rsidR="007276C5" w:rsidRPr="007276C5">
        <w:t xml:space="preserve">z dnia 15 lutego 1992 r. o podatku dochodowym od osób prawnych </w:t>
      </w:r>
      <w:r w:rsidR="007276C5" w:rsidRPr="007276C5">
        <w:br/>
        <w:t xml:space="preserve">(Dz. U. z 2018 r. poz. 1036, z </w:t>
      </w:r>
      <w:proofErr w:type="spellStart"/>
      <w:r w:rsidR="007276C5" w:rsidRPr="007276C5">
        <w:t>późn</w:t>
      </w:r>
      <w:proofErr w:type="spellEnd"/>
      <w:r w:rsidR="007276C5" w:rsidRPr="007276C5">
        <w:t>. zm.) do umowy leasingu przepis ust. 1 stosuje się.</w:t>
      </w:r>
    </w:p>
    <w:p w14:paraId="074E1FBC" w14:textId="77777777" w:rsidR="007276C5" w:rsidRPr="007276C5" w:rsidRDefault="007276C5" w:rsidP="001F6C73">
      <w:pPr>
        <w:suppressAutoHyphens/>
        <w:autoSpaceDN w:val="0"/>
        <w:spacing w:line="360" w:lineRule="auto"/>
        <w:ind w:right="70" w:firstLine="567"/>
        <w:jc w:val="both"/>
        <w:textAlignment w:val="baseline"/>
      </w:pPr>
      <w:r w:rsidRPr="007276C5">
        <w:t>Z uwagi na fakt, że w opisanym stanie faktycznym</w:t>
      </w:r>
      <w:r w:rsidR="00295F39">
        <w:t>,</w:t>
      </w:r>
      <w:r w:rsidRPr="007276C5">
        <w:t xml:space="preserve"> przedmiot leasingu nie stanowił </w:t>
      </w:r>
      <w:r w:rsidRPr="007276C5">
        <w:br/>
        <w:t xml:space="preserve">u dłużnika środka trwałego w rozumieniu powyższych przepisów podatkowych, a także </w:t>
      </w:r>
      <w:r w:rsidRPr="007276C5">
        <w:br/>
        <w:t xml:space="preserve">z uwagi na treść art. 77 ust. 1 i 2 </w:t>
      </w:r>
      <w:proofErr w:type="spellStart"/>
      <w:r w:rsidRPr="007276C5">
        <w:t>PrRest</w:t>
      </w:r>
      <w:proofErr w:type="spellEnd"/>
      <w:r w:rsidRPr="007276C5">
        <w:t xml:space="preserve">., wierzytelność DOBRY LEASING S.A. tylko </w:t>
      </w:r>
      <w:r w:rsidRPr="007276C5">
        <w:br/>
        <w:t xml:space="preserve">w części objęta była układem, tj. w zakresie w jakim wierzytelność ta powstała przed otwarciem postępowania sanacyjnego (art. 150 ust. 1 pkt 1 </w:t>
      </w:r>
      <w:proofErr w:type="spellStart"/>
      <w:r w:rsidRPr="007276C5">
        <w:t>PrRest</w:t>
      </w:r>
      <w:proofErr w:type="spellEnd"/>
      <w:r w:rsidRPr="007276C5">
        <w:t>.). Skoro otwarcie postępowania sanacyjnego nastąpiło w dniu 11 września 2017 r., to układem objęta jest część wierzytelności o zapłatę raty leasingowej</w:t>
      </w:r>
      <w:r w:rsidR="009A549D">
        <w:t xml:space="preserve"> za ten miesiąc</w:t>
      </w:r>
      <w:r w:rsidRPr="007276C5">
        <w:t xml:space="preserve">, określona proporcjonalnie do okresu poprzedzającego dzień otwarcia tego postępowania (art. 189 ust. 1 </w:t>
      </w:r>
      <w:proofErr w:type="spellStart"/>
      <w:r w:rsidRPr="007276C5">
        <w:t>PrRest</w:t>
      </w:r>
      <w:proofErr w:type="spellEnd"/>
      <w:r w:rsidRPr="007276C5">
        <w:t xml:space="preserve">.), </w:t>
      </w:r>
      <w:r w:rsidR="009A549D">
        <w:br/>
      </w:r>
      <w:r w:rsidRPr="007276C5">
        <w:t xml:space="preserve">tj. wierzytelność w wysokości 4000 zł (stosunek 10 dni poprzedzających dzień otwarcia postępowania sanacyjnego do 30 dni całego miesiąca września jako okresu rozliczeniowego, za który powstała wierzytelność wynosi 1/3, zatem 12 000 zł x 1/3 = 4000 zł). </w:t>
      </w:r>
      <w:r w:rsidR="009A549D">
        <w:br/>
      </w:r>
      <w:r w:rsidRPr="007276C5">
        <w:t>Pozostała część wierzytelności za ten okres rozliczeniowy, tj. 8000 zł (12 000 zł – 4 000 zł) nie jest objęta układem.</w:t>
      </w:r>
    </w:p>
    <w:p w14:paraId="5B243401" w14:textId="77777777" w:rsidR="00865C76" w:rsidRPr="001F6C73" w:rsidRDefault="007276C5" w:rsidP="001F6C73">
      <w:pPr>
        <w:numPr>
          <w:ilvl w:val="0"/>
          <w:numId w:val="1"/>
        </w:numPr>
        <w:suppressAutoHyphens/>
        <w:autoSpaceDN w:val="0"/>
        <w:spacing w:line="360" w:lineRule="auto"/>
        <w:ind w:left="0" w:right="70" w:firstLine="0"/>
        <w:jc w:val="both"/>
        <w:textAlignment w:val="baseline"/>
        <w:rPr>
          <w:color w:val="000000"/>
        </w:rPr>
      </w:pPr>
      <w:r w:rsidRPr="007276C5">
        <w:rPr>
          <w:lang w:eastAsia="ar-SA"/>
        </w:rPr>
        <w:t>Zbigniewa W. w kwocie 80 000 zł z tytułu wykona</w:t>
      </w:r>
      <w:r w:rsidR="009A549D">
        <w:rPr>
          <w:lang w:eastAsia="ar-SA"/>
        </w:rPr>
        <w:t xml:space="preserve">nia do dnia 10 września 2017 r. </w:t>
      </w:r>
      <w:r w:rsidRPr="007276C5">
        <w:rPr>
          <w:lang w:eastAsia="ar-SA"/>
        </w:rPr>
        <w:t>umowy sprzedaży cegieł klinkierowych.</w:t>
      </w:r>
    </w:p>
    <w:p w14:paraId="16EBF9DC" w14:textId="77777777" w:rsidR="007276C5" w:rsidRPr="007276C5" w:rsidRDefault="00976EE7" w:rsidP="001F6C73">
      <w:pPr>
        <w:suppressAutoHyphens/>
        <w:autoSpaceDN w:val="0"/>
        <w:spacing w:line="360" w:lineRule="auto"/>
        <w:ind w:right="70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7276C5" w:rsidRPr="007276C5">
        <w:rPr>
          <w:color w:val="000000"/>
        </w:rPr>
        <w:t xml:space="preserve">Zgodnie z </w:t>
      </w:r>
      <w:r w:rsidR="007276C5" w:rsidRPr="007276C5">
        <w:rPr>
          <w:lang w:eastAsia="ar-SA"/>
        </w:rPr>
        <w:t xml:space="preserve">art. 150 ust. 2 </w:t>
      </w:r>
      <w:proofErr w:type="spellStart"/>
      <w:r w:rsidR="007276C5" w:rsidRPr="007276C5">
        <w:rPr>
          <w:lang w:eastAsia="ar-SA"/>
        </w:rPr>
        <w:t>PrRest</w:t>
      </w:r>
      <w:proofErr w:type="spellEnd"/>
      <w:r w:rsidR="007276C5" w:rsidRPr="007276C5">
        <w:rPr>
          <w:lang w:eastAsia="ar-SA"/>
        </w:rPr>
        <w:t xml:space="preserve">., </w:t>
      </w:r>
      <w:r w:rsidR="007276C5" w:rsidRPr="007276C5">
        <w:rPr>
          <w:color w:val="000000"/>
        </w:rPr>
        <w:t xml:space="preserve">wierzytelności wobec dłużnika wynikające z umowy wzajemnej, która nie została wykonana w całości lub części przed dniem otwarcia postępowania restrukturyzacyjnego, są objęte układem tylko w przypadku, gdy świadczenie </w:t>
      </w:r>
      <w:r w:rsidR="007276C5" w:rsidRPr="007276C5">
        <w:rPr>
          <w:color w:val="000000"/>
        </w:rPr>
        <w:lastRenderedPageBreak/>
        <w:t xml:space="preserve">drugiej strony jest świadczeniem podzielnym i tylko w zakresie, w jakim druga strona spełniła świadczenie przed dniem otwarcia postępowania restrukturyzacyjnego i nie otrzymała świadczenia wzajemnego. </w:t>
      </w:r>
    </w:p>
    <w:p w14:paraId="75DD2B2F" w14:textId="77777777" w:rsidR="007276C5" w:rsidRPr="007276C5" w:rsidRDefault="007276C5" w:rsidP="007276C5">
      <w:pPr>
        <w:suppressAutoHyphens/>
        <w:autoSpaceDN w:val="0"/>
        <w:spacing w:line="360" w:lineRule="auto"/>
        <w:ind w:right="70" w:firstLine="567"/>
        <w:jc w:val="both"/>
        <w:textAlignment w:val="baseline"/>
        <w:rPr>
          <w:color w:val="000000"/>
        </w:rPr>
      </w:pPr>
      <w:r w:rsidRPr="007276C5">
        <w:rPr>
          <w:color w:val="000000"/>
        </w:rPr>
        <w:t xml:space="preserve">W świetle opisanego stanu faktycznego świadczenie Zbigniewa W. polegające na wydaniu dłużnikowi cegieł klinkierowych stanowiących przedmiot sprzedaży było świadczeniem podzielnym (art. 379 § 2 k.c.). Zatem wierzytelność Zbigniewa W. o zapłatę ceny w łącznej wysokości 80 000 zł za 16 000 cegieł dostarczonych dłużnikowi przed dniem otwarcia postępowania restrukturyzacyjnego była objęte układem. </w:t>
      </w:r>
    </w:p>
    <w:p w14:paraId="40CEA81B" w14:textId="77777777" w:rsidR="007276C5" w:rsidRPr="007276C5" w:rsidRDefault="007276C5" w:rsidP="00976EE7">
      <w:pPr>
        <w:suppressAutoHyphens/>
        <w:autoSpaceDN w:val="0"/>
        <w:spacing w:line="360" w:lineRule="auto"/>
        <w:ind w:right="70" w:firstLine="567"/>
        <w:jc w:val="both"/>
        <w:textAlignment w:val="baseline"/>
      </w:pPr>
      <w:r w:rsidRPr="007276C5">
        <w:rPr>
          <w:color w:val="000000"/>
        </w:rPr>
        <w:t xml:space="preserve">Wierzytelność o zapłatę ceny z tytułu dostawy w dniu 15 października 2017 r. kolejnej partii cegieł nie była natomiast objęta układem, gdyż świadczenie Zbigniewa W. </w:t>
      </w:r>
      <w:r w:rsidRPr="007276C5">
        <w:rPr>
          <w:color w:val="000000"/>
        </w:rPr>
        <w:br/>
        <w:t>w tym zakresie zostało spełnione po otwarciu postępowania sanacyjnego.</w:t>
      </w:r>
    </w:p>
    <w:p w14:paraId="5313DB5D" w14:textId="77777777" w:rsidR="007276C5" w:rsidRPr="007276C5" w:rsidRDefault="007276C5" w:rsidP="00976EE7">
      <w:pPr>
        <w:numPr>
          <w:ilvl w:val="0"/>
          <w:numId w:val="3"/>
        </w:numPr>
        <w:suppressAutoHyphens/>
        <w:autoSpaceDN w:val="0"/>
        <w:spacing w:line="360" w:lineRule="auto"/>
        <w:ind w:left="0" w:right="68" w:firstLine="0"/>
        <w:jc w:val="both"/>
        <w:textAlignment w:val="baseline"/>
      </w:pPr>
      <w:r w:rsidRPr="007276C5">
        <w:t xml:space="preserve">Sędzia-komisarz nie mógł upoważnić dłużnika do ustalenia składu masy sanacyjnej </w:t>
      </w:r>
      <w:r w:rsidRPr="007276C5">
        <w:br/>
        <w:t xml:space="preserve">i sporządzenia spisu inwentarza pod nadzorem Jana K. </w:t>
      </w:r>
    </w:p>
    <w:p w14:paraId="3BD36A88" w14:textId="77777777" w:rsidR="007276C5" w:rsidRPr="007276C5" w:rsidRDefault="007276C5" w:rsidP="00976EE7">
      <w:pPr>
        <w:suppressAutoHyphens/>
        <w:autoSpaceDN w:val="0"/>
        <w:spacing w:line="360" w:lineRule="auto"/>
        <w:ind w:right="68" w:firstLine="709"/>
        <w:jc w:val="both"/>
        <w:textAlignment w:val="baseline"/>
      </w:pPr>
      <w:r w:rsidRPr="007276C5">
        <w:t xml:space="preserve">Zgodnie z </w:t>
      </w:r>
      <w:r w:rsidRPr="007276C5">
        <w:rPr>
          <w:bCs/>
          <w:color w:val="000000"/>
        </w:rPr>
        <w:t xml:space="preserve">art. 296 ust. 1 </w:t>
      </w:r>
      <w:proofErr w:type="spellStart"/>
      <w:r w:rsidRPr="007276C5">
        <w:rPr>
          <w:bCs/>
          <w:color w:val="000000"/>
        </w:rPr>
        <w:t>PrRest</w:t>
      </w:r>
      <w:proofErr w:type="spellEnd"/>
      <w:r w:rsidRPr="007276C5">
        <w:rPr>
          <w:bCs/>
          <w:color w:val="000000"/>
        </w:rPr>
        <w:t xml:space="preserve">., </w:t>
      </w:r>
      <w:r w:rsidRPr="007276C5">
        <w:rPr>
          <w:color w:val="000000"/>
        </w:rPr>
        <w:t>skład masy sanacyjnej ustala zarządca.</w:t>
      </w:r>
      <w:r w:rsidRPr="007276C5">
        <w:t xml:space="preserve"> W myśl </w:t>
      </w:r>
      <w:r w:rsidRPr="007276C5">
        <w:br/>
      </w:r>
      <w:r w:rsidR="004001EB" w:rsidRPr="007276C5">
        <w:t xml:space="preserve">art. 296 </w:t>
      </w:r>
      <w:r w:rsidRPr="007276C5">
        <w:t xml:space="preserve">ust. 2 </w:t>
      </w:r>
      <w:proofErr w:type="spellStart"/>
      <w:r w:rsidRPr="007276C5">
        <w:t>PrRest</w:t>
      </w:r>
      <w:proofErr w:type="spellEnd"/>
      <w:r w:rsidRPr="007276C5">
        <w:t xml:space="preserve">., </w:t>
      </w:r>
      <w:r w:rsidRPr="007276C5">
        <w:rPr>
          <w:color w:val="000000"/>
        </w:rPr>
        <w:t>do ustalenia składu masy sanacyjnej przepisy art. 274 ust. 1 i art. 275 stosuje się odpowiednio.</w:t>
      </w:r>
    </w:p>
    <w:p w14:paraId="38AAC4E4" w14:textId="77777777" w:rsidR="007276C5" w:rsidRPr="007276C5" w:rsidRDefault="007276C5" w:rsidP="00976EE7">
      <w:pPr>
        <w:suppressAutoHyphens/>
        <w:autoSpaceDN w:val="0"/>
        <w:spacing w:line="360" w:lineRule="auto"/>
        <w:ind w:right="70" w:firstLine="709"/>
        <w:jc w:val="both"/>
        <w:textAlignment w:val="baseline"/>
      </w:pPr>
      <w:r w:rsidRPr="007276C5">
        <w:t xml:space="preserve">Z powołanych wyżej przepisów w sposób jednoznaczny wynika, że w postępowaniu sanacyjnym do ustalenia składu masy sanacyjnej uprawniony jest wyłącznie zarządca, </w:t>
      </w:r>
      <w:r w:rsidRPr="007276C5">
        <w:br/>
        <w:t xml:space="preserve">a sędzia-komisarz nie może upoważnić do dokonania tej czynności dłużnika. Przepis art. 274 ust. 2 </w:t>
      </w:r>
      <w:proofErr w:type="spellStart"/>
      <w:r w:rsidRPr="007276C5">
        <w:t>PrRest</w:t>
      </w:r>
      <w:proofErr w:type="spellEnd"/>
      <w:r w:rsidRPr="007276C5">
        <w:t>., który umożliwia, aby na podstawie postanowienia sędziego-komisarza ustalenia składu masy układowej w postępowaniu układowym dokonał dłużnik, nie ma bowiem zastosowania w postępowaniu sanacyjnym.</w:t>
      </w:r>
    </w:p>
    <w:p w14:paraId="0A501E5F" w14:textId="77777777" w:rsidR="007276C5" w:rsidRDefault="002950BB" w:rsidP="00976EE7">
      <w:pPr>
        <w:numPr>
          <w:ilvl w:val="0"/>
          <w:numId w:val="2"/>
        </w:numPr>
        <w:suppressAutoHyphens/>
        <w:autoSpaceDN w:val="0"/>
        <w:spacing w:after="200" w:line="360" w:lineRule="auto"/>
        <w:ind w:left="0" w:right="70" w:firstLine="0"/>
        <w:jc w:val="both"/>
        <w:textAlignment w:val="baseline"/>
      </w:pPr>
      <w:r>
        <w:t>Wystąpienie przez</w:t>
      </w:r>
      <w:r w:rsidR="007276C5" w:rsidRPr="007276C5">
        <w:t xml:space="preserve"> Jana K. </w:t>
      </w:r>
      <w:r>
        <w:t xml:space="preserve">z wnioskiem do sędziego-komisarza </w:t>
      </w:r>
      <w:r w:rsidR="007276C5" w:rsidRPr="007276C5">
        <w:t xml:space="preserve">o wyrażenie zgody </w:t>
      </w:r>
      <w:r>
        <w:t xml:space="preserve">na </w:t>
      </w:r>
      <w:r w:rsidR="007276C5" w:rsidRPr="007276C5">
        <w:t>wykonanie umowy leasingu był</w:t>
      </w:r>
      <w:r>
        <w:t>o</w:t>
      </w:r>
      <w:r w:rsidR="007276C5" w:rsidRPr="007276C5">
        <w:t xml:space="preserve"> bez</w:t>
      </w:r>
      <w:r>
        <w:t>zasadne</w:t>
      </w:r>
      <w:r w:rsidR="007276C5" w:rsidRPr="007276C5">
        <w:t xml:space="preserve">. </w:t>
      </w:r>
      <w:r>
        <w:t>Co do zasady, otwarcie postępowania restrukturyzacyjnego nie ma wpływu na dalsze wykonywani</w:t>
      </w:r>
      <w:r w:rsidR="00475BB8">
        <w:t xml:space="preserve">e umów zawartych przez dłużnika. Umowy te mogą być wykonywane w dalszym ciągu </w:t>
      </w:r>
      <w:r>
        <w:t xml:space="preserve">bez konieczności </w:t>
      </w:r>
      <w:r w:rsidR="00475BB8">
        <w:t>wyrażania na to zgody przez organy postę</w:t>
      </w:r>
      <w:r>
        <w:t xml:space="preserve">powania restrukturyzacyjnego.  Zasada powyższa znajduje potwierdzenie w treści </w:t>
      </w:r>
      <w:r w:rsidR="007276C5" w:rsidRPr="007276C5">
        <w:t xml:space="preserve">art. 298 </w:t>
      </w:r>
      <w:proofErr w:type="spellStart"/>
      <w:r w:rsidR="007276C5" w:rsidRPr="007276C5">
        <w:t>PrRest</w:t>
      </w:r>
      <w:proofErr w:type="spellEnd"/>
      <w:r w:rsidR="007276C5" w:rsidRPr="007276C5">
        <w:t>.,</w:t>
      </w:r>
      <w:r>
        <w:t xml:space="preserve"> z którego wynika, że </w:t>
      </w:r>
      <w:r w:rsidR="007276C5" w:rsidRPr="007276C5">
        <w:t xml:space="preserve">zarządca może za zgodą sędziego-komisarza odstąpić od umowy wzajemnej w sytuacjach opisanych w tym przepisie. Wykonanie takiej umowy przez zarządcę nie wymaga </w:t>
      </w:r>
      <w:r>
        <w:t xml:space="preserve">zatem </w:t>
      </w:r>
      <w:r w:rsidR="0069062B">
        <w:t xml:space="preserve">uzyskiwania </w:t>
      </w:r>
      <w:r w:rsidR="007276C5" w:rsidRPr="007276C5">
        <w:t xml:space="preserve">zgody sędziego-komisarza. </w:t>
      </w:r>
    </w:p>
    <w:sectPr w:rsidR="007276C5" w:rsidSect="001F6C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00422"/>
    <w:multiLevelType w:val="hybridMultilevel"/>
    <w:tmpl w:val="1FA0C0C8"/>
    <w:lvl w:ilvl="0" w:tplc="5060CC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320A"/>
    <w:multiLevelType w:val="multilevel"/>
    <w:tmpl w:val="4246D31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E3396"/>
    <w:multiLevelType w:val="hybridMultilevel"/>
    <w:tmpl w:val="3DC05492"/>
    <w:lvl w:ilvl="0" w:tplc="D2DCFC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A2"/>
    <w:rsid w:val="00041460"/>
    <w:rsid w:val="00043FE2"/>
    <w:rsid w:val="001F6C73"/>
    <w:rsid w:val="002950BB"/>
    <w:rsid w:val="00295F39"/>
    <w:rsid w:val="003416A2"/>
    <w:rsid w:val="004001EB"/>
    <w:rsid w:val="00475BB8"/>
    <w:rsid w:val="00681074"/>
    <w:rsid w:val="0069062B"/>
    <w:rsid w:val="007276C5"/>
    <w:rsid w:val="00865C76"/>
    <w:rsid w:val="00885D84"/>
    <w:rsid w:val="00976EE7"/>
    <w:rsid w:val="009A549D"/>
    <w:rsid w:val="00BD456A"/>
    <w:rsid w:val="00C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1A84"/>
  <w15:docId w15:val="{1826F1DF-34E4-424B-9A6B-8850C8DA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.online.wolterskluwer.pl/WKPLOnline/index.rpc" TargetMode="External"/><Relationship Id="rId5" Type="http://schemas.openxmlformats.org/officeDocument/2006/relationships/hyperlink" Target="https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syndyk</dc:creator>
  <cp:keywords/>
  <dc:description/>
  <cp:lastModifiedBy>Stebelski Jarosław  (DZP)</cp:lastModifiedBy>
  <cp:revision>2</cp:revision>
  <cp:lastPrinted>2020-08-14T09:48:00Z</cp:lastPrinted>
  <dcterms:created xsi:type="dcterms:W3CDTF">2020-09-01T16:28:00Z</dcterms:created>
  <dcterms:modified xsi:type="dcterms:W3CDTF">2020-09-01T16:28:00Z</dcterms:modified>
</cp:coreProperties>
</file>