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F7" w:rsidRDefault="00C36AF7" w:rsidP="00C36AF7">
      <w:pPr>
        <w:shd w:val="clear" w:color="auto" w:fill="FFFFFF"/>
        <w:spacing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64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Minimalne wymogi dotyczące stosowania nawozów i środków ochrony roślin, </w:t>
      </w:r>
      <w:r w:rsidR="00703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964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wraz z liczbą punktów, jaką przypisuje się każdej stwierdzonej niezgodności</w:t>
      </w:r>
    </w:p>
    <w:p w:rsidR="00163D44" w:rsidRPr="00163D44" w:rsidRDefault="00163D44" w:rsidP="00C36AF7">
      <w:pPr>
        <w:shd w:val="clear" w:color="auto" w:fill="FFFFFF"/>
        <w:spacing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163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Dotyczy tylko </w:t>
      </w:r>
      <w:r w:rsidRPr="00163D44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wnioskodawców ubiegających się o płatności </w:t>
      </w:r>
      <w:proofErr w:type="spellStart"/>
      <w:r w:rsidRPr="00163D44">
        <w:rPr>
          <w:rFonts w:ascii="Times New Roman" w:hAnsi="Times New Roman" w:cs="Times New Roman"/>
          <w:b/>
          <w:sz w:val="24"/>
          <w:szCs w:val="24"/>
          <w:u w:val="single"/>
        </w:rPr>
        <w:t>rolnośrodowiskowe</w:t>
      </w:r>
      <w:proofErr w:type="spellEnd"/>
    </w:p>
    <w:p w:rsidR="00C36AF7" w:rsidRPr="009644B1" w:rsidRDefault="00C36AF7" w:rsidP="00C36AF7">
      <w:pPr>
        <w:shd w:val="clear" w:color="auto" w:fill="FFFFFF"/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64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Tabela I</w:t>
      </w:r>
      <w:r w:rsidRPr="009644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- </w:t>
      </w:r>
      <w:r w:rsidR="009644B1" w:rsidRPr="009644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wymogi dotyczące stosowania środków ochrony roślin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2127"/>
        <w:gridCol w:w="850"/>
        <w:gridCol w:w="1276"/>
        <w:gridCol w:w="1133"/>
      </w:tblGrid>
      <w:tr w:rsidR="00C36AF7" w:rsidRPr="00C36AF7" w:rsidTr="001765F9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WYMOGI DOTYCZĄCE STOSOWANIA ŚRODKÓW OCHRONY ROŚLIN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NIEZGODNOŚCI DOTYCZĄCAE STOSOWANIA ŚRODKÓW OCHRONY ROŚLIN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NARUSZENIA DOTYCZĄCE STOSOWANIA ŚRODKÓW OCHRONY ROŚLIN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zasięg</w:t>
            </w:r>
            <w:r w:rsidRPr="00C36AF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dotkliwość</w:t>
            </w:r>
            <w:r w:rsidRPr="00C36AF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rwałość</w:t>
            </w:r>
            <w:r w:rsidRPr="00C36AF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C36AF7" w:rsidRPr="00C36AF7" w:rsidTr="001765F9">
        <w:trPr>
          <w:trHeight w:val="2520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Stosowanie wyłącznie środków ochrony roślin dopuszczonych do obrotu, zgodnie z etykietą-instrukcją stosowania, ściśle z podanymi w niej zaleceniami oraz w taki sposób, aby nie dopuścić do zagrożenia dla zdrowia człowieka lub zwierząt lub dla środowiska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art. 68 ust. 1 ustawy z dnia 18 grudnia 2003 r. o ochronie roślin (Dz. U. z 2008 r. Nr 133, poz. 849 i Nr 227, poz. 1505 oraz z 2009 r. Nr 20, poz. 106).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Nieprzestrzeganie zakazu stosowania innych niż dopuszczone do obrotu środki ochrony roślin, inaczej niż podano na etykiecie -instrukcji stosowania i w sposób, który stanowić może zagrożenie dla zdrowia człowieka lub zwierząt lub dla środowiska.</w:t>
            </w:r>
          </w:p>
        </w:tc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10. Stwierdzono zastosowanie środków ochrony roślin niedopuszczonych do obrotu, niezgodnie z etykietą-instrukcją stosowania, nieściśle z podanymi w niej zaleceniami oraz w sposób, zagrażający zdrowiu człowieka lub zwierząt lub środowisku.</w:t>
            </w:r>
          </w:p>
        </w:tc>
        <w:tc>
          <w:tcPr>
            <w:tcW w:w="850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1765F9">
        <w:trPr>
          <w:trHeight w:val="1599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Prowadzenie ewidencji zabiegów ochrony roślin i przechowywanie jej co najmniej przez okres 2 lat  od dnia wykonania zabiegu ochrony roślin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art. 71 ust. 1 i 3 ustawy z dnia 18 grudnia 2003 r. o ochronie roślin.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Nieprowadzenie ewidencji zabiegów ochrony roślin lub niepełne jej prowadzenie lub nieprzechowywanie jej co najmniej przez okres 2 lat od dnia wykonania zabiegu ochrony roślin.</w:t>
            </w:r>
          </w:p>
        </w:tc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11. Stwierdzono, że  ewidencja zabiegów ochrony roślin nie jest prowadzona lub jest niepełna lub nie jest przechowywana co najmniej przez okres 2 lat od dnia wykonania zabiegu ochrony roślin.</w:t>
            </w:r>
          </w:p>
        </w:tc>
        <w:tc>
          <w:tcPr>
            <w:tcW w:w="850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1765F9">
        <w:trPr>
          <w:trHeight w:val="2131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Wykonywanie zabiegów przy użyciu środków ochrony roślin w produkcji rolnej wyłącznie przez osoby, które ukończyły szkolenie w zakresie stosowania środków ochrony roślin i posiadają aktualne zaświadczenie o ukończeniu tego szkolenia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art. 74 ustawy z dnia 18 grudnia 2003 r. o ochronie roślin.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Nieprzestrzeganie zakazu wykonywania zabiegów przy użyciu środków ochrony roślin w produkcji rolnej przez osoby, które nie ukończyły szkolenia w zakresie stosowania środków ochrony roślin i nie posiadają aktualnego zaświadczenie o ukończeniu tego szkolenia.</w:t>
            </w:r>
          </w:p>
        </w:tc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12. Stwierdzono, że zabiegi przy użyciu środków ochrony roślin w produkcji rolnej zostały wykonane przez osoby, które nie ukończyły szkolenia w zakresie stosowania środków ochrony roślin i nie posiadają aktualnego zaświadczenia o ukończeniu tego szkolenia.</w:t>
            </w:r>
          </w:p>
        </w:tc>
        <w:tc>
          <w:tcPr>
            <w:tcW w:w="850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F7" w:rsidRPr="00C36AF7" w:rsidTr="001765F9">
        <w:trPr>
          <w:trHeight w:val="2315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Stosowanie środków ochrony roślin wyłącznie przy użyciu sprzętu sprawnego technicznie, zgodnie z przeznaczeniem, w sposób zapewniający skuteczne zwalczanie organizmów szkodliwych i nie powodujący zagrożenia dla zdrowia człowieka lub zwierząt lub dla środowiska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art. 76 ust. 1 ustawy z dnia 18 grudnia 2003 r. o ochronie roślin.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Nieprzestrzeganie zakazu stosowania środków ochrony roślin przy użyciu sprzętu niesprawnego technicznie, niezgodnie z przeznaczeniem, w sposób niezapewniający skutecznego zwalczania organizmów szkodliwych i powodujący zagrożenie dla zdrowia człowieka lub zwierząt lub dla środowiska.</w:t>
            </w:r>
          </w:p>
        </w:tc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13. Stwierdzono, że środki ochrony roślin były zastosowane przy użyciu sprzętu niesprawnego technicznie, niezgodnie z przeznaczeniem, w sposób który nie zapewnia skutecznego zwalczania organizmów szkodliwych lub powoduje zagrożenia dla zdrowia człowieka lub zwierząt lub dla środowiska.</w:t>
            </w:r>
          </w:p>
        </w:tc>
        <w:tc>
          <w:tcPr>
            <w:tcW w:w="850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6345D4" w:rsidTr="001765F9">
        <w:trPr>
          <w:trHeight w:val="2315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Stosowanie środków ochrony roślin na terenie otwartym przy użyciu opryskiwaczy wyłącznie wtedy, gdy prędkość wiatru nie przekracza 3 m/s, a miejsce stosowania środka ochrony roślin jest oddalone co najmniej o </w:t>
            </w:r>
            <w:smartTag w:uri="urn:schemas-microsoft-com:office:smarttags" w:element="metricconverter">
              <w:smartTagPr>
                <w:attr w:name="ProductID" w:val="5 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5 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od krawędzi jezdni dróg publicznych, z </w:t>
            </w:r>
            <w:r w:rsidRPr="00C3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wyłączeniem dróg publicznych zaliczanych do kategorii dróg gminnych oraz powiatowych, i co najmniej 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20 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od pasiek, plantacji roślin zielarskich, rezerwatów przyrody, parków narodowych, stanowisk roślin objętych ochroną gatunkową, wód powierzchniowych oraz od granicy wewnętrznego terenu ochrony strefy pośredniej ujęć wody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- art. 77 ust. 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1 ustawy z dnia 18 grudnia 2003 r. o ochronie roślin. 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Nieprzestrzeganie zakazu stosowania środków ochrony roślin na terenie otwartym przy użyciu opryskiwaczy gdy prędkość wiatru przekracza 3 m/s, a miejsce stosowania środka ochrony roślin nie jest oddalone co najmniej o </w:t>
            </w:r>
            <w:smartTag w:uri="urn:schemas-microsoft-com:office:smarttags" w:element="metricconverter">
              <w:smartTagPr>
                <w:attr w:name="ProductID" w:val="5 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5 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od krawędzi jezdni dróg </w:t>
            </w:r>
            <w:r w:rsidRPr="00C3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publicznych, z wyłączeniem dróg publicznych zaliczanych do kategorii dróg gminnych oraz powiatowych, i co najmniej 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20 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od pasiek, plantacji roślin zielarskich, rezerwatów przyrody. parków narodowych, stanowisk roślin objętych ochroną gatunkową, wód powierzchniowych oraz od granicy wewnętrznego terenu ochrony strefy pośredniej ujęć wody.</w:t>
            </w:r>
          </w:p>
        </w:tc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 Stwierdzono, że środki ochrony roślin zostały zastosowane na terenie otwartym przy użyciu opryskiwaczy, gdy prędkość wiatru przekraczała 3 m/s, a miejsce stosowania środka ochrony roślin nie było oddalone co najmniej o </w:t>
            </w:r>
            <w:smartTag w:uri="urn:schemas-microsoft-com:office:smarttags" w:element="metricconverter">
              <w:smartTagPr>
                <w:attr w:name="ProductID" w:val="5 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5 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od krawędzi jezdni dróg publicznych, z </w:t>
            </w:r>
            <w:r w:rsidRPr="00C3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wyłączeniem dróg publicznych zaliczanych do kategorii dróg gminnych oraz powiatowych, i co najmniej 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20 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od pasiek, plantacji roślin zielarskich, rezerwatów przyrody, parków narodowych, stanowisk roślin objętych ochroną gatunkową, wód powierzchniowych lub od granicy wewnętrznego terenu ochrony strefy pośredniej ujęć wody.</w:t>
            </w:r>
          </w:p>
        </w:tc>
        <w:tc>
          <w:tcPr>
            <w:tcW w:w="850" w:type="dxa"/>
            <w:vAlign w:val="center"/>
          </w:tcPr>
          <w:p w:rsidR="00C36AF7" w:rsidRPr="00C36AF7" w:rsidRDefault="00C36AF7" w:rsidP="007035D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7035D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7035D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7035D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7035D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7035D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vAlign w:val="center"/>
          </w:tcPr>
          <w:p w:rsidR="00C36AF7" w:rsidRPr="00C36AF7" w:rsidRDefault="00C36AF7" w:rsidP="007035D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7035D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7035D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4A0428" w:rsidRDefault="004A0428"/>
    <w:p w:rsidR="009644B1" w:rsidRDefault="009644B1">
      <w:pPr>
        <w:rPr>
          <w:b/>
          <w:color w:val="000000" w:themeColor="text1"/>
          <w:sz w:val="20"/>
          <w:szCs w:val="20"/>
        </w:rPr>
        <w:sectPr w:rsidR="009644B1" w:rsidSect="004A042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AF7" w:rsidRPr="001765F9" w:rsidRDefault="00C36AF7" w:rsidP="00C36AF7">
      <w:pPr>
        <w:pStyle w:val="bodytext2"/>
        <w:shd w:val="clear" w:color="auto" w:fill="FFFFFF"/>
        <w:rPr>
          <w:b/>
          <w:color w:val="000000" w:themeColor="text1"/>
          <w:sz w:val="20"/>
          <w:szCs w:val="20"/>
        </w:rPr>
      </w:pPr>
      <w:r w:rsidRPr="001765F9">
        <w:rPr>
          <w:b/>
          <w:bCs/>
          <w:color w:val="000000" w:themeColor="text1"/>
          <w:sz w:val="20"/>
          <w:szCs w:val="20"/>
        </w:rPr>
        <w:t xml:space="preserve">Tabela I </w:t>
      </w:r>
      <w:proofErr w:type="spellStart"/>
      <w:r w:rsidRPr="001765F9">
        <w:rPr>
          <w:b/>
          <w:bCs/>
          <w:color w:val="000000" w:themeColor="text1"/>
          <w:sz w:val="20"/>
          <w:szCs w:val="20"/>
        </w:rPr>
        <w:t>I</w:t>
      </w:r>
      <w:proofErr w:type="spellEnd"/>
      <w:r w:rsidRPr="001765F9">
        <w:rPr>
          <w:b/>
          <w:color w:val="000000" w:themeColor="text1"/>
          <w:sz w:val="20"/>
          <w:szCs w:val="20"/>
        </w:rPr>
        <w:t xml:space="preserve"> - W</w:t>
      </w:r>
      <w:r w:rsidR="009644B1" w:rsidRPr="001765F9">
        <w:rPr>
          <w:b/>
          <w:color w:val="000000" w:themeColor="text1"/>
          <w:sz w:val="20"/>
          <w:szCs w:val="20"/>
        </w:rPr>
        <w:t>ymogi dotyczące stosowania nawozów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1985"/>
        <w:gridCol w:w="992"/>
        <w:gridCol w:w="1276"/>
        <w:gridCol w:w="1133"/>
      </w:tblGrid>
      <w:tr w:rsidR="00C36AF7" w:rsidRPr="00C36AF7" w:rsidTr="001765F9">
        <w:trPr>
          <w:trHeight w:val="634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WYMOGI DOTYCZĄCE STOSOWANIA NAWOZÓW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NIEZGODNOŚCI DOTYCZĄCE STOSOWANIA NAWOZÓW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NARUSZENIA DOTYCZĄCE STOSOWANIA NAWOZÓW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zasięg</w:t>
            </w:r>
            <w:r w:rsidRPr="00C36AF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dotkliwość</w:t>
            </w:r>
            <w:r w:rsidRPr="00C36AF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36AF7">
              <w:rPr>
                <w:rFonts w:ascii="Times New Roman" w:hAnsi="Times New Roman" w:cs="Times New Roman"/>
                <w:bCs/>
                <w:sz w:val="20"/>
                <w:szCs w:val="20"/>
              </w:rPr>
              <w:t>rwałość</w:t>
            </w:r>
            <w:r w:rsidRPr="00C36AF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C36AF7" w:rsidRPr="00C36AF7" w:rsidTr="001765F9">
        <w:trPr>
          <w:trHeight w:val="1455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Niestosowanie nawozów niedopuszczonych do obrotu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art. 17 ust. 1 ustawy z dnia 10 lipca 2007 r. o nawozach i nawożeniu (Dz. U. Nr 147, poz. 1033).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Nieprzestrzeganie zakazu stosowania nawozów niedopuszczonych do obrotu.</w:t>
            </w: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1. Stwierdzono zastosowanie nawozów niedopuszczonych do obrotu.</w:t>
            </w: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F7" w:rsidRPr="00C36AF7" w:rsidTr="001765F9">
        <w:trPr>
          <w:trHeight w:val="1659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Niestosowanie w okresie roku dawki nawozu naturalnego zawierające więcej niż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170 kg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azotu (N) w czystym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składniku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1 ha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użytków rolnych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art. 17 ust. 3 ustawy z dnia 10 lipca 2007 r. o nawozach i nawożeniu.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Nieprzestrzeganie zakazu stosowania w okresie roku dawki nawozu naturalnego zawierające więcej niż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170 kg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azotu (N) w czystym składniku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1 ha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użytków rolnych.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2. Stwierdzono, że w okresie roku zastosowano dawki nawozu naturalnego zawierające więcej niż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170 kg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azotu (N) w czystym składniku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1 ha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użytków rolnych.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F7" w:rsidRPr="00C36AF7" w:rsidTr="001765F9">
        <w:trPr>
          <w:trHeight w:val="464"/>
          <w:jc w:val="center"/>
        </w:trPr>
        <w:tc>
          <w:tcPr>
            <w:tcW w:w="2127" w:type="dxa"/>
            <w:vMerge w:val="restart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Przechowywanie gnojówki i gnojowicy w szczelnych zbiornikach o pojemności umożliwiającej gromadzenie co najmniej 4-miesiecznej produkcji tego nawozu od dnia 1 stycznia 2011 r., a w przypadku obszarów szczególnie narażonych w rozumieniu przepisów w sprawie szczegółowych wymagań, jakim powinny odpowiadać programy działań mających na celu ograniczenie odpływu azotu ze źródeł rolniczych, o pojemności umożliwiającej przechowywanie tych nawozów przez okres co najmniej 6 miesięcy; zbiorniki te powinny być zbiornikami zamkniętymi w rozumieniu przepisów dotyczących warunków technicznych, jakim powinny odpowiadać budowle rolnicze i ich usytuowanie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- art. 25 ust. 1 ustawy z dnia 10 lipca 2007 r. o nawozach i nawożeniu oraz ust. 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5 załącznika do rozporządzenia Ministra Środowiska z dnia 23 grudnia 2002 r. w sprawie szczegółowych wymagań, jakim powinny odpowiadać programy działań mających na celu ograniczenie odpływu azotu ze źródeł rolniczych (Dz. U. z 2003 r. Nr 4, poz. 44).</w:t>
            </w:r>
          </w:p>
        </w:tc>
        <w:tc>
          <w:tcPr>
            <w:tcW w:w="2126" w:type="dxa"/>
            <w:vMerge w:val="restart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Nieprzestrzeganie nakazu przechowywania gnojówki i gnojowicy w szczelnych zbiornikach o pojemności umożliwiającej gromadzenie co najmniej 4-miesięcznej produkcji tego nawozu od dnia 1 stycznia 2011 r., a w przypadku obszarów szczególnie narażonych w rozumieniu przepisów w sprawie szczegółowych wymagań, jakim powinny odpowiadać programy działań mających na celu ograniczenie odpływu azotu ze źródeł rolniczych, o pojemności umożliwiającej przechowywanie tych nawozów przez okres co najmniej 6 miesięcy, a zbiorniki te nie są zbiornikami zamkniętymi w rozumieniu przepisów dotyczących warunków technicznych, jakim powinny odpowiadać budowle rolnicze i ich usytuowanie.</w:t>
            </w:r>
          </w:p>
        </w:tc>
        <w:tc>
          <w:tcPr>
            <w:tcW w:w="1985" w:type="dxa"/>
            <w:vMerge w:val="restart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3. Stwierdzono, że  gnojówka i gnojowica nie są przechowywane w szczelnych zbiornikach o pojemności umożliwiającej gromadzenie co najmniej 4-miesięcznej produkcji tego nawozu od dnia 1 stycznia 2011 r., a w przypadku obszarów szczególnie narażonych w rozumieniu przepisów w sprawie szczegółowych wymagań, jakim powinny odpowiadać programy działań mających na celu ograniczenie odpływu azotu ze źródeł rolniczych, o pojemności umożliwiającej przechowywanie tych nawozów przez okres co najmniej 6 miesięcy lub że zbiorniki te nie są zbiornikami zamkniętymi w rozumieniu przepisów dotyczących warunków technicznych, jakim powinny odpowiadać budowle rolnicze i ich usytuowanie.</w:t>
            </w:r>
          </w:p>
        </w:tc>
        <w:tc>
          <w:tcPr>
            <w:tcW w:w="992" w:type="dxa"/>
            <w:vMerge w:val="restart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1765F9">
        <w:trPr>
          <w:trHeight w:val="464"/>
          <w:jc w:val="center"/>
        </w:trPr>
        <w:tc>
          <w:tcPr>
            <w:tcW w:w="2127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F7" w:rsidRPr="00C36AF7" w:rsidTr="001765F9">
        <w:trPr>
          <w:trHeight w:val="2737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Przechowywanie przez podmioty, o których mowa w art. 18 ust. 1 ustawy z dnia 10 lipca 2007 r. o nawozach i nawożeniu, nawozów naturalnych, innych niż gnojówka i gnojowica, na nieprzepuszczalnych płytach, zabezpieczonych w taki sposób, aby wycieki nie przedostawały się do gruntu - od dnia 1 stycznia 2009 r.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art. 25 ust. 2 ustawy z dnia 10 lipca 2007 r. o nawozach i nawożeniu.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Nieprzechowywanie przez podmioty, o których mowa w art. 18 ust. 1 ustawy z dnia 10 lipca 2007 r. o nawozach i nawożeniu, nawozów naturalnych, innych niż gnojówka i gnojowica, na nieprzepuszczalnych płytach, zabezpieczonych w taki sposób, aby wycieki nie przedostawały się do gruntu od dnia 1 stycznia 2009 r.</w:t>
            </w: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4. Stwierdzono, że podmioty, o których mowa w art. 18 ust. 1 ustawy z dnia 10 lipca 2007 r. o nawozach i nawożeniu,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nieprzechowują</w:t>
            </w:r>
            <w:proofErr w:type="spellEnd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nawozów naturalnych, innych niż gnojówka i gnojowica, na nieprzepuszczalnych płytach, zabezpieczonych w taki sposób, aby wycieki nie przedostawały się do gruntu od dnia 1 stycznia 2009 r.</w:t>
            </w: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1765F9">
        <w:trPr>
          <w:trHeight w:val="1811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Przechowywanie przez podmioty, o których mowa w art. 18 ust. 1 ustawy z dnia 10 lipca 2007 r. o nawozach i nawożeniu, gnojówki i gnojowicy w szczelnych, zamkniętych zbiornikach do dnia 31 grudnia 2010 r.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art. 49 ust. 1 ustawy z dnia 10 lipca 2007 r. o nawozach i nawożeniu.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Nieprzechowywanie przez podmioty, o których mowa w art. 18 ust. 1 ustawy z dnia 10 lipca 2007 r. o nawozach i nawożeniu, gnojówki i gnojowicy w szczelnych, zamkniętych zbiornikach do dnia 31 grudnia 2010 r.</w:t>
            </w: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5. Stwierdzono, że podmioty, o których mowa w art. 18 ust. 1 ustawy z dnia 10 lipca 2007 r. o nawozach i nawożeniu,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nieprzechowują</w:t>
            </w:r>
            <w:proofErr w:type="spellEnd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gnojówki i gnojowicy w szczelnych, zamkniętych zbiornikach do dnia 31 grudnia 2010 r.</w:t>
            </w: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9644B1">
        <w:trPr>
          <w:trHeight w:val="992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Stosowanie nawozów naturalnych i organicznych w postaci stałej oraz płynnej wyłącznie w okresie od dnia 1 marca do dnia 30 listopada, z wyłączeniem nawozów stosowanych na uprawy pod osłonami (szklarnie, inspekty lub namioty foliowe)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§ 2 ust. 4 rozporządzenia Ministra Rolnictwa i Rozwoju Wsi z dnia 16 kwietnia 2008 r. w sprawie szczegółowego sposobu stosowania nawozów oraz prowadzenia szkoleń z zakresu ich stosowania (Dz. U. Nr 80, poz. 479).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Nieprzestrzeganie zakazu stosowania nawozów naturalnych i organicznych w postaci stałej oraz płynnej poza okresem od dnia 1 marca do dnia 30 listopada, z wyłączeniem nawozów stosowanych na uprawy pod osłonami (szklarnie, inspekty lub namioty foliowe).</w:t>
            </w: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6. Stwierdzono zastosowanie nawozów naturalnych i organicznych w postaci stałej oraz płynnej w okresie innym niż od dnia 1 marca do dnia 30 listopada, z wyłączeniem nawozów stosowanych na uprawy pod osłonami (szklarnie, inspekty lub namioty foliowe).</w:t>
            </w: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1765F9">
        <w:trPr>
          <w:trHeight w:val="2610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Przykrycie lub wymieszanie z glebą nawozów naturalnych nie później niż następnego dnia po ich zastosowaniu, z wyłączeniem nawozów stosowanych w lasach oraz na użytkach zielonych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§ 3 ust. 3 rozporządzenia Ministra Rolnictwa i Rozwoju Wsi z dnia 16 kwietnia 2008 r. w sprawie szczegółowego sposobu stosowania nawozów oraz prowadzenia szkoleń z zakresu ich stosowania.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Nieprzestrzeganie zakazu przykrycia lub wymieszania z glebą nawozów naturalnych później niż następnego dnia po ich zastosowaniu, z wyłączeniem nawozów stosowanych w lasach oraz na użytkach zielonych.</w:t>
            </w: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7. Stwierdzono przykrycie lub wymieszanie z glebą nawozów naturalnych później niż następnego dnia po ich zastosowaniu, z wyłączeniem nawozów stosowanych w lasach oraz na użytkach zielonych.</w:t>
            </w: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1765F9">
        <w:trPr>
          <w:trHeight w:val="1173"/>
          <w:jc w:val="center"/>
        </w:trPr>
        <w:tc>
          <w:tcPr>
            <w:tcW w:w="2127" w:type="dxa"/>
            <w:vMerge w:val="restart"/>
            <w:vAlign w:val="center"/>
          </w:tcPr>
          <w:p w:rsidR="00C36AF7" w:rsidRPr="00C36AF7" w:rsidRDefault="00C36AF7" w:rsidP="001765F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Niestosowanie nawozów:</w:t>
            </w:r>
          </w:p>
          <w:p w:rsidR="00C36AF7" w:rsidRPr="00C36AF7" w:rsidRDefault="00C36AF7" w:rsidP="001765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na glebach zalanych wodą, przykrytych śniegiem lub zamarzniętych do głębokości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30 cm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oraz podczas opadów deszczu,</w:t>
            </w:r>
          </w:p>
          <w:p w:rsidR="00C36AF7" w:rsidRPr="00C36AF7" w:rsidRDefault="00C36AF7" w:rsidP="001765F9">
            <w:pPr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naturalnych w postaci płynnej oraz azotowych na glebach bez okrywy roślinnej, położonych na stokach o nachyleniu większym niż 10 %,</w:t>
            </w:r>
          </w:p>
          <w:p w:rsidR="00C36AF7" w:rsidRPr="00C36AF7" w:rsidRDefault="00C36AF7" w:rsidP="001765F9">
            <w:pPr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naturalnych w postaci płynnej podczas wegetacji roślin przeznaczonych do bezpośredniego spożycia przez ludzi</w:t>
            </w:r>
          </w:p>
          <w:p w:rsidR="00C36AF7" w:rsidRPr="00C36AF7" w:rsidRDefault="00C36AF7" w:rsidP="001765F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1765F9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art. 20 ust. 1 ustawy z dnia 10 lipca 2007 r. o nawozach i nawożeniu.</w:t>
            </w:r>
          </w:p>
        </w:tc>
        <w:tc>
          <w:tcPr>
            <w:tcW w:w="2126" w:type="dxa"/>
            <w:vMerge w:val="restart"/>
            <w:vAlign w:val="center"/>
          </w:tcPr>
          <w:p w:rsidR="001765F9" w:rsidRDefault="00C36AF7" w:rsidP="001765F9">
            <w:pPr>
              <w:tabs>
                <w:tab w:val="num" w:pos="391"/>
              </w:tabs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Nieprzestrzeganie zakazu stosowania nawozów:</w:t>
            </w:r>
            <w:r w:rsidR="00176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na glebach zalanych wodą, przykrytych śniegiem lub zamarzniętych do głębokości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30 cm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oraz podczas opadów deszczu;</w:t>
            </w:r>
            <w:r w:rsidR="00176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AF7" w:rsidRPr="00C36AF7" w:rsidRDefault="00C36AF7" w:rsidP="001765F9">
            <w:pPr>
              <w:tabs>
                <w:tab w:val="num" w:pos="391"/>
              </w:tabs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naturalnych w postaci płynnej oraz azotowych na glebach bez okrywy roślinnej, położonych na stokach o nachyleniu większym niż 10%;</w:t>
            </w:r>
          </w:p>
          <w:p w:rsidR="00C36AF7" w:rsidRPr="00C36AF7" w:rsidRDefault="00C36AF7" w:rsidP="00C36AF7">
            <w:pPr>
              <w:numPr>
                <w:ilvl w:val="0"/>
                <w:numId w:val="2"/>
              </w:numPr>
              <w:tabs>
                <w:tab w:val="clear" w:pos="72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naturalnych w postaci płynnej podczas wegetacji roślin przeznaczonych do bezpośredniego spożycia przez ludzi.</w:t>
            </w: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8.1. Stwierdzono zastosowanie nawozów na glebach zalanych wodą, przykrytych śniegiem lub zamarzniętych do głębokości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30 cm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oraz podczas opadów deszczu.</w:t>
            </w: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1765F9">
        <w:trPr>
          <w:trHeight w:val="1243"/>
          <w:jc w:val="center"/>
        </w:trPr>
        <w:tc>
          <w:tcPr>
            <w:tcW w:w="2127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8. 2. Stwierdzono zastosowanie nawozów naturalnych w postaci płynnej oraz azotowych na glebach bez okrywy roślinnej, położonych na stokach o nachyleniu większym niż 10 %.</w:t>
            </w: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1765F9">
        <w:trPr>
          <w:trHeight w:val="1455"/>
          <w:jc w:val="center"/>
        </w:trPr>
        <w:tc>
          <w:tcPr>
            <w:tcW w:w="2127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8. 3. Stwierdzono zastosowanie nawozów naturalnych w postaci płynnej podczas wegetacji roślin przeznaczonych do bezpośredniego spożycia przez ludzi.</w:t>
            </w: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C36AF7" w:rsidRPr="00C36AF7" w:rsidTr="001765F9">
        <w:trPr>
          <w:trHeight w:val="3003"/>
          <w:jc w:val="center"/>
        </w:trPr>
        <w:tc>
          <w:tcPr>
            <w:tcW w:w="2127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Niestosowanie nawozów naturalnych w odległości mniejszej niż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20 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od strefy ochronnej źródeł wody, ujęć wody, brzegu zbiorników oraz cieków wodnych, kąpielisk zlokalizowanych na wodach powierzchniowych oraz obszarów morskiego pasa nadbrzeżnego</w:t>
            </w: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- § 3 ust. 4 rozporządzenia Ministra Rolnictwa i Rozwoju Wsi z dnia 16 kwietnia 2008 r. w sprawie szczegółowego sposobu stosowania nawozów oraz prowadzenia szkoleń z zakresu ich stosowania.</w:t>
            </w:r>
          </w:p>
        </w:tc>
        <w:tc>
          <w:tcPr>
            <w:tcW w:w="212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Nieprzestrzeganie zakazu stosowania nawozów naturalnych w odległości mniejszej niż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20 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od strefy ochronnej źródeł wody, ujęć wody, brzegu zbiorników oraz cieków wodnych, kąpielisk zlokalizowanych na wodach powierzchniowych oraz obszarów morskiego pasa nadbrzeżnego.</w:t>
            </w:r>
          </w:p>
        </w:tc>
        <w:tc>
          <w:tcPr>
            <w:tcW w:w="1985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9. Stwierdzono zastosowanie nawozów naturalnych w odległości mniejszej niż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36AF7">
                <w:rPr>
                  <w:rFonts w:ascii="Times New Roman" w:hAnsi="Times New Roman" w:cs="Times New Roman"/>
                  <w:sz w:val="20"/>
                  <w:szCs w:val="20"/>
                </w:rPr>
                <w:t>20 m</w:t>
              </w:r>
            </w:smartTag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 od strefy ochronnej źródeł wody, ujęć wody, brzegu zbiorników oraz cieków wodnych, kąpielisk zlokalizowanych na wodach powierzchniowych oraz  obszarów morskiego pasa nadbrzeżnego.</w:t>
            </w:r>
          </w:p>
        </w:tc>
        <w:tc>
          <w:tcPr>
            <w:tcW w:w="992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vAlign w:val="center"/>
          </w:tcPr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C36AF7" w:rsidRPr="00C36AF7" w:rsidRDefault="00C36AF7" w:rsidP="00C36AF7">
            <w:pPr>
              <w:autoSpaceDE w:val="0"/>
              <w:autoSpaceDN w:val="0"/>
              <w:adjustRightIn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A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AF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C36AF7" w:rsidRDefault="00C36AF7"/>
    <w:p w:rsidR="00263E03" w:rsidRDefault="00263E03"/>
    <w:p w:rsidR="00263E03" w:rsidRPr="009644B1" w:rsidRDefault="00263E03" w:rsidP="00263E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4B1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9644B1">
        <w:rPr>
          <w:rFonts w:ascii="Times New Roman" w:hAnsi="Times New Roman" w:cs="Times New Roman"/>
          <w:b/>
          <w:sz w:val="20"/>
          <w:szCs w:val="20"/>
        </w:rPr>
        <w:tab/>
        <w:t>Ocena wagi stwierdzonej niezgodności według kryterium zasięgu:</w:t>
      </w:r>
    </w:p>
    <w:p w:rsidR="00263E03" w:rsidRPr="00263E03" w:rsidRDefault="00263E03" w:rsidP="00263E03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3E03">
        <w:rPr>
          <w:rFonts w:ascii="Times New Roman" w:hAnsi="Times New Roman" w:cs="Times New Roman"/>
          <w:sz w:val="20"/>
          <w:szCs w:val="20"/>
        </w:rPr>
        <w:t>1)</w:t>
      </w:r>
      <w:r w:rsidRPr="00263E03">
        <w:rPr>
          <w:rFonts w:ascii="Times New Roman" w:hAnsi="Times New Roman" w:cs="Times New Roman"/>
          <w:sz w:val="20"/>
          <w:szCs w:val="20"/>
        </w:rPr>
        <w:tab/>
        <w:t xml:space="preserve">1 </w:t>
      </w:r>
      <w:proofErr w:type="spellStart"/>
      <w:r w:rsidRPr="00263E0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63E03">
        <w:rPr>
          <w:rFonts w:ascii="Times New Roman" w:hAnsi="Times New Roman" w:cs="Times New Roman"/>
          <w:sz w:val="20"/>
          <w:szCs w:val="20"/>
        </w:rPr>
        <w:t xml:space="preserve"> - ograniczony do gospodarstwa rolnego;</w:t>
      </w:r>
    </w:p>
    <w:p w:rsidR="00263E03" w:rsidRPr="00263E03" w:rsidRDefault="00263E03" w:rsidP="00263E03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3E03">
        <w:rPr>
          <w:rFonts w:ascii="Times New Roman" w:hAnsi="Times New Roman" w:cs="Times New Roman"/>
          <w:sz w:val="20"/>
          <w:szCs w:val="20"/>
        </w:rPr>
        <w:t>2)</w:t>
      </w:r>
      <w:r w:rsidRPr="00263E03"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spellStart"/>
      <w:r w:rsidRPr="00263E0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63E03">
        <w:rPr>
          <w:rFonts w:ascii="Times New Roman" w:hAnsi="Times New Roman" w:cs="Times New Roman"/>
          <w:sz w:val="20"/>
          <w:szCs w:val="20"/>
        </w:rPr>
        <w:t xml:space="preserve"> - ograniczony do gospodarstwa rolnego, jednakże mogący mieć skutki dla obszaru sąsiadującego z gospodarstwem;</w:t>
      </w:r>
    </w:p>
    <w:p w:rsidR="00263E03" w:rsidRPr="00263E03" w:rsidRDefault="00263E03" w:rsidP="00263E03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3E03">
        <w:rPr>
          <w:rFonts w:ascii="Times New Roman" w:hAnsi="Times New Roman" w:cs="Times New Roman"/>
          <w:sz w:val="20"/>
          <w:szCs w:val="20"/>
        </w:rPr>
        <w:t>3)</w:t>
      </w:r>
      <w:r w:rsidRPr="00263E03">
        <w:rPr>
          <w:rFonts w:ascii="Times New Roman" w:hAnsi="Times New Roman" w:cs="Times New Roman"/>
          <w:sz w:val="20"/>
          <w:szCs w:val="20"/>
        </w:rPr>
        <w:tab/>
        <w:t xml:space="preserve">5 </w:t>
      </w:r>
      <w:proofErr w:type="spellStart"/>
      <w:r w:rsidRPr="00263E0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63E03">
        <w:rPr>
          <w:rFonts w:ascii="Times New Roman" w:hAnsi="Times New Roman" w:cs="Times New Roman"/>
          <w:sz w:val="20"/>
          <w:szCs w:val="20"/>
        </w:rPr>
        <w:t xml:space="preserve"> - wykraczający poza gospodarstwo rolne.</w:t>
      </w:r>
    </w:p>
    <w:p w:rsidR="00263E03" w:rsidRPr="009644B1" w:rsidRDefault="00263E03" w:rsidP="00263E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4B1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9644B1">
        <w:rPr>
          <w:rFonts w:ascii="Times New Roman" w:hAnsi="Times New Roman" w:cs="Times New Roman"/>
          <w:b/>
          <w:sz w:val="20"/>
          <w:szCs w:val="20"/>
        </w:rPr>
        <w:tab/>
        <w:t>Ocena wagi stwierdzonej niezgodności według kryterium dotkliwości - szybkości reakcji środowiska na naruszenie:</w:t>
      </w:r>
    </w:p>
    <w:p w:rsidR="00263E03" w:rsidRPr="00263E03" w:rsidRDefault="00263E03" w:rsidP="00263E03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3E03">
        <w:rPr>
          <w:rFonts w:ascii="Times New Roman" w:hAnsi="Times New Roman" w:cs="Times New Roman"/>
          <w:sz w:val="20"/>
          <w:szCs w:val="20"/>
        </w:rPr>
        <w:t>1)</w:t>
      </w:r>
      <w:r w:rsidRPr="00263E03">
        <w:rPr>
          <w:rFonts w:ascii="Times New Roman" w:hAnsi="Times New Roman" w:cs="Times New Roman"/>
          <w:sz w:val="20"/>
          <w:szCs w:val="20"/>
        </w:rPr>
        <w:tab/>
        <w:t xml:space="preserve">1 </w:t>
      </w:r>
      <w:proofErr w:type="spellStart"/>
      <w:r w:rsidRPr="00263E0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63E03">
        <w:rPr>
          <w:rFonts w:ascii="Times New Roman" w:hAnsi="Times New Roman" w:cs="Times New Roman"/>
          <w:sz w:val="20"/>
          <w:szCs w:val="20"/>
        </w:rPr>
        <w:t xml:space="preserve"> - negatywny efekt dla środowiska niewidoczny, lecz potencjalnie możliwy w nieokreślonym czasie;</w:t>
      </w:r>
    </w:p>
    <w:p w:rsidR="00263E03" w:rsidRPr="00263E03" w:rsidRDefault="00263E03" w:rsidP="00263E03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3E03">
        <w:rPr>
          <w:rFonts w:ascii="Times New Roman" w:hAnsi="Times New Roman" w:cs="Times New Roman"/>
          <w:sz w:val="20"/>
          <w:szCs w:val="20"/>
        </w:rPr>
        <w:t>2)</w:t>
      </w:r>
      <w:r w:rsidRPr="00263E03"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spellStart"/>
      <w:r w:rsidRPr="00263E0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63E03">
        <w:rPr>
          <w:rFonts w:ascii="Times New Roman" w:hAnsi="Times New Roman" w:cs="Times New Roman"/>
          <w:sz w:val="20"/>
          <w:szCs w:val="20"/>
        </w:rPr>
        <w:t xml:space="preserve"> - negatywny efekt dla środowiska niewidoczny, lecz bardzo prawdopodobny w kolejnym roku;</w:t>
      </w:r>
    </w:p>
    <w:p w:rsidR="00263E03" w:rsidRPr="00263E03" w:rsidRDefault="00263E03" w:rsidP="00263E03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3E03">
        <w:rPr>
          <w:rFonts w:ascii="Times New Roman" w:hAnsi="Times New Roman" w:cs="Times New Roman"/>
          <w:sz w:val="20"/>
          <w:szCs w:val="20"/>
        </w:rPr>
        <w:t>3)</w:t>
      </w:r>
      <w:r w:rsidRPr="00263E03">
        <w:rPr>
          <w:rFonts w:ascii="Times New Roman" w:hAnsi="Times New Roman" w:cs="Times New Roman"/>
          <w:sz w:val="20"/>
          <w:szCs w:val="20"/>
        </w:rPr>
        <w:tab/>
        <w:t xml:space="preserve">5 </w:t>
      </w:r>
      <w:proofErr w:type="spellStart"/>
      <w:r w:rsidRPr="00263E0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63E03">
        <w:rPr>
          <w:rFonts w:ascii="Times New Roman" w:hAnsi="Times New Roman" w:cs="Times New Roman"/>
          <w:sz w:val="20"/>
          <w:szCs w:val="20"/>
        </w:rPr>
        <w:t xml:space="preserve"> - negatywny efekt dla środowiska widoczny w tym samym roku.</w:t>
      </w:r>
    </w:p>
    <w:p w:rsidR="00263E03" w:rsidRPr="009644B1" w:rsidRDefault="00263E03" w:rsidP="00263E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4B1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Pr="009644B1">
        <w:rPr>
          <w:rFonts w:ascii="Times New Roman" w:hAnsi="Times New Roman" w:cs="Times New Roman"/>
          <w:b/>
          <w:sz w:val="20"/>
          <w:szCs w:val="20"/>
        </w:rPr>
        <w:tab/>
        <w:t>Ocena wagi stwierdzonej niezgodności według kryterium trwałości:</w:t>
      </w:r>
    </w:p>
    <w:p w:rsidR="00263E03" w:rsidRPr="00263E03" w:rsidRDefault="00263E03" w:rsidP="00263E03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3E03">
        <w:rPr>
          <w:rFonts w:ascii="Times New Roman" w:hAnsi="Times New Roman" w:cs="Times New Roman"/>
          <w:sz w:val="20"/>
          <w:szCs w:val="20"/>
        </w:rPr>
        <w:t>1)</w:t>
      </w:r>
      <w:r w:rsidRPr="00263E03">
        <w:rPr>
          <w:rFonts w:ascii="Times New Roman" w:hAnsi="Times New Roman" w:cs="Times New Roman"/>
          <w:sz w:val="20"/>
          <w:szCs w:val="20"/>
        </w:rPr>
        <w:tab/>
        <w:t xml:space="preserve">1 </w:t>
      </w:r>
      <w:proofErr w:type="spellStart"/>
      <w:r w:rsidRPr="00263E0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63E03">
        <w:rPr>
          <w:rFonts w:ascii="Times New Roman" w:hAnsi="Times New Roman" w:cs="Times New Roman"/>
          <w:sz w:val="20"/>
          <w:szCs w:val="20"/>
        </w:rPr>
        <w:t xml:space="preserve"> - odwracalna krótkotrwała;</w:t>
      </w:r>
    </w:p>
    <w:p w:rsidR="00263E03" w:rsidRPr="00263E03" w:rsidRDefault="00263E03" w:rsidP="00263E03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3E03">
        <w:rPr>
          <w:rFonts w:ascii="Times New Roman" w:hAnsi="Times New Roman" w:cs="Times New Roman"/>
          <w:sz w:val="20"/>
          <w:szCs w:val="20"/>
        </w:rPr>
        <w:t>2)</w:t>
      </w:r>
      <w:r w:rsidRPr="00263E03"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spellStart"/>
      <w:r w:rsidRPr="00263E0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63E03">
        <w:rPr>
          <w:rFonts w:ascii="Times New Roman" w:hAnsi="Times New Roman" w:cs="Times New Roman"/>
          <w:sz w:val="20"/>
          <w:szCs w:val="20"/>
        </w:rPr>
        <w:t xml:space="preserve"> - odwracalna długotrwała;</w:t>
      </w:r>
    </w:p>
    <w:p w:rsidR="00263E03" w:rsidRPr="00263E03" w:rsidRDefault="00263E03" w:rsidP="00263E03">
      <w:pPr>
        <w:tabs>
          <w:tab w:val="left" w:pos="852"/>
        </w:tabs>
        <w:autoSpaceDE w:val="0"/>
        <w:autoSpaceDN w:val="0"/>
        <w:adjustRightInd w:val="0"/>
        <w:spacing w:after="24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3E03">
        <w:rPr>
          <w:rFonts w:ascii="Times New Roman" w:hAnsi="Times New Roman" w:cs="Times New Roman"/>
          <w:sz w:val="20"/>
          <w:szCs w:val="20"/>
        </w:rPr>
        <w:t>3)</w:t>
      </w:r>
      <w:r w:rsidRPr="00263E03">
        <w:rPr>
          <w:rFonts w:ascii="Times New Roman" w:hAnsi="Times New Roman" w:cs="Times New Roman"/>
          <w:sz w:val="20"/>
          <w:szCs w:val="20"/>
        </w:rPr>
        <w:tab/>
        <w:t xml:space="preserve">5 </w:t>
      </w:r>
      <w:proofErr w:type="spellStart"/>
      <w:r w:rsidRPr="00263E0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63E03">
        <w:rPr>
          <w:rFonts w:ascii="Times New Roman" w:hAnsi="Times New Roman" w:cs="Times New Roman"/>
          <w:sz w:val="20"/>
          <w:szCs w:val="20"/>
        </w:rPr>
        <w:t xml:space="preserve"> - nieodwracalna.</w:t>
      </w:r>
    </w:p>
    <w:p w:rsidR="00263E03" w:rsidRDefault="00263E03"/>
    <w:sectPr w:rsidR="00263E03" w:rsidSect="004A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44" w:rsidRDefault="00163D44" w:rsidP="00163D44">
      <w:pPr>
        <w:spacing w:after="0" w:line="240" w:lineRule="auto"/>
      </w:pPr>
      <w:r>
        <w:separator/>
      </w:r>
    </w:p>
  </w:endnote>
  <w:endnote w:type="continuationSeparator" w:id="1">
    <w:p w:rsidR="00163D44" w:rsidRDefault="00163D44" w:rsidP="0016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422"/>
      <w:docPartObj>
        <w:docPartGallery w:val="Page Numbers (Bottom of Page)"/>
        <w:docPartUnique/>
      </w:docPartObj>
    </w:sdtPr>
    <w:sdtContent>
      <w:p w:rsidR="00163D44" w:rsidRDefault="00163D4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63D44" w:rsidRDefault="00163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44" w:rsidRDefault="00163D44" w:rsidP="00163D44">
      <w:pPr>
        <w:spacing w:after="0" w:line="240" w:lineRule="auto"/>
      </w:pPr>
      <w:r>
        <w:separator/>
      </w:r>
    </w:p>
  </w:footnote>
  <w:footnote w:type="continuationSeparator" w:id="1">
    <w:p w:rsidR="00163D44" w:rsidRDefault="00163D44" w:rsidP="0016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2C2"/>
    <w:multiLevelType w:val="hybridMultilevel"/>
    <w:tmpl w:val="8B3CE5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42CAB"/>
    <w:multiLevelType w:val="hybridMultilevel"/>
    <w:tmpl w:val="C8C83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C02"/>
    <w:rsid w:val="00141A9D"/>
    <w:rsid w:val="00163D44"/>
    <w:rsid w:val="001765F9"/>
    <w:rsid w:val="001D3317"/>
    <w:rsid w:val="00263E03"/>
    <w:rsid w:val="0047676F"/>
    <w:rsid w:val="004A0428"/>
    <w:rsid w:val="007035D9"/>
    <w:rsid w:val="007C4C40"/>
    <w:rsid w:val="009644B1"/>
    <w:rsid w:val="00A46C9E"/>
    <w:rsid w:val="00C36AF7"/>
    <w:rsid w:val="00EB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C3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D44"/>
  </w:style>
  <w:style w:type="paragraph" w:styleId="Stopka">
    <w:name w:val="footer"/>
    <w:basedOn w:val="Normalny"/>
    <w:link w:val="StopkaZnak"/>
    <w:uiPriority w:val="99"/>
    <w:unhideWhenUsed/>
    <w:rsid w:val="001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2293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2011-07-21T12:10:00Z</cp:lastPrinted>
  <dcterms:created xsi:type="dcterms:W3CDTF">2011-07-15T11:06:00Z</dcterms:created>
  <dcterms:modified xsi:type="dcterms:W3CDTF">2011-08-10T12:45:00Z</dcterms:modified>
</cp:coreProperties>
</file>