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1133"/>
        <w:gridCol w:w="1843"/>
        <w:gridCol w:w="6660"/>
        <w:gridCol w:w="3829"/>
        <w:gridCol w:w="1360"/>
      </w:tblGrid>
      <w:tr w:rsidR="00F019F8" w:rsidRPr="00F019F8" w:rsidTr="001F5185">
        <w:tc>
          <w:tcPr>
            <w:tcW w:w="5000" w:type="pct"/>
            <w:gridSpan w:val="6"/>
            <w:shd w:val="clear" w:color="auto" w:fill="auto"/>
            <w:vAlign w:val="center"/>
          </w:tcPr>
          <w:p w:rsidR="00A06425" w:rsidRPr="00F019F8" w:rsidRDefault="00A06425" w:rsidP="00F869E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 w:rsidRPr="00F019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F37CF" w:rsidRPr="00F019F8">
              <w:rPr>
                <w:rFonts w:asciiTheme="minorHAnsi" w:hAnsiTheme="minorHAnsi" w:cstheme="minorHAnsi"/>
                <w:sz w:val="22"/>
                <w:szCs w:val="22"/>
              </w:rPr>
              <w:t>Opis założeń</w:t>
            </w:r>
            <w:r w:rsidR="00F86451"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projektu informatycznego pn. </w:t>
            </w:r>
            <w:r w:rsidR="00F869E6" w:rsidRPr="00F019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Budowa i wdrożenie Systemu Poboru Opłaty Elektronicznej Krajowej Administracji Skarbowej (SPOE KAS) </w:t>
            </w:r>
            <w:r w:rsidR="00F869E6" w:rsidRPr="00F019F8">
              <w:rPr>
                <w:rFonts w:asciiTheme="minorHAnsi" w:hAnsiTheme="minorHAnsi" w:cstheme="minorHAnsi"/>
                <w:i/>
                <w:sz w:val="22"/>
                <w:szCs w:val="22"/>
              </w:rPr>
              <w:t>(wnioskodawca - Minister Finansów,, beneficjent - Ministerstwo Finansów – Krajowa Administracja Skarbowa)</w:t>
            </w:r>
          </w:p>
        </w:tc>
      </w:tr>
      <w:tr w:rsidR="00F019F8" w:rsidRPr="00F019F8" w:rsidTr="00AE1598">
        <w:tc>
          <w:tcPr>
            <w:tcW w:w="183" w:type="pct"/>
            <w:shd w:val="clear" w:color="auto" w:fill="auto"/>
            <w:vAlign w:val="center"/>
          </w:tcPr>
          <w:p w:rsidR="00A06425" w:rsidRPr="00F019F8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A06425" w:rsidRPr="00F019F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599" w:type="pct"/>
            <w:shd w:val="clear" w:color="auto" w:fill="auto"/>
            <w:vAlign w:val="center"/>
          </w:tcPr>
          <w:p w:rsidR="00A06425" w:rsidRPr="00F019F8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2164" w:type="pct"/>
            <w:shd w:val="clear" w:color="auto" w:fill="auto"/>
            <w:vAlign w:val="center"/>
          </w:tcPr>
          <w:p w:rsidR="00A06425" w:rsidRPr="00F019F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Treść uwag</w:t>
            </w:r>
            <w:r w:rsidR="002E5147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  <w:tc>
          <w:tcPr>
            <w:tcW w:w="1244" w:type="pct"/>
            <w:shd w:val="clear" w:color="auto" w:fill="auto"/>
            <w:vAlign w:val="center"/>
          </w:tcPr>
          <w:p w:rsidR="00A06425" w:rsidRPr="00F019F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42" w:type="pct"/>
            <w:vAlign w:val="center"/>
          </w:tcPr>
          <w:p w:rsidR="00A06425" w:rsidRPr="00F019F8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364E5" w:rsidRPr="00F019F8" w:rsidTr="00AE1598">
        <w:tc>
          <w:tcPr>
            <w:tcW w:w="183" w:type="pct"/>
            <w:shd w:val="clear" w:color="auto" w:fill="auto"/>
          </w:tcPr>
          <w:p w:rsidR="009364E5" w:rsidRPr="005D7B94" w:rsidRDefault="005D7B94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368" w:type="pct"/>
            <w:shd w:val="clear" w:color="auto" w:fill="auto"/>
          </w:tcPr>
          <w:p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2164" w:type="pct"/>
            <w:shd w:val="clear" w:color="auto" w:fill="auto"/>
          </w:tcPr>
          <w:p w:rsidR="009364E5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wierszu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„KPI” </w:t>
            </w:r>
            <w:r w:rsidR="00684ED1">
              <w:rPr>
                <w:rFonts w:asciiTheme="minorHAnsi" w:hAnsiTheme="minorHAnsi" w:cstheme="minorHAnsi"/>
                <w:sz w:val="22"/>
                <w:szCs w:val="22"/>
              </w:rPr>
              <w:t xml:space="preserve">nie podano wskaźników efektywności, które będą stanowiły 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podstawę pomiaru poziomu osiągnięcia celu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364E5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364E5" w:rsidRPr="00F019F8" w:rsidRDefault="009364E5" w:rsidP="00684E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artości aktualne i docelowe powinny być umieszczone </w:t>
            </w:r>
            <w:r w:rsidR="00684ED1">
              <w:rPr>
                <w:rFonts w:asciiTheme="minorHAnsi" w:hAnsiTheme="minorHAnsi" w:cstheme="minorHAnsi"/>
                <w:sz w:val="22"/>
                <w:szCs w:val="22"/>
              </w:rPr>
              <w:t xml:space="preserve">wyłącznie 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w wierszu „Wartość</w:t>
            </w:r>
            <w:r w:rsidR="00684E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aktualna i docelowa KPI”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244" w:type="pct"/>
            <w:shd w:val="clear" w:color="auto" w:fill="auto"/>
          </w:tcPr>
          <w:p w:rsidR="009364E5" w:rsidRPr="00F019F8" w:rsidRDefault="003E185A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42" w:type="pct"/>
          </w:tcPr>
          <w:p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73AE" w:rsidRPr="00F019F8" w:rsidTr="00EE1E7C">
        <w:tc>
          <w:tcPr>
            <w:tcW w:w="183" w:type="pct"/>
            <w:shd w:val="clear" w:color="auto" w:fill="auto"/>
          </w:tcPr>
          <w:p w:rsidR="00E173AE" w:rsidRPr="00F019F8" w:rsidRDefault="00E173AE" w:rsidP="00EE1E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368" w:type="pct"/>
            <w:shd w:val="clear" w:color="auto" w:fill="auto"/>
          </w:tcPr>
          <w:p w:rsidR="00E173AE" w:rsidRPr="00F019F8" w:rsidRDefault="00E173AE" w:rsidP="00EE1E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E173AE" w:rsidRPr="00E173AE" w:rsidRDefault="00E173AE" w:rsidP="00E173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2.3. </w:t>
            </w:r>
            <w:r w:rsidRPr="00E173AE">
              <w:rPr>
                <w:rFonts w:asciiTheme="minorHAnsi" w:hAnsiTheme="minorHAnsi" w:cstheme="minorHAnsi"/>
                <w:sz w:val="22"/>
                <w:szCs w:val="22"/>
              </w:rPr>
              <w:t>Udostępnione informacje sektora publicznego i</w:t>
            </w:r>
          </w:p>
          <w:p w:rsidR="00E173AE" w:rsidRPr="00F019F8" w:rsidRDefault="00E173AE" w:rsidP="00E173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73AE">
              <w:rPr>
                <w:rFonts w:asciiTheme="minorHAnsi" w:hAnsiTheme="minorHAnsi" w:cstheme="minorHAnsi"/>
                <w:sz w:val="22"/>
                <w:szCs w:val="22"/>
              </w:rPr>
              <w:t>zdigitalizowane zasoby</w:t>
            </w:r>
          </w:p>
        </w:tc>
        <w:tc>
          <w:tcPr>
            <w:tcW w:w="2164" w:type="pct"/>
            <w:shd w:val="clear" w:color="auto" w:fill="auto"/>
          </w:tcPr>
          <w:p w:rsidR="00E173AE" w:rsidRPr="00F019F8" w:rsidRDefault="00E173AE" w:rsidP="00E173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informacją prezentowaną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w części 7.2 opisu założeń pt. „Kluczowe komponenty architektury rozwiązania”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opisem na wzorze formularza produktem projektu jest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„Rejestr uiszczających opłatę elektroniczną”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Jeżeli informacje zawarte w rejestrze podlegają udostępnieniu, produkt powinien zostać wykazany w rozdziale 2.3.</w:t>
            </w:r>
          </w:p>
        </w:tc>
        <w:tc>
          <w:tcPr>
            <w:tcW w:w="1244" w:type="pct"/>
            <w:shd w:val="clear" w:color="auto" w:fill="auto"/>
          </w:tcPr>
          <w:p w:rsidR="00E173AE" w:rsidRPr="00F019F8" w:rsidRDefault="00E173AE" w:rsidP="00EE1E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42" w:type="pct"/>
          </w:tcPr>
          <w:p w:rsidR="00E173AE" w:rsidRPr="00F019F8" w:rsidRDefault="00E173AE" w:rsidP="00EE1E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4E5" w:rsidRPr="00F019F8" w:rsidTr="00AE1598">
        <w:tc>
          <w:tcPr>
            <w:tcW w:w="183" w:type="pct"/>
            <w:shd w:val="clear" w:color="auto" w:fill="auto"/>
          </w:tcPr>
          <w:p w:rsidR="009364E5" w:rsidRPr="00F019F8" w:rsidRDefault="005D7B94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368" w:type="pct"/>
            <w:shd w:val="clear" w:color="auto" w:fill="auto"/>
          </w:tcPr>
          <w:p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2164" w:type="pct"/>
            <w:shd w:val="clear" w:color="auto" w:fill="auto"/>
          </w:tcPr>
          <w:p w:rsidR="009364E5" w:rsidRPr="00F019F8" w:rsidRDefault="00690C9D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informacją prezentowaną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w części 7.2 opisu założeń pt. „Kluczowe komponenty architektury rozwiązania”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opisem na wzorze formularza produktem projektu jest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364E5" w:rsidRPr="00F019F8">
              <w:rPr>
                <w:rFonts w:asciiTheme="minorHAnsi" w:hAnsiTheme="minorHAnsi" w:cstheme="minorHAnsi"/>
                <w:sz w:val="22"/>
                <w:szCs w:val="22"/>
              </w:rPr>
              <w:t>„Rejestr uiszczających opłatę elektroniczną”</w:t>
            </w:r>
            <w:r w:rsidR="002519C9">
              <w:rPr>
                <w:rFonts w:asciiTheme="minorHAnsi" w:hAnsiTheme="minorHAnsi" w:cstheme="minorHAnsi"/>
                <w:sz w:val="22"/>
                <w:szCs w:val="22"/>
              </w:rPr>
              <w:t>, który nie został wskazany w rozdziale 2.4.</w:t>
            </w:r>
          </w:p>
        </w:tc>
        <w:tc>
          <w:tcPr>
            <w:tcW w:w="1244" w:type="pct"/>
            <w:shd w:val="clear" w:color="auto" w:fill="auto"/>
          </w:tcPr>
          <w:p w:rsidR="009364E5" w:rsidRPr="00F019F8" w:rsidRDefault="009364E5" w:rsidP="00690C9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42" w:type="pct"/>
          </w:tcPr>
          <w:p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4E5" w:rsidRPr="00F019F8" w:rsidTr="00AE1598">
        <w:tc>
          <w:tcPr>
            <w:tcW w:w="183" w:type="pct"/>
            <w:shd w:val="clear" w:color="auto" w:fill="auto"/>
          </w:tcPr>
          <w:p w:rsidR="009364E5" w:rsidRPr="00F019F8" w:rsidRDefault="005D7B94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368" w:type="pct"/>
            <w:shd w:val="clear" w:color="auto" w:fill="auto"/>
          </w:tcPr>
          <w:p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2164" w:type="pct"/>
            <w:shd w:val="clear" w:color="auto" w:fill="auto"/>
          </w:tcPr>
          <w:p w:rsidR="002519C9" w:rsidRPr="00F019F8" w:rsidRDefault="002519C9" w:rsidP="002519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9364E5"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przypadku projektów o okresie realizacji krótszym niż 3 lata,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konieczne jest ustalenie kamieni milowych 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w odstępach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mniejszych niż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6 miesięcy,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co umożliwia bieżące monitorowanie postępów w projekcie.</w:t>
            </w:r>
          </w:p>
          <w:p w:rsidR="009364E5" w:rsidRPr="00F019F8" w:rsidRDefault="009364E5" w:rsidP="0088577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44" w:type="pct"/>
            <w:shd w:val="clear" w:color="auto" w:fill="auto"/>
          </w:tcPr>
          <w:p w:rsidR="009364E5" w:rsidRPr="00F019F8" w:rsidRDefault="009364E5" w:rsidP="002519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2519C9">
              <w:rPr>
                <w:rFonts w:asciiTheme="minorHAnsi" w:hAnsiTheme="minorHAnsi" w:cstheme="minorHAnsi"/>
                <w:sz w:val="22"/>
                <w:szCs w:val="22"/>
              </w:rPr>
              <w:t xml:space="preserve">dodanie </w:t>
            </w:r>
            <w:r w:rsidR="002519C9"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kamieni milowych </w:t>
            </w:r>
            <w:r w:rsidR="002519C9">
              <w:rPr>
                <w:rFonts w:asciiTheme="minorHAnsi" w:hAnsiTheme="minorHAnsi" w:cstheme="minorHAnsi"/>
                <w:sz w:val="22"/>
                <w:szCs w:val="22"/>
              </w:rPr>
              <w:t xml:space="preserve">w okresach dłuższych niż 6 miesięcy, w tym uwzględnienie kamieni milowych </w:t>
            </w:r>
            <w:r w:rsidR="002519C9"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związanych z </w:t>
            </w:r>
            <w:r w:rsidR="002519C9">
              <w:rPr>
                <w:rFonts w:asciiTheme="minorHAnsi" w:hAnsiTheme="minorHAnsi" w:cstheme="minorHAnsi"/>
                <w:sz w:val="22"/>
                <w:szCs w:val="22"/>
              </w:rPr>
              <w:t>wyłonieniem wykonawcy lub dokonaniem</w:t>
            </w:r>
            <w:r w:rsidR="002519C9"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zakupu usług lub towarów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i korektę opisu założeń</w:t>
            </w:r>
          </w:p>
        </w:tc>
        <w:tc>
          <w:tcPr>
            <w:tcW w:w="442" w:type="pct"/>
          </w:tcPr>
          <w:p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4E5" w:rsidRPr="00F019F8" w:rsidTr="00AE1598">
        <w:tc>
          <w:tcPr>
            <w:tcW w:w="183" w:type="pct"/>
            <w:shd w:val="clear" w:color="auto" w:fill="auto"/>
          </w:tcPr>
          <w:p w:rsidR="009364E5" w:rsidRPr="00F019F8" w:rsidRDefault="005D7B94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368" w:type="pct"/>
            <w:shd w:val="clear" w:color="auto" w:fill="auto"/>
          </w:tcPr>
          <w:p w:rsidR="009364E5" w:rsidRPr="00F019F8" w:rsidRDefault="009364E5" w:rsidP="009364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4.3. Koszty ogólne utrzymania wraz ze sposobem finansowania</w:t>
            </w:r>
          </w:p>
        </w:tc>
        <w:tc>
          <w:tcPr>
            <w:tcW w:w="2164" w:type="pct"/>
            <w:shd w:val="clear" w:color="auto" w:fill="auto"/>
          </w:tcPr>
          <w:p w:rsidR="003A462E" w:rsidRDefault="003A462E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System w wersji </w:t>
            </w:r>
            <w:r w:rsidR="00D543E4">
              <w:rPr>
                <w:rFonts w:asciiTheme="minorHAnsi" w:hAnsiTheme="minorHAnsi" w:cstheme="minorHAnsi"/>
                <w:sz w:val="22"/>
                <w:szCs w:val="22"/>
              </w:rPr>
              <w:t>docelowej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będzie wdrożony na 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koniec 2021</w:t>
            </w:r>
            <w:r w:rsidR="00D543E4"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</w:p>
          <w:p w:rsidR="009364E5" w:rsidRPr="00F019F8" w:rsidRDefault="003A462E" w:rsidP="00D543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</w:t>
            </w:r>
            <w:r w:rsidR="00D543E4">
              <w:rPr>
                <w:rFonts w:asciiTheme="minorHAnsi" w:hAnsiTheme="minorHAnsi" w:cstheme="minorHAnsi"/>
                <w:sz w:val="22"/>
                <w:szCs w:val="22"/>
              </w:rPr>
              <w:t>z tym koszty</w:t>
            </w:r>
            <w:r w:rsidR="009364E5"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364E5" w:rsidRPr="003A462E">
              <w:rPr>
                <w:rFonts w:asciiTheme="minorHAnsi" w:hAnsiTheme="minorHAnsi" w:cstheme="minorHAnsi"/>
                <w:b/>
                <w:sz w:val="22"/>
                <w:szCs w:val="22"/>
              </w:rPr>
              <w:t>utrzymania trwałości projektu</w:t>
            </w:r>
            <w:r w:rsidR="009364E5"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brutto</w:t>
            </w:r>
            <w:r w:rsidR="009364E5">
              <w:rPr>
                <w:rFonts w:asciiTheme="minorHAnsi" w:hAnsiTheme="minorHAnsi" w:cstheme="minorHAnsi"/>
                <w:sz w:val="22"/>
                <w:szCs w:val="22"/>
              </w:rPr>
              <w:t xml:space="preserve"> w 2021 roku są</w:t>
            </w:r>
            <w:r w:rsidR="009364E5"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nieadekwatne do kosztów planowanych w kolejnych latach</w:t>
            </w:r>
            <w:r w:rsidR="009364E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244" w:type="pct"/>
            <w:shd w:val="clear" w:color="auto" w:fill="auto"/>
          </w:tcPr>
          <w:p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442" w:type="pct"/>
          </w:tcPr>
          <w:p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4E5" w:rsidRPr="00F019F8" w:rsidTr="00AE1598">
        <w:tc>
          <w:tcPr>
            <w:tcW w:w="183" w:type="pct"/>
            <w:shd w:val="clear" w:color="auto" w:fill="auto"/>
          </w:tcPr>
          <w:p w:rsidR="009364E5" w:rsidRPr="00F019F8" w:rsidRDefault="005D7B94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368" w:type="pct"/>
            <w:shd w:val="clear" w:color="auto" w:fill="auto"/>
          </w:tcPr>
          <w:p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9364E5" w:rsidRPr="00F019F8" w:rsidRDefault="009364E5" w:rsidP="009966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5. Główne ryzyka. </w:t>
            </w:r>
          </w:p>
        </w:tc>
        <w:tc>
          <w:tcPr>
            <w:tcW w:w="2164" w:type="pct"/>
            <w:shd w:val="clear" w:color="auto" w:fill="auto"/>
          </w:tcPr>
          <w:p w:rsidR="009364E5" w:rsidRPr="00F019F8" w:rsidRDefault="003A462E" w:rsidP="003A46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związku z bardzo wysokim kosztem realizacji projektu d</w:t>
            </w:r>
            <w:r w:rsidR="009966AB">
              <w:rPr>
                <w:rFonts w:asciiTheme="minorHAnsi" w:hAnsiTheme="minorHAnsi" w:cstheme="minorHAnsi"/>
                <w:sz w:val="22"/>
                <w:szCs w:val="22"/>
              </w:rPr>
              <w:t>la każdego ryzyka</w:t>
            </w:r>
            <w:r w:rsidR="009364E5"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wskazano niewystarczającą</w:t>
            </w:r>
            <w:r w:rsidR="009364E5"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liczbę </w:t>
            </w:r>
            <w:r w:rsidR="009966AB">
              <w:rPr>
                <w:rFonts w:asciiTheme="minorHAnsi" w:hAnsiTheme="minorHAnsi" w:cstheme="minorHAnsi"/>
                <w:sz w:val="22"/>
                <w:szCs w:val="22"/>
              </w:rPr>
              <w:t xml:space="preserve">działań </w:t>
            </w:r>
            <w:r w:rsidR="009364E5" w:rsidRPr="00F019F8">
              <w:rPr>
                <w:rFonts w:asciiTheme="minorHAnsi" w:hAnsiTheme="minorHAnsi" w:cstheme="minorHAnsi"/>
                <w:sz w:val="22"/>
                <w:szCs w:val="22"/>
              </w:rPr>
              <w:t>opisujących sposób zarządzania ryzykiem.</w:t>
            </w:r>
          </w:p>
        </w:tc>
        <w:tc>
          <w:tcPr>
            <w:tcW w:w="1244" w:type="pct"/>
            <w:shd w:val="clear" w:color="auto" w:fill="auto"/>
          </w:tcPr>
          <w:p w:rsidR="009364E5" w:rsidRPr="00F019F8" w:rsidRDefault="009364E5" w:rsidP="00292E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Proszę o analizę i uzupełnienie zakresu planowanych działań oraz korektę opisu założeń.</w:t>
            </w:r>
          </w:p>
        </w:tc>
        <w:tc>
          <w:tcPr>
            <w:tcW w:w="442" w:type="pct"/>
          </w:tcPr>
          <w:p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32F9" w:rsidRPr="00F019F8" w:rsidTr="00AE1598">
        <w:tc>
          <w:tcPr>
            <w:tcW w:w="183" w:type="pct"/>
            <w:shd w:val="clear" w:color="auto" w:fill="auto"/>
          </w:tcPr>
          <w:p w:rsidR="009232F9" w:rsidRPr="00F019F8" w:rsidRDefault="00BC170B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368" w:type="pct"/>
            <w:shd w:val="clear" w:color="auto" w:fill="auto"/>
          </w:tcPr>
          <w:p w:rsidR="009232F9" w:rsidRPr="00F019F8" w:rsidRDefault="005D7B94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9232F9" w:rsidRPr="00F019F8" w:rsidRDefault="009232F9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2164" w:type="pct"/>
            <w:shd w:val="clear" w:color="auto" w:fill="auto"/>
          </w:tcPr>
          <w:p w:rsidR="009232F9" w:rsidRDefault="009232F9" w:rsidP="009232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 tabeli „Lista przepływów”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wskazano systemy źródłowe i docelowe niezgodnie z informacją przekazaną na grafice „widok kooperacji aplikacji’ </w:t>
            </w:r>
          </w:p>
          <w:p w:rsidR="00DB6EF6" w:rsidRPr="00F019F8" w:rsidRDefault="00DB6EF6" w:rsidP="00DB6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244" w:type="pct"/>
            <w:shd w:val="clear" w:color="auto" w:fill="auto"/>
          </w:tcPr>
          <w:p w:rsidR="003E185A" w:rsidRPr="00F019F8" w:rsidRDefault="003E185A" w:rsidP="003E18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analizę i korektę opisu założeń</w:t>
            </w:r>
          </w:p>
          <w:p w:rsidR="009232F9" w:rsidRPr="00F019F8" w:rsidRDefault="009232F9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2" w:type="pct"/>
          </w:tcPr>
          <w:p w:rsidR="009232F9" w:rsidRPr="00F019F8" w:rsidRDefault="009232F9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B6EF6" w:rsidRPr="00F019F8" w:rsidTr="00AE1598">
        <w:tc>
          <w:tcPr>
            <w:tcW w:w="183" w:type="pct"/>
            <w:shd w:val="clear" w:color="auto" w:fill="auto"/>
          </w:tcPr>
          <w:p w:rsidR="00DB6EF6" w:rsidRPr="00F019F8" w:rsidRDefault="00BC170B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368" w:type="pct"/>
            <w:shd w:val="clear" w:color="auto" w:fill="auto"/>
          </w:tcPr>
          <w:p w:rsidR="00DB6EF6" w:rsidRPr="00F019F8" w:rsidRDefault="005D7B94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DB6EF6" w:rsidRPr="00F019F8" w:rsidRDefault="003E185A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2164" w:type="pct"/>
            <w:shd w:val="clear" w:color="auto" w:fill="auto"/>
          </w:tcPr>
          <w:p w:rsidR="00DB6EF6" w:rsidRDefault="00DB6EF6" w:rsidP="004722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W tabeli „Lista przepływów”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zakresie wymienianych danych należy precyzyjniej opisać encje i główne atrybuty danych podlegającyc</w:t>
            </w:r>
            <w:r w:rsidR="0047221C">
              <w:rPr>
                <w:rFonts w:asciiTheme="minorHAnsi" w:hAnsiTheme="minorHAnsi" w:cstheme="minorHAnsi"/>
                <w:sz w:val="22"/>
                <w:szCs w:val="22"/>
              </w:rPr>
              <w:t xml:space="preserve">h wymianie, m.in. dot. zapisów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„Kontrola”, „Notyfikacja”</w:t>
            </w:r>
          </w:p>
        </w:tc>
        <w:tc>
          <w:tcPr>
            <w:tcW w:w="1244" w:type="pct"/>
            <w:shd w:val="clear" w:color="auto" w:fill="auto"/>
          </w:tcPr>
          <w:p w:rsidR="003E185A" w:rsidRPr="00F019F8" w:rsidRDefault="003E185A" w:rsidP="003E18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analizę i korektę opisu założeń</w:t>
            </w:r>
          </w:p>
          <w:p w:rsidR="00DB6EF6" w:rsidRPr="00F019F8" w:rsidRDefault="00DB6EF6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2" w:type="pct"/>
          </w:tcPr>
          <w:p w:rsidR="00DB6EF6" w:rsidRPr="00F019F8" w:rsidRDefault="00DB6EF6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64E5" w:rsidRPr="00F019F8" w:rsidTr="00AE1598">
        <w:tc>
          <w:tcPr>
            <w:tcW w:w="183" w:type="pct"/>
            <w:shd w:val="clear" w:color="auto" w:fill="auto"/>
          </w:tcPr>
          <w:p w:rsidR="009364E5" w:rsidRPr="00F019F8" w:rsidRDefault="00BC170B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368" w:type="pct"/>
            <w:shd w:val="clear" w:color="auto" w:fill="auto"/>
          </w:tcPr>
          <w:p w:rsidR="009364E5" w:rsidRPr="00F019F8" w:rsidRDefault="005D7B94" w:rsidP="009364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599" w:type="pct"/>
            <w:shd w:val="clear" w:color="auto" w:fill="auto"/>
          </w:tcPr>
          <w:p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7.2. Kluczowe komponenty architektury rozwiązania</w:t>
            </w:r>
          </w:p>
        </w:tc>
        <w:tc>
          <w:tcPr>
            <w:tcW w:w="2164" w:type="pct"/>
            <w:shd w:val="clear" w:color="auto" w:fill="auto"/>
          </w:tcPr>
          <w:p w:rsidR="009364E5" w:rsidRPr="00F019F8" w:rsidRDefault="009364E5" w:rsidP="009364E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>Brak legendy dot. reprezentowanych komponentów systemu</w:t>
            </w:r>
          </w:p>
        </w:tc>
        <w:tc>
          <w:tcPr>
            <w:tcW w:w="1244" w:type="pct"/>
            <w:shd w:val="clear" w:color="auto" w:fill="auto"/>
          </w:tcPr>
          <w:p w:rsidR="003E185A" w:rsidRPr="00F019F8" w:rsidRDefault="003E185A" w:rsidP="003E185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19F8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analizę i korektę opisu założeń</w:t>
            </w:r>
          </w:p>
          <w:p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2" w:type="pct"/>
          </w:tcPr>
          <w:p w:rsidR="009364E5" w:rsidRPr="00F019F8" w:rsidRDefault="009364E5" w:rsidP="009364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260" w:rsidRDefault="004A7260" w:rsidP="00306D42">
      <w:r>
        <w:separator/>
      </w:r>
    </w:p>
  </w:endnote>
  <w:endnote w:type="continuationSeparator" w:id="0">
    <w:p w:rsidR="004A7260" w:rsidRDefault="004A7260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BC170B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BC170B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260" w:rsidRDefault="004A7260" w:rsidP="00306D42">
      <w:r>
        <w:separator/>
      </w:r>
    </w:p>
  </w:footnote>
  <w:footnote w:type="continuationSeparator" w:id="0">
    <w:p w:rsidR="004A7260" w:rsidRDefault="004A7260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015AA"/>
    <w:multiLevelType w:val="hybridMultilevel"/>
    <w:tmpl w:val="B3881ED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D7082F"/>
    <w:multiLevelType w:val="hybridMultilevel"/>
    <w:tmpl w:val="67408C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482B3E"/>
    <w:multiLevelType w:val="hybridMultilevel"/>
    <w:tmpl w:val="3828A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B4536"/>
    <w:multiLevelType w:val="hybridMultilevel"/>
    <w:tmpl w:val="DF4ACD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DE19B7"/>
    <w:multiLevelType w:val="hybridMultilevel"/>
    <w:tmpl w:val="831EB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B516C5"/>
    <w:multiLevelType w:val="hybridMultilevel"/>
    <w:tmpl w:val="79FE72A6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786394"/>
    <w:multiLevelType w:val="hybridMultilevel"/>
    <w:tmpl w:val="FA02C1D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35C6D8C"/>
    <w:multiLevelType w:val="hybridMultilevel"/>
    <w:tmpl w:val="DEB67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508C1"/>
    <w:multiLevelType w:val="hybridMultilevel"/>
    <w:tmpl w:val="F34EC0B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5A704ED"/>
    <w:multiLevelType w:val="hybridMultilevel"/>
    <w:tmpl w:val="618A72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66F02C0"/>
    <w:multiLevelType w:val="hybridMultilevel"/>
    <w:tmpl w:val="42C284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BAB5C5D"/>
    <w:multiLevelType w:val="hybridMultilevel"/>
    <w:tmpl w:val="6F92C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023DD"/>
    <w:multiLevelType w:val="hybridMultilevel"/>
    <w:tmpl w:val="2472946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F12D47"/>
    <w:multiLevelType w:val="hybridMultilevel"/>
    <w:tmpl w:val="4E207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6D536C"/>
    <w:multiLevelType w:val="hybridMultilevel"/>
    <w:tmpl w:val="5A74930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8B473B"/>
    <w:multiLevelType w:val="hybridMultilevel"/>
    <w:tmpl w:val="D508378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1"/>
  </w:num>
  <w:num w:numId="4">
    <w:abstractNumId w:val="2"/>
  </w:num>
  <w:num w:numId="5">
    <w:abstractNumId w:val="12"/>
  </w:num>
  <w:num w:numId="6">
    <w:abstractNumId w:val="18"/>
  </w:num>
  <w:num w:numId="7">
    <w:abstractNumId w:val="0"/>
  </w:num>
  <w:num w:numId="8">
    <w:abstractNumId w:val="19"/>
  </w:num>
  <w:num w:numId="9">
    <w:abstractNumId w:val="4"/>
  </w:num>
  <w:num w:numId="10">
    <w:abstractNumId w:val="5"/>
  </w:num>
  <w:num w:numId="11">
    <w:abstractNumId w:val="10"/>
  </w:num>
  <w:num w:numId="12">
    <w:abstractNumId w:val="16"/>
  </w:num>
  <w:num w:numId="13">
    <w:abstractNumId w:val="14"/>
  </w:num>
  <w:num w:numId="14">
    <w:abstractNumId w:val="15"/>
  </w:num>
  <w:num w:numId="15">
    <w:abstractNumId w:val="8"/>
  </w:num>
  <w:num w:numId="16">
    <w:abstractNumId w:val="13"/>
  </w:num>
  <w:num w:numId="17">
    <w:abstractNumId w:val="9"/>
  </w:num>
  <w:num w:numId="18">
    <w:abstractNumId w:val="3"/>
  </w:num>
  <w:num w:numId="19">
    <w:abstractNumId w:val="7"/>
  </w:num>
  <w:num w:numId="20">
    <w:abstractNumId w:val="1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702C"/>
    <w:rsid w:val="00034258"/>
    <w:rsid w:val="000475C5"/>
    <w:rsid w:val="00057E92"/>
    <w:rsid w:val="00067F46"/>
    <w:rsid w:val="00074257"/>
    <w:rsid w:val="00093D8B"/>
    <w:rsid w:val="000B7EC9"/>
    <w:rsid w:val="000E33B9"/>
    <w:rsid w:val="000E705D"/>
    <w:rsid w:val="000F37CF"/>
    <w:rsid w:val="000F6679"/>
    <w:rsid w:val="00105DDE"/>
    <w:rsid w:val="00124098"/>
    <w:rsid w:val="00140BE8"/>
    <w:rsid w:val="00145E7F"/>
    <w:rsid w:val="00180A27"/>
    <w:rsid w:val="0018795A"/>
    <w:rsid w:val="00195CCB"/>
    <w:rsid w:val="0019648E"/>
    <w:rsid w:val="001C1078"/>
    <w:rsid w:val="001C12E9"/>
    <w:rsid w:val="001C70F8"/>
    <w:rsid w:val="001D7AA0"/>
    <w:rsid w:val="001F5185"/>
    <w:rsid w:val="0020012B"/>
    <w:rsid w:val="00213669"/>
    <w:rsid w:val="00213772"/>
    <w:rsid w:val="00220996"/>
    <w:rsid w:val="002519C9"/>
    <w:rsid w:val="002715B2"/>
    <w:rsid w:val="002901C3"/>
    <w:rsid w:val="00292E8D"/>
    <w:rsid w:val="00297C8E"/>
    <w:rsid w:val="002E5147"/>
    <w:rsid w:val="002E7B3C"/>
    <w:rsid w:val="002F2066"/>
    <w:rsid w:val="003035F3"/>
    <w:rsid w:val="00306D42"/>
    <w:rsid w:val="00311CC6"/>
    <w:rsid w:val="003124D1"/>
    <w:rsid w:val="0033339F"/>
    <w:rsid w:val="00335D93"/>
    <w:rsid w:val="003426BF"/>
    <w:rsid w:val="00346051"/>
    <w:rsid w:val="003564FA"/>
    <w:rsid w:val="0037500A"/>
    <w:rsid w:val="003814F6"/>
    <w:rsid w:val="00395708"/>
    <w:rsid w:val="003A3582"/>
    <w:rsid w:val="003A462E"/>
    <w:rsid w:val="003B067F"/>
    <w:rsid w:val="003B4105"/>
    <w:rsid w:val="003C24B1"/>
    <w:rsid w:val="003E0026"/>
    <w:rsid w:val="003E138F"/>
    <w:rsid w:val="003E185A"/>
    <w:rsid w:val="003E4163"/>
    <w:rsid w:val="00405397"/>
    <w:rsid w:val="00436786"/>
    <w:rsid w:val="00441220"/>
    <w:rsid w:val="0046705B"/>
    <w:rsid w:val="0047099E"/>
    <w:rsid w:val="0047221C"/>
    <w:rsid w:val="004A7260"/>
    <w:rsid w:val="004B695A"/>
    <w:rsid w:val="004D086F"/>
    <w:rsid w:val="00534E8D"/>
    <w:rsid w:val="00540079"/>
    <w:rsid w:val="005578C2"/>
    <w:rsid w:val="005716C4"/>
    <w:rsid w:val="0058089A"/>
    <w:rsid w:val="005B7F56"/>
    <w:rsid w:val="005C483A"/>
    <w:rsid w:val="005C5D53"/>
    <w:rsid w:val="005D7B94"/>
    <w:rsid w:val="005F6527"/>
    <w:rsid w:val="00622CDD"/>
    <w:rsid w:val="00626712"/>
    <w:rsid w:val="006705EC"/>
    <w:rsid w:val="00676C72"/>
    <w:rsid w:val="0068274C"/>
    <w:rsid w:val="006843C4"/>
    <w:rsid w:val="00684ED1"/>
    <w:rsid w:val="00685E3C"/>
    <w:rsid w:val="00690C9D"/>
    <w:rsid w:val="006A7E89"/>
    <w:rsid w:val="006C55FD"/>
    <w:rsid w:val="006C6FE0"/>
    <w:rsid w:val="006E122E"/>
    <w:rsid w:val="006E16E9"/>
    <w:rsid w:val="006E5A15"/>
    <w:rsid w:val="0072026B"/>
    <w:rsid w:val="0074103D"/>
    <w:rsid w:val="00770E57"/>
    <w:rsid w:val="00784B26"/>
    <w:rsid w:val="0079342F"/>
    <w:rsid w:val="007B7100"/>
    <w:rsid w:val="007C27BD"/>
    <w:rsid w:val="00807385"/>
    <w:rsid w:val="0081484A"/>
    <w:rsid w:val="0081599C"/>
    <w:rsid w:val="008204CE"/>
    <w:rsid w:val="00825909"/>
    <w:rsid w:val="00871ADF"/>
    <w:rsid w:val="00885776"/>
    <w:rsid w:val="008A1D46"/>
    <w:rsid w:val="008A6311"/>
    <w:rsid w:val="008B3FC6"/>
    <w:rsid w:val="00911C49"/>
    <w:rsid w:val="009167E7"/>
    <w:rsid w:val="009207F6"/>
    <w:rsid w:val="009232F9"/>
    <w:rsid w:val="009322B3"/>
    <w:rsid w:val="009364E5"/>
    <w:rsid w:val="00943478"/>
    <w:rsid w:val="00944932"/>
    <w:rsid w:val="009966AB"/>
    <w:rsid w:val="009B57C5"/>
    <w:rsid w:val="009D233C"/>
    <w:rsid w:val="009D2E1D"/>
    <w:rsid w:val="009E5FDB"/>
    <w:rsid w:val="00A06425"/>
    <w:rsid w:val="00A06F10"/>
    <w:rsid w:val="00A10C56"/>
    <w:rsid w:val="00A2323F"/>
    <w:rsid w:val="00A259C4"/>
    <w:rsid w:val="00A743E6"/>
    <w:rsid w:val="00A85626"/>
    <w:rsid w:val="00AC0420"/>
    <w:rsid w:val="00AC1954"/>
    <w:rsid w:val="00AC6BF4"/>
    <w:rsid w:val="00AC7796"/>
    <w:rsid w:val="00AD7524"/>
    <w:rsid w:val="00AE1598"/>
    <w:rsid w:val="00AF139A"/>
    <w:rsid w:val="00B11FE8"/>
    <w:rsid w:val="00B26649"/>
    <w:rsid w:val="00B3769C"/>
    <w:rsid w:val="00B67CFF"/>
    <w:rsid w:val="00B70F70"/>
    <w:rsid w:val="00B871B6"/>
    <w:rsid w:val="00BB0B8F"/>
    <w:rsid w:val="00BC112E"/>
    <w:rsid w:val="00BC170B"/>
    <w:rsid w:val="00BD128A"/>
    <w:rsid w:val="00BF7390"/>
    <w:rsid w:val="00C64B1B"/>
    <w:rsid w:val="00C73026"/>
    <w:rsid w:val="00CA5E19"/>
    <w:rsid w:val="00CC271D"/>
    <w:rsid w:val="00CD0B30"/>
    <w:rsid w:val="00CD5EB0"/>
    <w:rsid w:val="00CE1578"/>
    <w:rsid w:val="00CF1637"/>
    <w:rsid w:val="00D058CC"/>
    <w:rsid w:val="00D13D1E"/>
    <w:rsid w:val="00D16C7B"/>
    <w:rsid w:val="00D247C7"/>
    <w:rsid w:val="00D543E4"/>
    <w:rsid w:val="00DB6EF6"/>
    <w:rsid w:val="00DC2B0F"/>
    <w:rsid w:val="00DE4752"/>
    <w:rsid w:val="00E031A5"/>
    <w:rsid w:val="00E14C33"/>
    <w:rsid w:val="00E173AE"/>
    <w:rsid w:val="00E24678"/>
    <w:rsid w:val="00E37340"/>
    <w:rsid w:val="00E677BB"/>
    <w:rsid w:val="00E83083"/>
    <w:rsid w:val="00EB6543"/>
    <w:rsid w:val="00EB7158"/>
    <w:rsid w:val="00EB79CB"/>
    <w:rsid w:val="00EC7391"/>
    <w:rsid w:val="00EE6879"/>
    <w:rsid w:val="00F019F8"/>
    <w:rsid w:val="00F0231F"/>
    <w:rsid w:val="00F27556"/>
    <w:rsid w:val="00F35C9F"/>
    <w:rsid w:val="00F44950"/>
    <w:rsid w:val="00F53B8D"/>
    <w:rsid w:val="00F57D85"/>
    <w:rsid w:val="00F86451"/>
    <w:rsid w:val="00F869E6"/>
    <w:rsid w:val="00FA27CD"/>
    <w:rsid w:val="00FA6118"/>
    <w:rsid w:val="00FB3EFB"/>
    <w:rsid w:val="00FE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  <w:style w:type="character" w:styleId="Odwoaniedokomentarza">
    <w:name w:val="annotation reference"/>
    <w:basedOn w:val="Domylnaczcionkaakapitu"/>
    <w:rsid w:val="00A232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232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2323F"/>
  </w:style>
  <w:style w:type="paragraph" w:styleId="Tematkomentarza">
    <w:name w:val="annotation subject"/>
    <w:basedOn w:val="Tekstkomentarza"/>
    <w:next w:val="Tekstkomentarza"/>
    <w:link w:val="TematkomentarzaZnak"/>
    <w:rsid w:val="00A23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2323F"/>
    <w:rPr>
      <w:b/>
      <w:bCs/>
    </w:rPr>
  </w:style>
  <w:style w:type="character" w:styleId="Hipercze">
    <w:name w:val="Hyperlink"/>
    <w:basedOn w:val="Domylnaczcionkaakapitu"/>
    <w:rsid w:val="00F023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85</cp:revision>
  <dcterms:created xsi:type="dcterms:W3CDTF">2020-10-30T16:18:00Z</dcterms:created>
  <dcterms:modified xsi:type="dcterms:W3CDTF">2020-12-14T15:42:00Z</dcterms:modified>
</cp:coreProperties>
</file>