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227"/>
        <w:gridCol w:w="1475"/>
        <w:gridCol w:w="3777"/>
        <w:gridCol w:w="3467"/>
        <w:gridCol w:w="3478"/>
      </w:tblGrid>
      <w:tr w:rsidR="00FA2F13" w:rsidRPr="00BB0E53" w14:paraId="26E18076" w14:textId="77777777" w:rsidTr="006B4F96">
        <w:trPr>
          <w:jc w:val="center"/>
        </w:trPr>
        <w:tc>
          <w:tcPr>
            <w:tcW w:w="0" w:type="auto"/>
            <w:gridSpan w:val="6"/>
            <w:shd w:val="clear" w:color="auto" w:fill="auto"/>
            <w:vAlign w:val="center"/>
          </w:tcPr>
          <w:p w14:paraId="355F5F8D" w14:textId="77777777" w:rsidR="00FA2F13" w:rsidRPr="00BB0E53" w:rsidRDefault="00FA2F13" w:rsidP="00BB0E53">
            <w:pPr>
              <w:ind w:left="2948" w:hanging="2948"/>
              <w:rPr>
                <w:b/>
                <w:i/>
                <w:sz w:val="22"/>
                <w:szCs w:val="22"/>
              </w:rPr>
            </w:pPr>
            <w:r w:rsidRPr="00BB0E53">
              <w:rPr>
                <w:b/>
                <w:sz w:val="22"/>
                <w:szCs w:val="22"/>
              </w:rPr>
              <w:t>Nazwa projektu dokumentu:</w:t>
            </w:r>
            <w:r w:rsidRPr="00BB0E53">
              <w:rPr>
                <w:b/>
                <w:i/>
                <w:sz w:val="22"/>
                <w:szCs w:val="22"/>
              </w:rPr>
              <w:t xml:space="preserve"> projekt ustawy o otwartych danych i ponownym wykorzystywaniu informacji sektora publicznego (UC47)</w:t>
            </w:r>
          </w:p>
        </w:tc>
      </w:tr>
      <w:tr w:rsidR="00F87B84" w:rsidRPr="00BB0E53" w14:paraId="205C5BA2" w14:textId="77777777" w:rsidTr="006B4F96">
        <w:trPr>
          <w:jc w:val="center"/>
        </w:trPr>
        <w:tc>
          <w:tcPr>
            <w:tcW w:w="0" w:type="auto"/>
            <w:gridSpan w:val="6"/>
            <w:shd w:val="clear" w:color="auto" w:fill="auto"/>
            <w:vAlign w:val="center"/>
          </w:tcPr>
          <w:p w14:paraId="3FFE785D" w14:textId="3F3E1BC0" w:rsidR="00F87B84" w:rsidRPr="00BB0E53" w:rsidRDefault="00F87B84" w:rsidP="00BB0E53">
            <w:pPr>
              <w:ind w:left="2948" w:hanging="2948"/>
              <w:rPr>
                <w:b/>
                <w:sz w:val="22"/>
                <w:szCs w:val="22"/>
              </w:rPr>
            </w:pPr>
            <w:r w:rsidRPr="00BB0E53">
              <w:rPr>
                <w:b/>
                <w:sz w:val="22"/>
                <w:szCs w:val="22"/>
              </w:rPr>
              <w:t xml:space="preserve">Odniesienie się </w:t>
            </w:r>
            <w:r w:rsidR="002926C8" w:rsidRPr="00BB0E53">
              <w:rPr>
                <w:b/>
                <w:sz w:val="22"/>
                <w:szCs w:val="22"/>
              </w:rPr>
              <w:t xml:space="preserve">Ministra Cyfryzacji </w:t>
            </w:r>
            <w:r w:rsidRPr="00BB0E53">
              <w:rPr>
                <w:b/>
                <w:sz w:val="22"/>
                <w:szCs w:val="22"/>
              </w:rPr>
              <w:t>do uwag zgłoszonych na etapie KRMC</w:t>
            </w:r>
          </w:p>
        </w:tc>
      </w:tr>
      <w:tr w:rsidR="00940D7B" w:rsidRPr="00BB0E53" w14:paraId="1A4C1243" w14:textId="77777777" w:rsidTr="001C649B">
        <w:trPr>
          <w:trHeight w:val="1621"/>
          <w:jc w:val="center"/>
        </w:trPr>
        <w:tc>
          <w:tcPr>
            <w:tcW w:w="568" w:type="dxa"/>
            <w:shd w:val="clear" w:color="auto" w:fill="auto"/>
            <w:vAlign w:val="center"/>
          </w:tcPr>
          <w:p w14:paraId="3409F959" w14:textId="77777777" w:rsidR="00FA2F13" w:rsidRPr="00BB0E53" w:rsidRDefault="00FA2F13" w:rsidP="00BB0E53">
            <w:pPr>
              <w:jc w:val="center"/>
              <w:rPr>
                <w:b/>
                <w:sz w:val="22"/>
                <w:szCs w:val="22"/>
              </w:rPr>
            </w:pPr>
            <w:r w:rsidRPr="00BB0E53">
              <w:rPr>
                <w:b/>
                <w:sz w:val="22"/>
                <w:szCs w:val="22"/>
              </w:rPr>
              <w:t>Lp.</w:t>
            </w:r>
          </w:p>
        </w:tc>
        <w:tc>
          <w:tcPr>
            <w:tcW w:w="1227" w:type="dxa"/>
            <w:shd w:val="clear" w:color="auto" w:fill="auto"/>
            <w:vAlign w:val="center"/>
          </w:tcPr>
          <w:p w14:paraId="7DAF93EF" w14:textId="77777777" w:rsidR="00FA2F13" w:rsidRPr="00BB0E53" w:rsidRDefault="00FA2F13" w:rsidP="00BB0E53">
            <w:pPr>
              <w:jc w:val="center"/>
              <w:rPr>
                <w:b/>
                <w:sz w:val="22"/>
                <w:szCs w:val="22"/>
              </w:rPr>
            </w:pPr>
            <w:r w:rsidRPr="00BB0E53">
              <w:rPr>
                <w:b/>
                <w:sz w:val="22"/>
                <w:szCs w:val="22"/>
              </w:rPr>
              <w:t>Organ wnoszący uwagi</w:t>
            </w:r>
          </w:p>
        </w:tc>
        <w:tc>
          <w:tcPr>
            <w:tcW w:w="1475" w:type="dxa"/>
            <w:shd w:val="clear" w:color="auto" w:fill="auto"/>
            <w:vAlign w:val="center"/>
          </w:tcPr>
          <w:p w14:paraId="53CB3866" w14:textId="77777777" w:rsidR="00FA2F13" w:rsidRPr="00BB0E53" w:rsidRDefault="00FA2F13" w:rsidP="00BB0E53">
            <w:pPr>
              <w:jc w:val="center"/>
              <w:rPr>
                <w:b/>
                <w:sz w:val="22"/>
                <w:szCs w:val="22"/>
              </w:rPr>
            </w:pPr>
            <w:r w:rsidRPr="00BB0E53">
              <w:rPr>
                <w:b/>
                <w:sz w:val="22"/>
                <w:szCs w:val="22"/>
              </w:rPr>
              <w:t>Jednostka redakcyjna, do której wnoszone są uwagi</w:t>
            </w:r>
          </w:p>
        </w:tc>
        <w:tc>
          <w:tcPr>
            <w:tcW w:w="3777" w:type="dxa"/>
            <w:shd w:val="clear" w:color="auto" w:fill="auto"/>
            <w:vAlign w:val="center"/>
          </w:tcPr>
          <w:p w14:paraId="363F9592" w14:textId="77777777" w:rsidR="00FA2F13" w:rsidRPr="00BB0E53" w:rsidRDefault="00FA2F13" w:rsidP="00BB0E53">
            <w:pPr>
              <w:jc w:val="center"/>
              <w:rPr>
                <w:b/>
                <w:sz w:val="22"/>
                <w:szCs w:val="22"/>
              </w:rPr>
            </w:pPr>
            <w:r w:rsidRPr="00BB0E53">
              <w:rPr>
                <w:b/>
                <w:sz w:val="22"/>
                <w:szCs w:val="22"/>
              </w:rPr>
              <w:t xml:space="preserve">Treść uwagi </w:t>
            </w:r>
          </w:p>
        </w:tc>
        <w:tc>
          <w:tcPr>
            <w:tcW w:w="3467" w:type="dxa"/>
            <w:shd w:val="clear" w:color="auto" w:fill="auto"/>
            <w:vAlign w:val="center"/>
          </w:tcPr>
          <w:p w14:paraId="4059C6D3" w14:textId="77777777" w:rsidR="00FA2F13" w:rsidRPr="00BB0E53" w:rsidRDefault="00FA2F13" w:rsidP="00BB0E53">
            <w:pPr>
              <w:jc w:val="center"/>
              <w:rPr>
                <w:b/>
                <w:sz w:val="22"/>
                <w:szCs w:val="22"/>
              </w:rPr>
            </w:pPr>
            <w:r w:rsidRPr="00BB0E53">
              <w:rPr>
                <w:b/>
                <w:sz w:val="22"/>
                <w:szCs w:val="22"/>
              </w:rPr>
              <w:t>Propozycja zmian zapisu</w:t>
            </w:r>
          </w:p>
        </w:tc>
        <w:tc>
          <w:tcPr>
            <w:tcW w:w="3478" w:type="dxa"/>
            <w:vAlign w:val="center"/>
          </w:tcPr>
          <w:p w14:paraId="4F2D5CC0" w14:textId="71E9AD80" w:rsidR="00FA2F13" w:rsidRPr="00BB0E53" w:rsidRDefault="001672D4" w:rsidP="00BB0E53">
            <w:pPr>
              <w:jc w:val="center"/>
              <w:rPr>
                <w:b/>
                <w:sz w:val="22"/>
                <w:szCs w:val="22"/>
              </w:rPr>
            </w:pPr>
            <w:r w:rsidRPr="00BB0E53">
              <w:rPr>
                <w:b/>
                <w:sz w:val="22"/>
                <w:szCs w:val="22"/>
              </w:rPr>
              <w:t>Odniesienie do uwagi</w:t>
            </w:r>
          </w:p>
        </w:tc>
      </w:tr>
      <w:tr w:rsidR="00940D7B" w:rsidRPr="00BB0E53" w14:paraId="5E75AC3D" w14:textId="77777777" w:rsidTr="001C649B">
        <w:trPr>
          <w:trHeight w:val="557"/>
          <w:jc w:val="center"/>
        </w:trPr>
        <w:tc>
          <w:tcPr>
            <w:tcW w:w="568" w:type="dxa"/>
            <w:shd w:val="clear" w:color="auto" w:fill="auto"/>
            <w:vAlign w:val="center"/>
          </w:tcPr>
          <w:p w14:paraId="73654604" w14:textId="77777777" w:rsidR="00FA2F13" w:rsidRPr="00BB0E53" w:rsidRDefault="00FA2F13" w:rsidP="00BB0E53">
            <w:pPr>
              <w:numPr>
                <w:ilvl w:val="0"/>
                <w:numId w:val="3"/>
              </w:numPr>
              <w:jc w:val="center"/>
              <w:rPr>
                <w:sz w:val="22"/>
                <w:szCs w:val="22"/>
              </w:rPr>
            </w:pPr>
          </w:p>
        </w:tc>
        <w:tc>
          <w:tcPr>
            <w:tcW w:w="1227" w:type="dxa"/>
            <w:shd w:val="clear" w:color="auto" w:fill="auto"/>
            <w:vAlign w:val="center"/>
          </w:tcPr>
          <w:p w14:paraId="0F3BF1B4" w14:textId="77777777" w:rsidR="00FA2F13" w:rsidRPr="00BB0E53" w:rsidRDefault="00FA2F13" w:rsidP="00BB0E53">
            <w:pPr>
              <w:jc w:val="center"/>
              <w:rPr>
                <w:sz w:val="22"/>
                <w:szCs w:val="22"/>
              </w:rPr>
            </w:pPr>
            <w:r w:rsidRPr="00BB0E53">
              <w:rPr>
                <w:sz w:val="22"/>
                <w:szCs w:val="22"/>
              </w:rPr>
              <w:t>RCL</w:t>
            </w:r>
          </w:p>
        </w:tc>
        <w:tc>
          <w:tcPr>
            <w:tcW w:w="1475" w:type="dxa"/>
            <w:shd w:val="clear" w:color="auto" w:fill="auto"/>
            <w:vAlign w:val="center"/>
          </w:tcPr>
          <w:p w14:paraId="09B44FC0" w14:textId="2DF8BD1B" w:rsidR="00FA2F13" w:rsidRPr="00BB0E53" w:rsidRDefault="00FA2F13" w:rsidP="00BB0E53">
            <w:pPr>
              <w:rPr>
                <w:sz w:val="22"/>
                <w:szCs w:val="22"/>
              </w:rPr>
            </w:pPr>
            <w:r w:rsidRPr="00BB0E53">
              <w:rPr>
                <w:sz w:val="22"/>
                <w:szCs w:val="22"/>
              </w:rPr>
              <w:t>art. 2 pkt 10</w:t>
            </w:r>
            <w:r w:rsidR="00166991" w:rsidRPr="00BB0E53">
              <w:rPr>
                <w:sz w:val="22"/>
                <w:szCs w:val="22"/>
              </w:rPr>
              <w:t xml:space="preserve"> w</w:t>
            </w:r>
            <w:r w:rsidRPr="00BB0E53">
              <w:rPr>
                <w:sz w:val="22"/>
                <w:szCs w:val="22"/>
              </w:rPr>
              <w:t xml:space="preserve"> zw. z art. 37 ust. 6 i art. 35 ust.  3 pkt 1</w:t>
            </w:r>
          </w:p>
        </w:tc>
        <w:tc>
          <w:tcPr>
            <w:tcW w:w="3777" w:type="dxa"/>
            <w:shd w:val="clear" w:color="auto" w:fill="auto"/>
          </w:tcPr>
          <w:p w14:paraId="6564258E" w14:textId="6D01DCD2" w:rsidR="00FA2F13" w:rsidRPr="00BB0E53" w:rsidRDefault="00FA2F13" w:rsidP="00BB0E53">
            <w:pPr>
              <w:pStyle w:val="Akapitzlist"/>
              <w:spacing w:line="240" w:lineRule="auto"/>
              <w:ind w:left="0"/>
              <w:contextualSpacing w:val="0"/>
              <w:jc w:val="both"/>
              <w:rPr>
                <w:rFonts w:ascii="Times New Roman" w:hAnsi="Times New Roman"/>
              </w:rPr>
            </w:pPr>
            <w:r w:rsidRPr="00BB0E53">
              <w:rPr>
                <w:rFonts w:ascii="Times New Roman" w:hAnsi="Times New Roman"/>
              </w:rPr>
              <w:t>Nieprawidłowa z punktu widze</w:t>
            </w:r>
            <w:bookmarkStart w:id="0" w:name="_GoBack"/>
            <w:bookmarkEnd w:id="0"/>
            <w:r w:rsidRPr="00BB0E53">
              <w:rPr>
                <w:rFonts w:ascii="Times New Roman" w:hAnsi="Times New Roman"/>
              </w:rPr>
              <w:t>nia funkcjonalnego i legislacyjnego jest definicja metadanych zawarta w art. 2 pkt 10 projektu ustawy. Definicja ta wskazuje, że metadanymi są „ustrukturyzowane informacje opisuj</w:t>
            </w:r>
            <w:r w:rsidR="00641B91" w:rsidRPr="00BB0E53">
              <w:rPr>
                <w:rFonts w:ascii="Times New Roman" w:hAnsi="Times New Roman"/>
              </w:rPr>
              <w:t>ące, tłumaczące, lokalizujące i </w:t>
            </w:r>
            <w:r w:rsidRPr="00BB0E53">
              <w:rPr>
                <w:rFonts w:ascii="Times New Roman" w:hAnsi="Times New Roman"/>
              </w:rPr>
              <w:t>ułatwiające odnalezienie, wykorzystanie lub zarządzanie inform</w:t>
            </w:r>
            <w:r w:rsidR="00641B91" w:rsidRPr="00BB0E53">
              <w:rPr>
                <w:rFonts w:ascii="Times New Roman" w:hAnsi="Times New Roman"/>
              </w:rPr>
              <w:t>acjami, na które składają się w </w:t>
            </w:r>
            <w:r w:rsidRPr="00BB0E53">
              <w:rPr>
                <w:rFonts w:ascii="Times New Roman" w:hAnsi="Times New Roman"/>
              </w:rPr>
              <w:t>szczególności elementy, o których mowa w przepisach wydanych na podstawie art. 37 ust. 6 ustawy;”. Zakres pojęcia metadanych zostaje zatem uzupełniony aktem wykonawczym przez odesłanie do tego aktu jako katalogu przykładowych metadanych. Adresat normy, aby odkodować zakres pojęcia ustawowego, będzie zobowiązany do sięgnięcia do aktu wy</w:t>
            </w:r>
            <w:r w:rsidR="00641B91" w:rsidRPr="00BB0E53">
              <w:rPr>
                <w:rFonts w:ascii="Times New Roman" w:hAnsi="Times New Roman"/>
              </w:rPr>
              <w:t>konawczego, co jest sprzeczne z</w:t>
            </w:r>
            <w:r w:rsidR="00166991" w:rsidRPr="00BB0E53">
              <w:rPr>
                <w:rFonts w:ascii="Times New Roman" w:hAnsi="Times New Roman"/>
              </w:rPr>
              <w:t xml:space="preserve"> </w:t>
            </w:r>
            <w:r w:rsidRPr="00BB0E53">
              <w:rPr>
                <w:rFonts w:ascii="Times New Roman" w:hAnsi="Times New Roman"/>
              </w:rPr>
              <w:t>celem „wykonania ustawy”, w jakim zgodnie z art. 92 ust. 1 Konstytucji RP wydawane są rozporządzenia. Co więcej, jest to akt wykonawczych, który ma określić minimalny zestaw metadanych jedynie dla portalu danych, nie dla p</w:t>
            </w:r>
            <w:r w:rsidR="00166991" w:rsidRPr="00BB0E53">
              <w:rPr>
                <w:rFonts w:ascii="Times New Roman" w:hAnsi="Times New Roman"/>
              </w:rPr>
              <w:t xml:space="preserve">ozostałych </w:t>
            </w:r>
            <w:r w:rsidR="00166991" w:rsidRPr="00BB0E53">
              <w:rPr>
                <w:rFonts w:ascii="Times New Roman" w:hAnsi="Times New Roman"/>
              </w:rPr>
              <w:lastRenderedPageBreak/>
              <w:t xml:space="preserve">form udostępniania i </w:t>
            </w:r>
            <w:r w:rsidRPr="00BB0E53">
              <w:rPr>
                <w:rFonts w:ascii="Times New Roman" w:hAnsi="Times New Roman"/>
              </w:rPr>
              <w:t>przekazywania informacji sektora publicznego do ponownego wykorzystywania (umieszczenie danych w BIP czy inne formy udostępnienia na wniosek), określony tam zakres metadanych może się okazać nieadekwatny do innych typów udostępnienia lub przekazania. O ile jest dopuszczalne określenie szczegółowego czy minimalnego katalogu metadanych dla poszczególnych form udostępniania i</w:t>
            </w:r>
            <w:r w:rsidR="00641B91" w:rsidRPr="00BB0E53">
              <w:rPr>
                <w:rFonts w:ascii="Times New Roman" w:hAnsi="Times New Roman"/>
              </w:rPr>
              <w:t>nformacji sektora publicznego w </w:t>
            </w:r>
            <w:r w:rsidRPr="00BB0E53">
              <w:rPr>
                <w:rFonts w:ascii="Times New Roman" w:hAnsi="Times New Roman"/>
              </w:rPr>
              <w:t xml:space="preserve">drodze rozporządzenia, jednakże  takie rozporządzenie nie może służyć uzupełnieniu treści pojęcia ustawowego. Zatem to z definicji metadanych, bez odwoływania się do przepisów aktu wykonawczego, powinno w sposób niebudzący wątpliwości wynikać jakie znaczenie ustawodawca nadaje temu pojęciu. Skoro </w:t>
            </w:r>
            <w:r w:rsidR="00F732D5" w:rsidRPr="00BB0E53">
              <w:rPr>
                <w:rFonts w:ascii="Times New Roman" w:hAnsi="Times New Roman"/>
              </w:rPr>
              <w:t>celem rozporządzenia, zgodnie z </w:t>
            </w:r>
            <w:r w:rsidRPr="00BB0E53">
              <w:rPr>
                <w:rFonts w:ascii="Times New Roman" w:hAnsi="Times New Roman"/>
              </w:rPr>
              <w:t>art. 92 ust. 1 Konstytucji RP jest wykonanie ustawy to treść ustawy właśnie winna determinować treść rozporządzenia, nie odwrotnie.</w:t>
            </w:r>
          </w:p>
          <w:p w14:paraId="4E01AA40" w14:textId="0A67157F" w:rsidR="00FA2F13" w:rsidRPr="00BB0E53" w:rsidRDefault="00FA2F13" w:rsidP="00BB0E53">
            <w:pPr>
              <w:pStyle w:val="Akapitzlist"/>
              <w:spacing w:line="240" w:lineRule="auto"/>
              <w:ind w:left="0"/>
              <w:contextualSpacing w:val="0"/>
              <w:jc w:val="both"/>
              <w:rPr>
                <w:rFonts w:ascii="Times New Roman" w:hAnsi="Times New Roman"/>
              </w:rPr>
            </w:pPr>
            <w:r w:rsidRPr="00BB0E53">
              <w:rPr>
                <w:rFonts w:ascii="Times New Roman" w:hAnsi="Times New Roman"/>
              </w:rPr>
              <w:t>§ 153 ust. 1 ZTP dopuszcza formułowanie definicji zakresowej, al</w:t>
            </w:r>
            <w:r w:rsidR="00641B91" w:rsidRPr="00BB0E53">
              <w:rPr>
                <w:rFonts w:ascii="Times New Roman" w:hAnsi="Times New Roman"/>
              </w:rPr>
              <w:t>e w jednym przepisie prawnym, a </w:t>
            </w:r>
            <w:r w:rsidRPr="00BB0E53">
              <w:rPr>
                <w:rFonts w:ascii="Times New Roman" w:hAnsi="Times New Roman"/>
              </w:rPr>
              <w:t>definicja ta powinna obejmować cały zakres definiowanego pojęcia. We wskazanym przypadku definicja nie jest sf</w:t>
            </w:r>
            <w:r w:rsidR="00641B91" w:rsidRPr="00BB0E53">
              <w:rPr>
                <w:rFonts w:ascii="Times New Roman" w:hAnsi="Times New Roman"/>
              </w:rPr>
              <w:t>ormułowana w sposób kompletny w </w:t>
            </w:r>
            <w:r w:rsidRPr="00BB0E53">
              <w:rPr>
                <w:rFonts w:ascii="Times New Roman" w:hAnsi="Times New Roman"/>
              </w:rPr>
              <w:t>jedn</w:t>
            </w:r>
            <w:r w:rsidR="00F732D5" w:rsidRPr="00BB0E53">
              <w:rPr>
                <w:rFonts w:ascii="Times New Roman" w:hAnsi="Times New Roman"/>
              </w:rPr>
              <w:t>ym przepisie. Chociaż zgodnie z </w:t>
            </w:r>
            <w:r w:rsidRPr="00BB0E53">
              <w:rPr>
                <w:rFonts w:ascii="Times New Roman" w:hAnsi="Times New Roman"/>
              </w:rPr>
              <w:t xml:space="preserve">§ 153 ust. 2 ZTP w tekście tej samej lub innej ustawy mogą znajdować się </w:t>
            </w:r>
            <w:r w:rsidRPr="00BB0E53">
              <w:rPr>
                <w:rFonts w:ascii="Times New Roman" w:hAnsi="Times New Roman"/>
              </w:rPr>
              <w:lastRenderedPageBreak/>
              <w:t xml:space="preserve">przepisy uzupełniające znaczenie określenia definiowanego, jednakże muszą to być regulacje na poziomie ustawowym. Wskazanie przykładowego </w:t>
            </w:r>
            <w:r w:rsidR="00641B91" w:rsidRPr="00BB0E53">
              <w:rPr>
                <w:rFonts w:ascii="Times New Roman" w:hAnsi="Times New Roman"/>
              </w:rPr>
              <w:t>zakresu definiowanego pojęcia i posłużenie się zwrotem „w </w:t>
            </w:r>
            <w:r w:rsidRPr="00BB0E53">
              <w:rPr>
                <w:rFonts w:ascii="Times New Roman" w:hAnsi="Times New Roman"/>
              </w:rPr>
              <w:t>szczególności” jest dopuszczalne, zgodnie  z § 153 ust. 3 ZTP, jedynie wówczas gdy nie jest możliwe sformu</w:t>
            </w:r>
            <w:r w:rsidR="00641B91" w:rsidRPr="00BB0E53">
              <w:rPr>
                <w:rFonts w:ascii="Times New Roman" w:hAnsi="Times New Roman"/>
              </w:rPr>
              <w:t>łowanie definicji zakresowej, w </w:t>
            </w:r>
            <w:r w:rsidRPr="00BB0E53">
              <w:rPr>
                <w:rFonts w:ascii="Times New Roman" w:hAnsi="Times New Roman"/>
              </w:rPr>
              <w:t xml:space="preserve">rozumieniu § 153 ust. 1 i 2 ZTP. </w:t>
            </w:r>
          </w:p>
          <w:p w14:paraId="30ED4825" w14:textId="3DDE969A" w:rsidR="00FA2F13" w:rsidRPr="00BB0E53" w:rsidRDefault="00FA2F13" w:rsidP="00BB0E53">
            <w:pPr>
              <w:pStyle w:val="Akapitzlist"/>
              <w:spacing w:line="240" w:lineRule="auto"/>
              <w:ind w:left="0"/>
              <w:contextualSpacing w:val="0"/>
              <w:jc w:val="both"/>
              <w:rPr>
                <w:rFonts w:ascii="Times New Roman" w:hAnsi="Times New Roman"/>
              </w:rPr>
            </w:pPr>
            <w:r w:rsidRPr="00BB0E53">
              <w:rPr>
                <w:rFonts w:ascii="Times New Roman" w:hAnsi="Times New Roman"/>
              </w:rPr>
              <w:t xml:space="preserve">W przypadku wskazanej definicji metadanych ostatecznie przykładowy zakres pojęcia ma być ustalony na poziomie aktu wykonawczego co jest sprzeczne z celem wykonania ustawy jakiemu ma służyć akt wykonawczy. Nadto przykładowy katalog metadanych odwołuje się do minimalnego zestawu elementów metadanych, które są udostępniane przez podmiot zobowiązany na portalu danych, co może nie być adekwatne do </w:t>
            </w:r>
            <w:r w:rsidR="00641B91" w:rsidRPr="00BB0E53">
              <w:rPr>
                <w:rFonts w:ascii="Times New Roman" w:hAnsi="Times New Roman"/>
              </w:rPr>
              <w:t>pozostałych form udostępnienia.</w:t>
            </w:r>
          </w:p>
        </w:tc>
        <w:tc>
          <w:tcPr>
            <w:tcW w:w="3467" w:type="dxa"/>
            <w:shd w:val="clear" w:color="auto" w:fill="auto"/>
          </w:tcPr>
          <w:p w14:paraId="19F586B0" w14:textId="77777777" w:rsidR="00FA2F13" w:rsidRPr="00BB0E53" w:rsidRDefault="00FA2F13" w:rsidP="00BB0E53">
            <w:pPr>
              <w:jc w:val="both"/>
              <w:rPr>
                <w:sz w:val="22"/>
                <w:szCs w:val="22"/>
              </w:rPr>
            </w:pPr>
            <w:r w:rsidRPr="00BB0E53">
              <w:rPr>
                <w:sz w:val="22"/>
                <w:szCs w:val="22"/>
              </w:rPr>
              <w:lastRenderedPageBreak/>
              <w:t>Usunięcie wyrażenia „na które składają się w szczególn</w:t>
            </w:r>
            <w:r w:rsidR="00720141" w:rsidRPr="00BB0E53">
              <w:rPr>
                <w:sz w:val="22"/>
                <w:szCs w:val="22"/>
              </w:rPr>
              <w:t>ości elementy, o których mowa w </w:t>
            </w:r>
            <w:r w:rsidRPr="00BB0E53">
              <w:rPr>
                <w:sz w:val="22"/>
                <w:szCs w:val="22"/>
              </w:rPr>
              <w:t>przepisach wydanych na podstawie art. 37 ust. 6 ustawy;</w:t>
            </w:r>
            <w:r w:rsidR="00720141" w:rsidRPr="00BB0E53">
              <w:rPr>
                <w:sz w:val="22"/>
                <w:szCs w:val="22"/>
              </w:rPr>
              <w:t>” i </w:t>
            </w:r>
            <w:r w:rsidRPr="00BB0E53">
              <w:rPr>
                <w:sz w:val="22"/>
                <w:szCs w:val="22"/>
              </w:rPr>
              <w:t xml:space="preserve">ewentualne doprecyzowanie definicji metadanych. </w:t>
            </w:r>
          </w:p>
        </w:tc>
        <w:tc>
          <w:tcPr>
            <w:tcW w:w="3478" w:type="dxa"/>
          </w:tcPr>
          <w:p w14:paraId="7B3CE035" w14:textId="77777777" w:rsidR="00FA2F13" w:rsidRPr="00BB0E53" w:rsidRDefault="00E45C4C" w:rsidP="00BB0E53">
            <w:pPr>
              <w:jc w:val="both"/>
              <w:rPr>
                <w:b/>
                <w:sz w:val="22"/>
                <w:szCs w:val="22"/>
              </w:rPr>
            </w:pPr>
            <w:r w:rsidRPr="00BB0E53">
              <w:rPr>
                <w:b/>
                <w:sz w:val="22"/>
                <w:szCs w:val="22"/>
              </w:rPr>
              <w:t xml:space="preserve">Uwaga uwzględniona </w:t>
            </w:r>
          </w:p>
          <w:p w14:paraId="30C940C2" w14:textId="2E3B249F" w:rsidR="00E45C4C" w:rsidRPr="00BB0E53" w:rsidRDefault="00720141" w:rsidP="00BB0E53">
            <w:pPr>
              <w:jc w:val="both"/>
              <w:rPr>
                <w:sz w:val="22"/>
                <w:szCs w:val="22"/>
              </w:rPr>
            </w:pPr>
            <w:r w:rsidRPr="00BB0E53">
              <w:rPr>
                <w:sz w:val="22"/>
                <w:szCs w:val="22"/>
              </w:rPr>
              <w:t xml:space="preserve">Przepis zostanie zmieniony poprzez usunięcie wskazanego </w:t>
            </w:r>
            <w:r w:rsidR="00F732D5" w:rsidRPr="00BB0E53">
              <w:rPr>
                <w:sz w:val="22"/>
                <w:szCs w:val="22"/>
              </w:rPr>
              <w:t>w</w:t>
            </w:r>
            <w:r w:rsidR="00166991" w:rsidRPr="00BB0E53">
              <w:rPr>
                <w:sz w:val="22"/>
                <w:szCs w:val="22"/>
              </w:rPr>
              <w:t xml:space="preserve"> </w:t>
            </w:r>
            <w:r w:rsidR="00685C1F" w:rsidRPr="00BB0E53">
              <w:rPr>
                <w:sz w:val="22"/>
                <w:szCs w:val="22"/>
              </w:rPr>
              <w:t xml:space="preserve">uwadze </w:t>
            </w:r>
            <w:r w:rsidRPr="00BB0E53">
              <w:rPr>
                <w:sz w:val="22"/>
                <w:szCs w:val="22"/>
              </w:rPr>
              <w:t xml:space="preserve">wyrażenia. </w:t>
            </w:r>
          </w:p>
          <w:p w14:paraId="69723C06" w14:textId="311B3873" w:rsidR="000776BA" w:rsidRPr="00BB0E53" w:rsidRDefault="000776BA" w:rsidP="00BB0E53">
            <w:pPr>
              <w:jc w:val="both"/>
              <w:rPr>
                <w:sz w:val="22"/>
                <w:szCs w:val="22"/>
              </w:rPr>
            </w:pPr>
          </w:p>
        </w:tc>
      </w:tr>
      <w:tr w:rsidR="00940D7B" w:rsidRPr="00BB0E53" w14:paraId="5D9AF312" w14:textId="77777777" w:rsidTr="001C649B">
        <w:trPr>
          <w:trHeight w:val="1124"/>
          <w:jc w:val="center"/>
        </w:trPr>
        <w:tc>
          <w:tcPr>
            <w:tcW w:w="568" w:type="dxa"/>
            <w:shd w:val="clear" w:color="auto" w:fill="auto"/>
            <w:vAlign w:val="center"/>
          </w:tcPr>
          <w:p w14:paraId="635D75E0" w14:textId="77777777" w:rsidR="00FA2F13" w:rsidRPr="00BB0E53" w:rsidRDefault="00FA2F13" w:rsidP="00BB0E53">
            <w:pPr>
              <w:numPr>
                <w:ilvl w:val="0"/>
                <w:numId w:val="3"/>
              </w:numPr>
              <w:jc w:val="center"/>
              <w:rPr>
                <w:sz w:val="22"/>
                <w:szCs w:val="22"/>
              </w:rPr>
            </w:pPr>
          </w:p>
        </w:tc>
        <w:tc>
          <w:tcPr>
            <w:tcW w:w="1227" w:type="dxa"/>
            <w:shd w:val="clear" w:color="auto" w:fill="auto"/>
            <w:vAlign w:val="center"/>
          </w:tcPr>
          <w:p w14:paraId="13800ACA" w14:textId="77777777" w:rsidR="00FA2F13" w:rsidRPr="00BB0E53" w:rsidRDefault="00FA2F13" w:rsidP="00BB0E53">
            <w:pPr>
              <w:jc w:val="center"/>
              <w:rPr>
                <w:sz w:val="22"/>
                <w:szCs w:val="22"/>
              </w:rPr>
            </w:pPr>
            <w:r w:rsidRPr="00BB0E53">
              <w:rPr>
                <w:sz w:val="22"/>
                <w:szCs w:val="22"/>
              </w:rPr>
              <w:t>RCL</w:t>
            </w:r>
          </w:p>
        </w:tc>
        <w:tc>
          <w:tcPr>
            <w:tcW w:w="1475" w:type="dxa"/>
            <w:shd w:val="clear" w:color="auto" w:fill="auto"/>
            <w:vAlign w:val="center"/>
          </w:tcPr>
          <w:p w14:paraId="322A96E3" w14:textId="77777777" w:rsidR="00FA2F13" w:rsidRPr="00BB0E53" w:rsidRDefault="00FA2F13" w:rsidP="00BB0E53">
            <w:pPr>
              <w:rPr>
                <w:sz w:val="22"/>
                <w:szCs w:val="22"/>
              </w:rPr>
            </w:pPr>
            <w:r w:rsidRPr="00BB0E53">
              <w:rPr>
                <w:sz w:val="22"/>
                <w:szCs w:val="22"/>
              </w:rPr>
              <w:t>Art. 10 ust. 2 w zw. z art. 22 i art. 3 i 4 projektu</w:t>
            </w:r>
          </w:p>
        </w:tc>
        <w:tc>
          <w:tcPr>
            <w:tcW w:w="3777" w:type="dxa"/>
            <w:shd w:val="clear" w:color="auto" w:fill="auto"/>
          </w:tcPr>
          <w:p w14:paraId="26EB6273" w14:textId="29AE7D94" w:rsidR="00FA2F13" w:rsidRPr="00BB0E53" w:rsidRDefault="00FA2F13" w:rsidP="00BB0E53">
            <w:pPr>
              <w:pStyle w:val="Akapitzlist"/>
              <w:spacing w:line="240" w:lineRule="auto"/>
              <w:ind w:left="0"/>
              <w:contextualSpacing w:val="0"/>
              <w:jc w:val="both"/>
              <w:rPr>
                <w:rFonts w:ascii="Times New Roman" w:hAnsi="Times New Roman"/>
              </w:rPr>
            </w:pPr>
            <w:r w:rsidRPr="00BB0E53">
              <w:rPr>
                <w:rFonts w:ascii="Times New Roman" w:hAnsi="Times New Roman"/>
              </w:rPr>
              <w:t>Analizy wymaga potrzeba zastosowania regulacji przejściowej w zak</w:t>
            </w:r>
            <w:r w:rsidR="00641B91" w:rsidRPr="00BB0E53">
              <w:rPr>
                <w:rFonts w:ascii="Times New Roman" w:hAnsi="Times New Roman"/>
              </w:rPr>
              <w:t>resie wymagań, o których mowa w </w:t>
            </w:r>
            <w:r w:rsidRPr="00BB0E53">
              <w:rPr>
                <w:rFonts w:ascii="Times New Roman" w:hAnsi="Times New Roman"/>
              </w:rPr>
              <w:t>przepisach wydanych na podstawie art. 18 ustawy o informatyzacji, wobec systemu teleinformatycznego, w którym udostępniane są informacje sektora publicznego, jeżeli system ten był wyko</w:t>
            </w:r>
            <w:r w:rsidR="00641B91" w:rsidRPr="00BB0E53">
              <w:rPr>
                <w:rFonts w:ascii="Times New Roman" w:hAnsi="Times New Roman"/>
              </w:rPr>
              <w:t>rzystywany do celów naukowych i </w:t>
            </w:r>
            <w:r w:rsidRPr="00BB0E53">
              <w:rPr>
                <w:rFonts w:ascii="Times New Roman" w:hAnsi="Times New Roman"/>
              </w:rPr>
              <w:t>dydaktycznych</w:t>
            </w:r>
            <w:r w:rsidR="00BB19F2" w:rsidRPr="00BB0E53">
              <w:rPr>
                <w:rFonts w:ascii="Times New Roman" w:hAnsi="Times New Roman"/>
              </w:rPr>
              <w:t>.</w:t>
            </w:r>
          </w:p>
          <w:p w14:paraId="2F2CA368" w14:textId="77777777" w:rsidR="00FA2F13" w:rsidRPr="00BB0E53" w:rsidRDefault="00FA2F13" w:rsidP="00BB0E53">
            <w:pPr>
              <w:pStyle w:val="Akapitzlist"/>
              <w:spacing w:line="240" w:lineRule="auto"/>
              <w:ind w:left="0"/>
              <w:contextualSpacing w:val="0"/>
              <w:jc w:val="both"/>
              <w:rPr>
                <w:rFonts w:ascii="Times New Roman" w:hAnsi="Times New Roman"/>
              </w:rPr>
            </w:pPr>
            <w:r w:rsidRPr="00BB0E53">
              <w:rPr>
                <w:rFonts w:ascii="Times New Roman" w:hAnsi="Times New Roman"/>
              </w:rPr>
              <w:t xml:space="preserve">Projekt ustawy rozszerza zakres pojęcia „informacje sektora publicznego” </w:t>
            </w:r>
            <w:r w:rsidRPr="00BB0E53">
              <w:rPr>
                <w:rFonts w:ascii="Times New Roman" w:hAnsi="Times New Roman"/>
              </w:rPr>
              <w:lastRenderedPageBreak/>
              <w:t xml:space="preserve">poprzez rozszerzenie katalogu podmiotów zobowiązanych do udostępniania tych informacji (art. 3 projektu ustawy) oraz wprowadzenie szczególnych kategorii danych udostępnianych (regulacje w rozdziale 5 projektu ustawy dotyczące danych badawczych, danych szczególnie wysokiej wartości i danych dynamicznych). </w:t>
            </w:r>
          </w:p>
          <w:p w14:paraId="5E858726" w14:textId="17548772" w:rsidR="00FA2F13" w:rsidRPr="00BB0E53" w:rsidRDefault="00FA2F13" w:rsidP="00BB0E53">
            <w:pPr>
              <w:pStyle w:val="Akapitzlist"/>
              <w:spacing w:line="240" w:lineRule="auto"/>
              <w:ind w:left="0"/>
              <w:contextualSpacing w:val="0"/>
              <w:jc w:val="both"/>
              <w:rPr>
                <w:rFonts w:ascii="Times New Roman" w:hAnsi="Times New Roman"/>
              </w:rPr>
            </w:pPr>
            <w:r w:rsidRPr="00BB0E53">
              <w:rPr>
                <w:rFonts w:ascii="Times New Roman" w:hAnsi="Times New Roman"/>
              </w:rPr>
              <w:t>Zgodnie z art. 10 ust. 2 projektu ustawy, jeżeli podmiot zobowiązany udostępnia i</w:t>
            </w:r>
            <w:r w:rsidR="00641B91" w:rsidRPr="00BB0E53">
              <w:rPr>
                <w:rFonts w:ascii="Times New Roman" w:hAnsi="Times New Roman"/>
              </w:rPr>
              <w:t>nformacje sektora publicznego z</w:t>
            </w:r>
            <w:r w:rsidR="00166991" w:rsidRPr="00BB0E53">
              <w:rPr>
                <w:rFonts w:ascii="Times New Roman" w:hAnsi="Times New Roman"/>
              </w:rPr>
              <w:t xml:space="preserve"> </w:t>
            </w:r>
            <w:r w:rsidRPr="00BB0E53">
              <w:rPr>
                <w:rFonts w:ascii="Times New Roman" w:hAnsi="Times New Roman"/>
              </w:rPr>
              <w:t xml:space="preserve">użyciem systemów </w:t>
            </w:r>
            <w:proofErr w:type="spellStart"/>
            <w:r w:rsidRPr="00BB0E53">
              <w:rPr>
                <w:rFonts w:ascii="Times New Roman" w:hAnsi="Times New Roman"/>
              </w:rPr>
              <w:t>tele</w:t>
            </w:r>
            <w:proofErr w:type="spellEnd"/>
            <w:r w:rsidR="00166991" w:rsidRPr="00BB0E53">
              <w:rPr>
                <w:rFonts w:ascii="Times New Roman" w:hAnsi="Times New Roman"/>
              </w:rPr>
              <w:t>-</w:t>
            </w:r>
            <w:r w:rsidRPr="00BB0E53">
              <w:rPr>
                <w:rFonts w:ascii="Times New Roman" w:hAnsi="Times New Roman"/>
              </w:rPr>
              <w:t>informatycznych, wówczas jest zobowiązany używać systemu teleinformatycznego, który spełnia wymagania określone w przepisach wydanyc</w:t>
            </w:r>
            <w:r w:rsidR="00641B91" w:rsidRPr="00BB0E53">
              <w:rPr>
                <w:rFonts w:ascii="Times New Roman" w:hAnsi="Times New Roman"/>
              </w:rPr>
              <w:t>h na podstawie art. 18 ustawy z </w:t>
            </w:r>
            <w:r w:rsidRPr="00BB0E53">
              <w:rPr>
                <w:rFonts w:ascii="Times New Roman" w:hAnsi="Times New Roman"/>
              </w:rPr>
              <w:t>dnia 17 lutego 2005 r. o informatyzacji działalności podmiotów realizujących zadania publiczne, zwanej dalej „ustawą o informat</w:t>
            </w:r>
            <w:r w:rsidR="009B6B76" w:rsidRPr="00BB0E53">
              <w:rPr>
                <w:rFonts w:ascii="Times New Roman" w:hAnsi="Times New Roman"/>
              </w:rPr>
              <w:t>yzacji”.  Zgodnie z art. 13 ust</w:t>
            </w:r>
            <w:r w:rsidRPr="00BB0E53">
              <w:rPr>
                <w:rFonts w:ascii="Times New Roman" w:hAnsi="Times New Roman"/>
              </w:rPr>
              <w:t>.</w:t>
            </w:r>
            <w:r w:rsidR="009B6B76" w:rsidRPr="00BB0E53">
              <w:rPr>
                <w:rFonts w:ascii="Times New Roman" w:hAnsi="Times New Roman"/>
              </w:rPr>
              <w:t xml:space="preserve"> 1 ustawy z dnia 17 lutego 2005 </w:t>
            </w:r>
            <w:r w:rsidR="00641B91" w:rsidRPr="00BB0E53">
              <w:rPr>
                <w:rFonts w:ascii="Times New Roman" w:hAnsi="Times New Roman"/>
              </w:rPr>
              <w:t>r. o </w:t>
            </w:r>
            <w:r w:rsidRPr="00BB0E53">
              <w:rPr>
                <w:rFonts w:ascii="Times New Roman" w:hAnsi="Times New Roman"/>
              </w:rPr>
              <w:t xml:space="preserve">informatyzacji systemy teleinformatyczne używane przez podmiot publicznych do realizacji zadań publicznych powinny spełniać minimalne wymagania dla systemów teleinformatycznych oraz zapewniać interoperacyjność na zasadach określonych w Krajowych Ramach Interoperacyjności, ale zgodnie z art. 13 ust. 1a o informatyzacji  wymagań tych </w:t>
            </w:r>
            <w:r w:rsidRPr="00BB0E53">
              <w:rPr>
                <w:rFonts w:ascii="Times New Roman" w:hAnsi="Times New Roman"/>
                <w:u w:val="single"/>
              </w:rPr>
              <w:t>„nie</w:t>
            </w:r>
            <w:r w:rsidRPr="00BB0E53">
              <w:rPr>
                <w:rFonts w:ascii="Times New Roman" w:hAnsi="Times New Roman"/>
              </w:rPr>
              <w:t xml:space="preserve"> stosuje się do systemów teleinformatycznych używanych do </w:t>
            </w:r>
            <w:r w:rsidRPr="00BB0E53">
              <w:rPr>
                <w:rFonts w:ascii="Times New Roman" w:hAnsi="Times New Roman"/>
              </w:rPr>
              <w:lastRenderedPageBreak/>
              <w:t>celów naukowych i dydaktycznych.”. Art. 22 wskazuje, że dane badawcze podlegają udostępnieniu, o ile badania zostały sfinansowane ze środków publicznych oraz jeżeli zostały już  udostępnione w systemie teleinformatycznym podmiotu zobowiązanego. W konsekwencji mogą istnieć takie informacje sektora publicznego, stanowiące dane badawcze, znajdujące się w posiadaniu podmiotów zobowiązanych, które wykonywały za pomocą tych systemów teleinformatycznych działalność naukową i dydaktyczną, które to systemy nie musiały dotąd spełniać wymagań określonych w przepisach wydanyc</w:t>
            </w:r>
            <w:r w:rsidR="00641B91" w:rsidRPr="00BB0E53">
              <w:rPr>
                <w:rFonts w:ascii="Times New Roman" w:hAnsi="Times New Roman"/>
              </w:rPr>
              <w:t>h na podstawie art. 18 ustawy o </w:t>
            </w:r>
            <w:r w:rsidRPr="00BB0E53">
              <w:rPr>
                <w:rFonts w:ascii="Times New Roman" w:hAnsi="Times New Roman"/>
              </w:rPr>
              <w:t>informatyzacji. Skoro zatem projekt ustawy nakłada na nowe podmioty zobowiązane, prowadzące działalność naukową i dydaktyczną, obowiązek udostępniania informacji sektora publicznego w system</w:t>
            </w:r>
            <w:r w:rsidR="00641B91" w:rsidRPr="00BB0E53">
              <w:rPr>
                <w:rFonts w:ascii="Times New Roman" w:hAnsi="Times New Roman"/>
              </w:rPr>
              <w:t>ie teleinformatycznym zgodnie z wymaganiami określonymi w </w:t>
            </w:r>
            <w:r w:rsidRPr="00BB0E53">
              <w:rPr>
                <w:rFonts w:ascii="Times New Roman" w:hAnsi="Times New Roman"/>
              </w:rPr>
              <w:t>przepisach wydanych na podstawie art</w:t>
            </w:r>
            <w:r w:rsidR="00641B91" w:rsidRPr="00BB0E53">
              <w:rPr>
                <w:rFonts w:ascii="Times New Roman" w:hAnsi="Times New Roman"/>
              </w:rPr>
              <w:t>. 18 ustawy o informatyzacji, w </w:t>
            </w:r>
            <w:r w:rsidRPr="00BB0E53">
              <w:rPr>
                <w:rFonts w:ascii="Times New Roman" w:hAnsi="Times New Roman"/>
              </w:rPr>
              <w:t>przypadku systemów nieobjętych dotychczas tymi wymaganiami może okazać istotne wprowadzenie stosownego okresu przejściowego. Kat</w:t>
            </w:r>
            <w:r w:rsidR="00641B91" w:rsidRPr="00BB0E53">
              <w:rPr>
                <w:rFonts w:ascii="Times New Roman" w:hAnsi="Times New Roman"/>
              </w:rPr>
              <w:t>alog podmiotów zobowiązanych, o </w:t>
            </w:r>
            <w:r w:rsidRPr="00BB0E53">
              <w:rPr>
                <w:rFonts w:ascii="Times New Roman" w:hAnsi="Times New Roman"/>
              </w:rPr>
              <w:t xml:space="preserve">których mowa w projekcie ustawy nie jest tożsamy z katalogiem podmiotów podlegających ustawie o informatyzacji </w:t>
            </w:r>
            <w:r w:rsidRPr="00BB0E53">
              <w:rPr>
                <w:rFonts w:ascii="Times New Roman" w:hAnsi="Times New Roman"/>
              </w:rPr>
              <w:lastRenderedPageBreak/>
              <w:t xml:space="preserve">działalności podmiotów realizujących zadania publiczne. </w:t>
            </w:r>
          </w:p>
          <w:p w14:paraId="439EA9C0" w14:textId="58F1CE92" w:rsidR="00FA2F13" w:rsidRPr="00BB0E53" w:rsidRDefault="00FA2F13" w:rsidP="00BB0E53">
            <w:pPr>
              <w:pStyle w:val="Akapitzlist"/>
              <w:spacing w:line="240" w:lineRule="auto"/>
              <w:ind w:left="0"/>
              <w:contextualSpacing w:val="0"/>
              <w:jc w:val="both"/>
              <w:rPr>
                <w:rFonts w:ascii="Times New Roman" w:hAnsi="Times New Roman"/>
              </w:rPr>
            </w:pPr>
            <w:r w:rsidRPr="00BB0E53">
              <w:rPr>
                <w:rFonts w:ascii="Times New Roman" w:hAnsi="Times New Roman"/>
              </w:rPr>
              <w:t>Ponadto należy zauważyć, że odesłanie do art</w:t>
            </w:r>
            <w:r w:rsidR="00641B91" w:rsidRPr="00BB0E53">
              <w:rPr>
                <w:rFonts w:ascii="Times New Roman" w:hAnsi="Times New Roman"/>
              </w:rPr>
              <w:t>. 7 ust. 1 ustawy – Prawo o </w:t>
            </w:r>
            <w:r w:rsidRPr="00BB0E53">
              <w:rPr>
                <w:rFonts w:ascii="Times New Roman" w:hAnsi="Times New Roman"/>
              </w:rPr>
              <w:t>szkolnictwie wyższym i nauce z art.</w:t>
            </w:r>
            <w:r w:rsidR="00641B91" w:rsidRPr="00BB0E53">
              <w:rPr>
                <w:rFonts w:ascii="Times New Roman" w:hAnsi="Times New Roman"/>
              </w:rPr>
              <w:t xml:space="preserve"> 22 projektu ustawy pozostaje w </w:t>
            </w:r>
            <w:r w:rsidRPr="00BB0E53">
              <w:rPr>
                <w:rFonts w:ascii="Times New Roman" w:hAnsi="Times New Roman"/>
              </w:rPr>
              <w:t xml:space="preserve">sprzeczności z art. 4 ust. 1 pkt 3  projektu ustawy, który wskazuje, że przepisów ustawy o ponownym wykorzystywaniu nie stosuje się do informacji będących w posiadaniu podmiotów, o których mowa w art. 7 ust. 1 ustawy – Prawo o szkolnictwie wyższym i nauce, z nielicznymi wyjątkami. </w:t>
            </w:r>
          </w:p>
          <w:p w14:paraId="38E308A3" w14:textId="77777777" w:rsidR="00FA2F13" w:rsidRPr="00BB0E53" w:rsidRDefault="00FA2F13" w:rsidP="00BB0E53">
            <w:pPr>
              <w:pStyle w:val="Akapitzlist"/>
              <w:spacing w:line="240" w:lineRule="auto"/>
              <w:ind w:left="0"/>
              <w:contextualSpacing w:val="0"/>
              <w:jc w:val="both"/>
              <w:rPr>
                <w:rFonts w:ascii="Times New Roman" w:hAnsi="Times New Roman"/>
              </w:rPr>
            </w:pPr>
          </w:p>
        </w:tc>
        <w:tc>
          <w:tcPr>
            <w:tcW w:w="3467" w:type="dxa"/>
            <w:shd w:val="clear" w:color="auto" w:fill="auto"/>
          </w:tcPr>
          <w:p w14:paraId="78CF1F8A" w14:textId="42B52A65" w:rsidR="00FA2F13" w:rsidRPr="00BB0E53" w:rsidRDefault="00FA2F13" w:rsidP="00BB0E53">
            <w:pPr>
              <w:jc w:val="both"/>
              <w:rPr>
                <w:sz w:val="22"/>
                <w:szCs w:val="22"/>
              </w:rPr>
            </w:pPr>
            <w:r w:rsidRPr="00BB0E53">
              <w:rPr>
                <w:sz w:val="22"/>
                <w:szCs w:val="22"/>
              </w:rPr>
              <w:lastRenderedPageBreak/>
              <w:t xml:space="preserve">Weryfikacja zakresu systemów objętych ustawą o informatyzacji, które nie były dotychczas objęte ustawą o ponownym wykorzystywaniu, a będą nią objęte na skutek przyjęcia nowej ustawy oraz ewentualnie wprowadzenie regulacji przejściowej, co do okresu dostosowania systemów teleinformatycznych podmiotów dotychczas niezobowiązanych do udostępniania danych </w:t>
            </w:r>
            <w:r w:rsidRPr="00BB0E53">
              <w:rPr>
                <w:sz w:val="22"/>
                <w:szCs w:val="22"/>
              </w:rPr>
              <w:lastRenderedPageBreak/>
              <w:t>umieszczonych w systemie teleinforma</w:t>
            </w:r>
            <w:r w:rsidR="00641B91" w:rsidRPr="00BB0E53">
              <w:rPr>
                <w:sz w:val="22"/>
                <w:szCs w:val="22"/>
              </w:rPr>
              <w:t>tycznym w </w:t>
            </w:r>
            <w:r w:rsidRPr="00BB0E53">
              <w:rPr>
                <w:sz w:val="22"/>
                <w:szCs w:val="22"/>
              </w:rPr>
              <w:t xml:space="preserve">trybie ustawy o ponownym wykorzystywaniu informacji sektora publicznego lub co do danych dotychczas nieobjętych tą ustawą do wymagań określonych w przepisach wydanych na podstawie art. 18 ustawy o informatyzacji. </w:t>
            </w:r>
          </w:p>
          <w:p w14:paraId="3CF9F887" w14:textId="77777777" w:rsidR="00FA2F13" w:rsidRPr="00BB0E53" w:rsidRDefault="00FA2F13" w:rsidP="00BB0E53">
            <w:pPr>
              <w:jc w:val="both"/>
              <w:rPr>
                <w:sz w:val="22"/>
                <w:szCs w:val="22"/>
              </w:rPr>
            </w:pPr>
          </w:p>
          <w:p w14:paraId="5CC03592" w14:textId="131BCBC3" w:rsidR="00FA2F13" w:rsidRPr="00BB0E53" w:rsidRDefault="00FA2F13" w:rsidP="00BB0E53">
            <w:pPr>
              <w:jc w:val="both"/>
              <w:rPr>
                <w:sz w:val="22"/>
                <w:szCs w:val="22"/>
              </w:rPr>
            </w:pPr>
            <w:r w:rsidRPr="00BB0E53">
              <w:rPr>
                <w:sz w:val="22"/>
                <w:szCs w:val="22"/>
              </w:rPr>
              <w:t>Skoro podmioty systemu szkolnictwa wyższego, o których mowa w art. 7 ust. 1 ustawy – Prawo o szkolnictwie wyższym i nauce będą zobowiązane do udostępniania do ponownego wykorzystywania danych badawczych, jeżeli dane te zostały sfinansowane ze środków publicznych i zostały udostępnione w</w:t>
            </w:r>
            <w:r w:rsidR="00641B91" w:rsidRPr="00BB0E53">
              <w:rPr>
                <w:sz w:val="22"/>
                <w:szCs w:val="22"/>
              </w:rPr>
              <w:t> </w:t>
            </w:r>
            <w:r w:rsidRPr="00BB0E53">
              <w:rPr>
                <w:sz w:val="22"/>
                <w:szCs w:val="22"/>
              </w:rPr>
              <w:t>systemie teleinformatycznym tego podmiotu, sugeruje się:</w:t>
            </w:r>
          </w:p>
          <w:p w14:paraId="54D41CC5" w14:textId="1D0EBABD" w:rsidR="00FA2F13" w:rsidRPr="00BB0E53" w:rsidRDefault="00FA2F13" w:rsidP="00BB0E53">
            <w:pPr>
              <w:jc w:val="both"/>
              <w:rPr>
                <w:sz w:val="22"/>
                <w:szCs w:val="22"/>
              </w:rPr>
            </w:pPr>
            <w:r w:rsidRPr="00BB0E53">
              <w:rPr>
                <w:sz w:val="22"/>
                <w:szCs w:val="22"/>
              </w:rPr>
              <w:t>1) doprecyzowanie definicji danych badawczych, aby odnosiła się jedynie do danych zebranych na podstawie badań finansowanych ze środków publicznych, których wyniki udostępniono w systemie teleinform</w:t>
            </w:r>
            <w:r w:rsidR="00641B91" w:rsidRPr="00BB0E53">
              <w:rPr>
                <w:sz w:val="22"/>
                <w:szCs w:val="22"/>
              </w:rPr>
              <w:t>atycznym, zgodnie z </w:t>
            </w:r>
            <w:r w:rsidRPr="00BB0E53">
              <w:rPr>
                <w:sz w:val="22"/>
                <w:szCs w:val="22"/>
              </w:rPr>
              <w:t>regulacją dyrektywy</w:t>
            </w:r>
          </w:p>
          <w:p w14:paraId="68609FA2" w14:textId="46D0E2E5" w:rsidR="00FA2F13" w:rsidRPr="00BB0E53" w:rsidRDefault="00FA2F13" w:rsidP="00BB0E53">
            <w:pPr>
              <w:jc w:val="both"/>
              <w:rPr>
                <w:sz w:val="22"/>
                <w:szCs w:val="22"/>
              </w:rPr>
            </w:pPr>
            <w:r w:rsidRPr="00BB0E53">
              <w:rPr>
                <w:sz w:val="22"/>
                <w:szCs w:val="22"/>
              </w:rPr>
              <w:t>2) wskazanie w art. 4 projektu ustawy, że wyłączenie stosowania pr</w:t>
            </w:r>
            <w:r w:rsidR="00641B91" w:rsidRPr="00BB0E53">
              <w:rPr>
                <w:sz w:val="22"/>
                <w:szCs w:val="22"/>
              </w:rPr>
              <w:t>zepisów ustawy, o którym mowa w </w:t>
            </w:r>
            <w:r w:rsidRPr="00BB0E53">
              <w:rPr>
                <w:sz w:val="22"/>
                <w:szCs w:val="22"/>
              </w:rPr>
              <w:t>ar</w:t>
            </w:r>
            <w:r w:rsidR="00641B91" w:rsidRPr="00BB0E53">
              <w:rPr>
                <w:sz w:val="22"/>
                <w:szCs w:val="22"/>
              </w:rPr>
              <w:t>t. 4 ust. 1 pkt 3 projektu, w  </w:t>
            </w:r>
            <w:r w:rsidRPr="00BB0E53">
              <w:rPr>
                <w:sz w:val="22"/>
                <w:szCs w:val="22"/>
              </w:rPr>
              <w:t xml:space="preserve">stosunku do podmiotów systemu szkolnictwa wyższego i nauki nie </w:t>
            </w:r>
            <w:r w:rsidRPr="00BB0E53">
              <w:rPr>
                <w:sz w:val="22"/>
                <w:szCs w:val="22"/>
              </w:rPr>
              <w:lastRenderedPageBreak/>
              <w:t>dotyczy znajdujących się w ich posiadaniu danych badawczych;</w:t>
            </w:r>
          </w:p>
          <w:p w14:paraId="5DD90389" w14:textId="77777777" w:rsidR="00FA2F13" w:rsidRPr="00BB0E53" w:rsidRDefault="00FA2F13" w:rsidP="00BB0E53">
            <w:pPr>
              <w:jc w:val="both"/>
              <w:rPr>
                <w:sz w:val="22"/>
                <w:szCs w:val="22"/>
              </w:rPr>
            </w:pPr>
            <w:r w:rsidRPr="00BB0E53">
              <w:rPr>
                <w:sz w:val="22"/>
                <w:szCs w:val="22"/>
              </w:rPr>
              <w:t xml:space="preserve">3) usunięcie odesłania oraz korektę przepisu art. 22 w zakresie warunków udostępniania danych badawczych. </w:t>
            </w:r>
          </w:p>
          <w:p w14:paraId="69697802" w14:textId="77777777" w:rsidR="00FA2F13" w:rsidRPr="00BB0E53" w:rsidRDefault="00FA2F13" w:rsidP="00BB0E53">
            <w:pPr>
              <w:jc w:val="both"/>
              <w:rPr>
                <w:sz w:val="22"/>
                <w:szCs w:val="22"/>
              </w:rPr>
            </w:pPr>
          </w:p>
        </w:tc>
        <w:tc>
          <w:tcPr>
            <w:tcW w:w="3478" w:type="dxa"/>
          </w:tcPr>
          <w:p w14:paraId="0E2DCB62" w14:textId="77777777" w:rsidR="00FA2F13" w:rsidRPr="00BB0E53" w:rsidRDefault="009B6B76" w:rsidP="00BB0E53">
            <w:pPr>
              <w:pStyle w:val="Akapitzlist"/>
              <w:numPr>
                <w:ilvl w:val="0"/>
                <w:numId w:val="4"/>
              </w:numPr>
              <w:spacing w:line="240" w:lineRule="auto"/>
              <w:ind w:left="317"/>
              <w:contextualSpacing w:val="0"/>
              <w:jc w:val="both"/>
              <w:rPr>
                <w:rFonts w:ascii="Times New Roman" w:hAnsi="Times New Roman"/>
                <w:b/>
              </w:rPr>
            </w:pPr>
            <w:r w:rsidRPr="00BB0E53">
              <w:rPr>
                <w:rFonts w:ascii="Times New Roman" w:hAnsi="Times New Roman"/>
                <w:b/>
              </w:rPr>
              <w:lastRenderedPageBreak/>
              <w:t>Uwaga dot. art. 10 ust. 2</w:t>
            </w:r>
          </w:p>
          <w:p w14:paraId="0DE01C3C" w14:textId="77777777" w:rsidR="004B3313" w:rsidRPr="00BB0E53" w:rsidRDefault="009B6B76" w:rsidP="00BB0E53">
            <w:pPr>
              <w:ind w:left="317"/>
              <w:jc w:val="both"/>
              <w:rPr>
                <w:b/>
                <w:sz w:val="22"/>
                <w:szCs w:val="22"/>
              </w:rPr>
            </w:pPr>
            <w:r w:rsidRPr="00BB0E53">
              <w:rPr>
                <w:b/>
                <w:sz w:val="22"/>
                <w:szCs w:val="22"/>
              </w:rPr>
              <w:t>Uwaga uwzględnion</w:t>
            </w:r>
            <w:r w:rsidR="004B3313" w:rsidRPr="00BB0E53">
              <w:rPr>
                <w:b/>
                <w:sz w:val="22"/>
                <w:szCs w:val="22"/>
              </w:rPr>
              <w:t>a</w:t>
            </w:r>
          </w:p>
          <w:p w14:paraId="7DD7D4A7" w14:textId="13287233" w:rsidR="00A16480" w:rsidRPr="00BB0E53" w:rsidRDefault="00071655" w:rsidP="00BB0E53">
            <w:pPr>
              <w:jc w:val="both"/>
              <w:rPr>
                <w:sz w:val="22"/>
                <w:szCs w:val="22"/>
              </w:rPr>
            </w:pPr>
            <w:r w:rsidRPr="00BB0E53">
              <w:rPr>
                <w:sz w:val="22"/>
                <w:szCs w:val="22"/>
              </w:rPr>
              <w:t>W art. 10 ust. 2 dodane zostanie zastrzeżenie, że przepis ten nie dotyczy systemów teleinformatycznych wskazany</w:t>
            </w:r>
            <w:r w:rsidR="004B38AF" w:rsidRPr="00BB0E53">
              <w:rPr>
                <w:sz w:val="22"/>
                <w:szCs w:val="22"/>
              </w:rPr>
              <w:t>ch</w:t>
            </w:r>
            <w:r w:rsidRPr="00BB0E53">
              <w:rPr>
                <w:sz w:val="22"/>
                <w:szCs w:val="22"/>
              </w:rPr>
              <w:t xml:space="preserve"> w art. 13 ust. 1a ustawy </w:t>
            </w:r>
            <w:r w:rsidR="004B38AF" w:rsidRPr="00BB0E53">
              <w:rPr>
                <w:sz w:val="22"/>
                <w:szCs w:val="22"/>
              </w:rPr>
              <w:t>o</w:t>
            </w:r>
            <w:r w:rsidR="00166991" w:rsidRPr="00BB0E53">
              <w:rPr>
                <w:sz w:val="22"/>
                <w:szCs w:val="22"/>
              </w:rPr>
              <w:t xml:space="preserve"> </w:t>
            </w:r>
            <w:r w:rsidRPr="00BB0E53">
              <w:rPr>
                <w:sz w:val="22"/>
                <w:szCs w:val="22"/>
              </w:rPr>
              <w:t>informatyzacji działalności podmiotów realizujących zadania publiczne</w:t>
            </w:r>
            <w:r w:rsidR="00E47FFB" w:rsidRPr="00BB0E53">
              <w:rPr>
                <w:sz w:val="22"/>
                <w:szCs w:val="22"/>
              </w:rPr>
              <w:t>.</w:t>
            </w:r>
          </w:p>
          <w:p w14:paraId="49848E65" w14:textId="59EB6AC4" w:rsidR="004B3313" w:rsidRPr="00BB0E53" w:rsidRDefault="00FB0052" w:rsidP="00BB0E53">
            <w:pPr>
              <w:pStyle w:val="Akapitzlist"/>
              <w:numPr>
                <w:ilvl w:val="0"/>
                <w:numId w:val="6"/>
              </w:numPr>
              <w:spacing w:line="240" w:lineRule="auto"/>
              <w:contextualSpacing w:val="0"/>
              <w:jc w:val="both"/>
              <w:rPr>
                <w:rFonts w:ascii="Times New Roman" w:hAnsi="Times New Roman"/>
                <w:b/>
              </w:rPr>
            </w:pPr>
            <w:r w:rsidRPr="00BB0E53">
              <w:rPr>
                <w:rFonts w:ascii="Times New Roman" w:hAnsi="Times New Roman"/>
                <w:b/>
              </w:rPr>
              <w:lastRenderedPageBreak/>
              <w:t>U</w:t>
            </w:r>
            <w:r w:rsidR="000E730C" w:rsidRPr="00BB0E53">
              <w:rPr>
                <w:rFonts w:ascii="Times New Roman" w:hAnsi="Times New Roman"/>
                <w:b/>
              </w:rPr>
              <w:t xml:space="preserve">waga dot. </w:t>
            </w:r>
            <w:r w:rsidR="007F1753" w:rsidRPr="00BB0E53">
              <w:rPr>
                <w:rFonts w:ascii="Times New Roman" w:hAnsi="Times New Roman"/>
                <w:b/>
              </w:rPr>
              <w:t>doprecyzowani</w:t>
            </w:r>
            <w:r w:rsidR="000E730C" w:rsidRPr="00BB0E53">
              <w:rPr>
                <w:rFonts w:ascii="Times New Roman" w:hAnsi="Times New Roman"/>
                <w:b/>
              </w:rPr>
              <w:t>a</w:t>
            </w:r>
            <w:r w:rsidR="007F1753" w:rsidRPr="00BB0E53">
              <w:rPr>
                <w:rFonts w:ascii="Times New Roman" w:hAnsi="Times New Roman"/>
                <w:b/>
              </w:rPr>
              <w:t xml:space="preserve"> definicji danych badawczych</w:t>
            </w:r>
            <w:r w:rsidR="009D6017" w:rsidRPr="00BB0E53">
              <w:rPr>
                <w:rFonts w:ascii="Times New Roman" w:hAnsi="Times New Roman"/>
                <w:b/>
              </w:rPr>
              <w:t xml:space="preserve"> (art. 2 pkt 2)</w:t>
            </w:r>
          </w:p>
          <w:p w14:paraId="7D578E8E" w14:textId="4B278B21" w:rsidR="000E730C" w:rsidRPr="00BB0E53" w:rsidRDefault="00C60301" w:rsidP="00BB0E53">
            <w:pPr>
              <w:pStyle w:val="Akapitzlist"/>
              <w:spacing w:line="240" w:lineRule="auto"/>
              <w:ind w:left="317"/>
              <w:contextualSpacing w:val="0"/>
              <w:jc w:val="both"/>
              <w:rPr>
                <w:rFonts w:ascii="Times New Roman" w:hAnsi="Times New Roman"/>
                <w:b/>
              </w:rPr>
            </w:pPr>
            <w:r w:rsidRPr="00BB0E53">
              <w:rPr>
                <w:rFonts w:ascii="Times New Roman" w:hAnsi="Times New Roman"/>
                <w:b/>
              </w:rPr>
              <w:t>Wyjaśnienie</w:t>
            </w:r>
          </w:p>
          <w:p w14:paraId="2304E3EF" w14:textId="193A3EEE" w:rsidR="000E730C" w:rsidRPr="00BB0E53" w:rsidRDefault="00831EDD" w:rsidP="00BB0E53">
            <w:pPr>
              <w:jc w:val="both"/>
              <w:rPr>
                <w:sz w:val="22"/>
                <w:szCs w:val="22"/>
              </w:rPr>
            </w:pPr>
            <w:r w:rsidRPr="00BB0E53">
              <w:rPr>
                <w:sz w:val="22"/>
                <w:szCs w:val="22"/>
              </w:rPr>
              <w:t>Zgodnie z regulacją</w:t>
            </w:r>
            <w:r w:rsidR="00D30685" w:rsidRPr="00BB0E53">
              <w:rPr>
                <w:sz w:val="22"/>
                <w:szCs w:val="22"/>
              </w:rPr>
              <w:t xml:space="preserve"> dyrektywy 2019/1024/UE (art. 2 pkt 9) dane badawcze oznaczają: „</w:t>
            </w:r>
            <w:r w:rsidRPr="00BB0E53">
              <w:rPr>
                <w:i/>
                <w:sz w:val="22"/>
                <w:szCs w:val="22"/>
              </w:rPr>
              <w:t>dokumenty w </w:t>
            </w:r>
            <w:r w:rsidR="00D30685" w:rsidRPr="00BB0E53">
              <w:rPr>
                <w:i/>
                <w:sz w:val="22"/>
                <w:szCs w:val="22"/>
              </w:rPr>
              <w:t xml:space="preserve">formie cyfrowej, inne niż publikacje naukowe, które są gromadzone lub produkowane w ramach działalności badawczo-naukowej i są wykorzystywane jako dowody w procesie badawczym bądź też są powszechnie akceptowane w środowisku naukowym jako konieczne do weryfikacji poprawności ustaleń i wyników badań”. </w:t>
            </w:r>
            <w:r w:rsidR="00D30685" w:rsidRPr="00BB0E53">
              <w:rPr>
                <w:sz w:val="22"/>
                <w:szCs w:val="22"/>
              </w:rPr>
              <w:t>Doprecyzowanie, że ponownemu wykorzystywaniu</w:t>
            </w:r>
            <w:r w:rsidR="0092505E" w:rsidRPr="00BB0E53">
              <w:rPr>
                <w:sz w:val="22"/>
                <w:szCs w:val="22"/>
              </w:rPr>
              <w:t xml:space="preserve"> podlega czę</w:t>
            </w:r>
            <w:r w:rsidR="000E730C" w:rsidRPr="00BB0E53">
              <w:rPr>
                <w:sz w:val="22"/>
                <w:szCs w:val="22"/>
              </w:rPr>
              <w:t xml:space="preserve">ść danych badawczych (nie wszystkie), tj. </w:t>
            </w:r>
            <w:r w:rsidR="0092505E" w:rsidRPr="00BB0E53">
              <w:rPr>
                <w:sz w:val="22"/>
                <w:szCs w:val="22"/>
              </w:rPr>
              <w:t xml:space="preserve">jedynie te </w:t>
            </w:r>
            <w:r w:rsidR="00D30685" w:rsidRPr="00BB0E53">
              <w:rPr>
                <w:sz w:val="22"/>
                <w:szCs w:val="22"/>
              </w:rPr>
              <w:t>dane badawcze</w:t>
            </w:r>
            <w:r w:rsidR="0092505E" w:rsidRPr="00BB0E53">
              <w:rPr>
                <w:sz w:val="22"/>
                <w:szCs w:val="22"/>
              </w:rPr>
              <w:t>, które są</w:t>
            </w:r>
            <w:r w:rsidR="00D30685" w:rsidRPr="00BB0E53">
              <w:rPr>
                <w:sz w:val="22"/>
                <w:szCs w:val="22"/>
              </w:rPr>
              <w:t xml:space="preserve"> finansowane ze środków publicznych, </w:t>
            </w:r>
            <w:r w:rsidR="0092505E" w:rsidRPr="00BB0E53">
              <w:rPr>
                <w:sz w:val="22"/>
                <w:szCs w:val="22"/>
              </w:rPr>
              <w:t xml:space="preserve">a </w:t>
            </w:r>
            <w:r w:rsidR="00D30685" w:rsidRPr="00BB0E53">
              <w:rPr>
                <w:sz w:val="22"/>
                <w:szCs w:val="22"/>
              </w:rPr>
              <w:t>których wyniki udostępniono w systemie teleinformatycznym, następuje w art. 1</w:t>
            </w:r>
            <w:r w:rsidR="0092505E" w:rsidRPr="00BB0E53">
              <w:rPr>
                <w:sz w:val="22"/>
                <w:szCs w:val="22"/>
              </w:rPr>
              <w:t>0 ust. 2 dyrektywy 2019/1024/UE („dane badawcze udostępnia się</w:t>
            </w:r>
            <w:r w:rsidR="004B38AF" w:rsidRPr="00BB0E53">
              <w:rPr>
                <w:sz w:val="22"/>
                <w:szCs w:val="22"/>
              </w:rPr>
              <w:t xml:space="preserve"> do ponownego wykorzystywania w </w:t>
            </w:r>
            <w:r w:rsidR="0092505E" w:rsidRPr="00BB0E53">
              <w:rPr>
                <w:sz w:val="22"/>
                <w:szCs w:val="22"/>
              </w:rPr>
              <w:t>celach komercyjnyc</w:t>
            </w:r>
            <w:r w:rsidR="00F732D5" w:rsidRPr="00BB0E53">
              <w:rPr>
                <w:sz w:val="22"/>
                <w:szCs w:val="22"/>
              </w:rPr>
              <w:t>h lub niekomercyjnych zgodnie z </w:t>
            </w:r>
            <w:r w:rsidR="0092505E" w:rsidRPr="00BB0E53">
              <w:rPr>
                <w:sz w:val="22"/>
                <w:szCs w:val="22"/>
              </w:rPr>
              <w:t>rozd</w:t>
            </w:r>
            <w:r w:rsidR="004B38AF" w:rsidRPr="00BB0E53">
              <w:rPr>
                <w:sz w:val="22"/>
                <w:szCs w:val="22"/>
              </w:rPr>
              <w:t>ziałami III i IV, w zakresie, w </w:t>
            </w:r>
            <w:r w:rsidR="0092505E" w:rsidRPr="00BB0E53">
              <w:rPr>
                <w:sz w:val="22"/>
                <w:szCs w:val="22"/>
              </w:rPr>
              <w:t xml:space="preserve">jakim dane te są finansowane ze środków publicznych i </w:t>
            </w:r>
            <w:r w:rsidR="0092505E" w:rsidRPr="00BB0E53">
              <w:rPr>
                <w:sz w:val="22"/>
                <w:szCs w:val="22"/>
                <w:u w:val="single"/>
              </w:rPr>
              <w:t>zostały już publicznie udostępnione</w:t>
            </w:r>
            <w:r w:rsidR="0092505E" w:rsidRPr="00BB0E53">
              <w:rPr>
                <w:sz w:val="22"/>
                <w:szCs w:val="22"/>
              </w:rPr>
              <w:t xml:space="preserve"> przez naukowców, organizacje prowadzące badania naukowe lub </w:t>
            </w:r>
            <w:r w:rsidR="0092505E" w:rsidRPr="00BB0E53">
              <w:rPr>
                <w:sz w:val="22"/>
                <w:szCs w:val="22"/>
              </w:rPr>
              <w:lastRenderedPageBreak/>
              <w:t xml:space="preserve">organizacje finansujące badania naukowe </w:t>
            </w:r>
            <w:r w:rsidR="0092505E" w:rsidRPr="00BB0E53">
              <w:rPr>
                <w:sz w:val="22"/>
                <w:szCs w:val="22"/>
                <w:u w:val="single"/>
              </w:rPr>
              <w:t>za pośrednictwem repozytorium instytucjonalnego lub tematycznego”</w:t>
            </w:r>
            <w:r w:rsidR="0092505E" w:rsidRPr="00BB0E53">
              <w:rPr>
                <w:sz w:val="22"/>
                <w:szCs w:val="22"/>
              </w:rPr>
              <w:t>.)</w:t>
            </w:r>
            <w:r w:rsidR="00D30685" w:rsidRPr="00BB0E53">
              <w:rPr>
                <w:sz w:val="22"/>
                <w:szCs w:val="22"/>
              </w:rPr>
              <w:t xml:space="preserve"> </w:t>
            </w:r>
            <w:r w:rsidR="000E730C" w:rsidRPr="00BB0E53">
              <w:rPr>
                <w:sz w:val="22"/>
                <w:szCs w:val="22"/>
              </w:rPr>
              <w:t>Innymi słowy danymi badawczymi w rozumieniu dyrektywy 2019/1024/UE są wszystkie dane spełniające kryterium z art. 2 pkt 9. Ponownemu wykorzystywaniu podlegają natomiast tylko niektóre dane</w:t>
            </w:r>
            <w:r w:rsidRPr="00BB0E53">
              <w:rPr>
                <w:sz w:val="22"/>
                <w:szCs w:val="22"/>
              </w:rPr>
              <w:t xml:space="preserve"> badawcze, tj. dane badawcze, o </w:t>
            </w:r>
            <w:r w:rsidR="000E730C" w:rsidRPr="00BB0E53">
              <w:rPr>
                <w:sz w:val="22"/>
                <w:szCs w:val="22"/>
              </w:rPr>
              <w:t xml:space="preserve">których mowa w art. 10 ust. 2 dyrektywy. Doprecyzowanie definicji danych </w:t>
            </w:r>
            <w:r w:rsidR="00F732D5" w:rsidRPr="00BB0E53">
              <w:rPr>
                <w:sz w:val="22"/>
                <w:szCs w:val="22"/>
              </w:rPr>
              <w:t>badawczych w </w:t>
            </w:r>
            <w:r w:rsidR="000E730C" w:rsidRPr="00BB0E53">
              <w:rPr>
                <w:sz w:val="22"/>
                <w:szCs w:val="22"/>
              </w:rPr>
              <w:t xml:space="preserve">sposób wskazany w uwadze, zdaniem </w:t>
            </w:r>
            <w:r w:rsidRPr="00BB0E53">
              <w:rPr>
                <w:sz w:val="22"/>
                <w:szCs w:val="22"/>
              </w:rPr>
              <w:t>wnioskodawcy</w:t>
            </w:r>
            <w:r w:rsidR="000E730C" w:rsidRPr="00BB0E53">
              <w:rPr>
                <w:sz w:val="22"/>
                <w:szCs w:val="22"/>
              </w:rPr>
              <w:t xml:space="preserve"> spowodowałoby, że definicja ta byłyby niespó</w:t>
            </w:r>
            <w:r w:rsidRPr="00BB0E53">
              <w:rPr>
                <w:sz w:val="22"/>
                <w:szCs w:val="22"/>
              </w:rPr>
              <w:t>jna z </w:t>
            </w:r>
            <w:r w:rsidR="000E730C" w:rsidRPr="00BB0E53">
              <w:rPr>
                <w:sz w:val="22"/>
                <w:szCs w:val="22"/>
              </w:rPr>
              <w:t>definicją ustaloną na gruncie dyrektywy</w:t>
            </w:r>
            <w:r w:rsidRPr="00BB0E53">
              <w:rPr>
                <w:sz w:val="22"/>
                <w:szCs w:val="22"/>
              </w:rPr>
              <w:t xml:space="preserve"> (byłaby to definicja węższa)</w:t>
            </w:r>
            <w:r w:rsidR="000E730C" w:rsidRPr="00BB0E53">
              <w:rPr>
                <w:sz w:val="22"/>
                <w:szCs w:val="22"/>
              </w:rPr>
              <w:t xml:space="preserve">.  </w:t>
            </w:r>
          </w:p>
          <w:p w14:paraId="0DA91587" w14:textId="6BA315AF" w:rsidR="00D30685" w:rsidRPr="00BB0E53" w:rsidRDefault="009D6017" w:rsidP="00BB0E53">
            <w:pPr>
              <w:pStyle w:val="Akapitzlist"/>
              <w:numPr>
                <w:ilvl w:val="0"/>
                <w:numId w:val="6"/>
              </w:numPr>
              <w:spacing w:line="240" w:lineRule="auto"/>
              <w:contextualSpacing w:val="0"/>
              <w:jc w:val="both"/>
              <w:rPr>
                <w:rFonts w:ascii="Times New Roman" w:hAnsi="Times New Roman"/>
                <w:b/>
              </w:rPr>
            </w:pPr>
            <w:r w:rsidRPr="00BB0E53">
              <w:rPr>
                <w:rFonts w:ascii="Times New Roman" w:hAnsi="Times New Roman"/>
                <w:b/>
              </w:rPr>
              <w:t>U</w:t>
            </w:r>
            <w:r w:rsidR="000E730C" w:rsidRPr="00BB0E53">
              <w:rPr>
                <w:rFonts w:ascii="Times New Roman" w:hAnsi="Times New Roman"/>
                <w:b/>
              </w:rPr>
              <w:t>waga dot. art. 4</w:t>
            </w:r>
          </w:p>
          <w:p w14:paraId="2AAB9D62" w14:textId="77777777" w:rsidR="000E730C" w:rsidRPr="00BB0E53" w:rsidRDefault="000E730C" w:rsidP="00BB0E53">
            <w:pPr>
              <w:pStyle w:val="Akapitzlist"/>
              <w:spacing w:line="240" w:lineRule="auto"/>
              <w:ind w:left="317"/>
              <w:contextualSpacing w:val="0"/>
              <w:jc w:val="both"/>
              <w:rPr>
                <w:rFonts w:ascii="Times New Roman" w:hAnsi="Times New Roman"/>
                <w:b/>
              </w:rPr>
            </w:pPr>
            <w:r w:rsidRPr="00BB0E53">
              <w:rPr>
                <w:rFonts w:ascii="Times New Roman" w:hAnsi="Times New Roman"/>
                <w:b/>
              </w:rPr>
              <w:t xml:space="preserve">Uwaga uwzględniona </w:t>
            </w:r>
          </w:p>
          <w:p w14:paraId="03672D35" w14:textId="0E250209" w:rsidR="00FB0052" w:rsidRPr="00BB0E53" w:rsidRDefault="00FB0052" w:rsidP="00BB0E53">
            <w:pPr>
              <w:jc w:val="both"/>
              <w:rPr>
                <w:sz w:val="22"/>
                <w:szCs w:val="22"/>
              </w:rPr>
            </w:pPr>
            <w:r w:rsidRPr="00BB0E53">
              <w:rPr>
                <w:sz w:val="22"/>
                <w:szCs w:val="22"/>
              </w:rPr>
              <w:t>Przepis zostanie zmieniony.</w:t>
            </w:r>
            <w:r w:rsidR="00F93DF5" w:rsidRPr="00BB0E53">
              <w:rPr>
                <w:sz w:val="22"/>
                <w:szCs w:val="22"/>
              </w:rPr>
              <w:t xml:space="preserve"> </w:t>
            </w:r>
            <w:r w:rsidR="004E6AFF" w:rsidRPr="00BB0E53">
              <w:rPr>
                <w:sz w:val="22"/>
                <w:szCs w:val="22"/>
              </w:rPr>
              <w:t>W art. 4 ust. 1 pkt 3 projektu ustawy d</w:t>
            </w:r>
            <w:r w:rsidR="00875A18" w:rsidRPr="00BB0E53">
              <w:rPr>
                <w:sz w:val="22"/>
                <w:szCs w:val="22"/>
              </w:rPr>
              <w:t xml:space="preserve">odany zostanie dodatkowy </w:t>
            </w:r>
            <w:r w:rsidR="00F732D5" w:rsidRPr="00BB0E53">
              <w:rPr>
                <w:sz w:val="22"/>
                <w:szCs w:val="22"/>
              </w:rPr>
              <w:t>wyjątek dot. danych badawczych</w:t>
            </w:r>
            <w:r w:rsidR="00875A18" w:rsidRPr="00BB0E53">
              <w:rPr>
                <w:sz w:val="22"/>
                <w:szCs w:val="22"/>
              </w:rPr>
              <w:t>, o których mowa w art. 22</w:t>
            </w:r>
            <w:r w:rsidR="004E6AFF" w:rsidRPr="00BB0E53">
              <w:rPr>
                <w:sz w:val="22"/>
                <w:szCs w:val="22"/>
              </w:rPr>
              <w:t xml:space="preserve"> projektu. </w:t>
            </w:r>
          </w:p>
          <w:p w14:paraId="11082A16" w14:textId="77777777" w:rsidR="00FB0052" w:rsidRPr="00BB0E53" w:rsidRDefault="00FB0052" w:rsidP="00BB0E53">
            <w:pPr>
              <w:jc w:val="both"/>
              <w:rPr>
                <w:sz w:val="22"/>
                <w:szCs w:val="22"/>
              </w:rPr>
            </w:pPr>
          </w:p>
          <w:p w14:paraId="5B9D7AF5" w14:textId="77777777" w:rsidR="007F1753" w:rsidRPr="00BB0E53" w:rsidRDefault="004E6AFF" w:rsidP="00BB0E53">
            <w:pPr>
              <w:pStyle w:val="Akapitzlist"/>
              <w:numPr>
                <w:ilvl w:val="0"/>
                <w:numId w:val="6"/>
              </w:numPr>
              <w:spacing w:line="240" w:lineRule="auto"/>
              <w:contextualSpacing w:val="0"/>
              <w:jc w:val="both"/>
              <w:rPr>
                <w:rFonts w:ascii="Times New Roman" w:hAnsi="Times New Roman"/>
                <w:b/>
              </w:rPr>
            </w:pPr>
            <w:r w:rsidRPr="00BB0E53">
              <w:rPr>
                <w:rFonts w:ascii="Times New Roman" w:hAnsi="Times New Roman"/>
                <w:b/>
              </w:rPr>
              <w:t xml:space="preserve">Uwaga dot. art. 22 </w:t>
            </w:r>
          </w:p>
          <w:p w14:paraId="07456BCA" w14:textId="77777777" w:rsidR="004E6AFF" w:rsidRPr="00BB0E53" w:rsidRDefault="004E6AFF" w:rsidP="00BB0E53">
            <w:pPr>
              <w:pStyle w:val="Akapitzlist"/>
              <w:spacing w:line="240" w:lineRule="auto"/>
              <w:ind w:left="317"/>
              <w:contextualSpacing w:val="0"/>
              <w:jc w:val="both"/>
              <w:rPr>
                <w:rFonts w:ascii="Times New Roman" w:hAnsi="Times New Roman"/>
                <w:b/>
              </w:rPr>
            </w:pPr>
            <w:r w:rsidRPr="00BB0E53">
              <w:rPr>
                <w:rFonts w:ascii="Times New Roman" w:hAnsi="Times New Roman"/>
                <w:b/>
              </w:rPr>
              <w:t>Uwaga uwzględniona</w:t>
            </w:r>
          </w:p>
          <w:p w14:paraId="47115FA8" w14:textId="394254AC" w:rsidR="004E6AFF" w:rsidRPr="00BB0E53" w:rsidRDefault="00C60301" w:rsidP="00BB0E53">
            <w:pPr>
              <w:jc w:val="both"/>
              <w:rPr>
                <w:sz w:val="22"/>
                <w:szCs w:val="22"/>
              </w:rPr>
            </w:pPr>
            <w:r w:rsidRPr="00BB0E53">
              <w:rPr>
                <w:sz w:val="22"/>
                <w:szCs w:val="22"/>
              </w:rPr>
              <w:t>Zmieniony zosta</w:t>
            </w:r>
            <w:r w:rsidR="004B38AF" w:rsidRPr="00BB0E53">
              <w:rPr>
                <w:sz w:val="22"/>
                <w:szCs w:val="22"/>
              </w:rPr>
              <w:t>nie</w:t>
            </w:r>
            <w:r w:rsidRPr="00BB0E53">
              <w:rPr>
                <w:sz w:val="22"/>
                <w:szCs w:val="22"/>
              </w:rPr>
              <w:t xml:space="preserve"> przepis art. 4 ust. 1 pkt 3 (dodanie wyjątku dot. </w:t>
            </w:r>
            <w:r w:rsidR="007B03DA" w:rsidRPr="00BB0E53">
              <w:rPr>
                <w:sz w:val="22"/>
                <w:szCs w:val="22"/>
              </w:rPr>
              <w:t>danych badawczych). W związku z </w:t>
            </w:r>
            <w:r w:rsidRPr="00BB0E53">
              <w:rPr>
                <w:sz w:val="22"/>
                <w:szCs w:val="22"/>
              </w:rPr>
              <w:t>powyższym wskazana w uwadze sprzeczność pomiędzy odesłaniem do</w:t>
            </w:r>
            <w:r w:rsidR="007B03DA" w:rsidRPr="00BB0E53">
              <w:rPr>
                <w:sz w:val="22"/>
                <w:szCs w:val="22"/>
              </w:rPr>
              <w:t xml:space="preserve"> art. 7 ust. 1 ustawy – Prawo </w:t>
            </w:r>
            <w:r w:rsidR="007B03DA" w:rsidRPr="00BB0E53">
              <w:rPr>
                <w:sz w:val="22"/>
                <w:szCs w:val="22"/>
              </w:rPr>
              <w:lastRenderedPageBreak/>
              <w:t>o </w:t>
            </w:r>
            <w:r w:rsidR="00F732D5" w:rsidRPr="00BB0E53">
              <w:rPr>
                <w:sz w:val="22"/>
                <w:szCs w:val="22"/>
              </w:rPr>
              <w:t>szkolnictwie wyższym i nauce z </w:t>
            </w:r>
            <w:r w:rsidRPr="00BB0E53">
              <w:rPr>
                <w:sz w:val="22"/>
                <w:szCs w:val="22"/>
              </w:rPr>
              <w:t>art. 22</w:t>
            </w:r>
            <w:r w:rsidR="007B03DA" w:rsidRPr="00BB0E53">
              <w:rPr>
                <w:sz w:val="22"/>
                <w:szCs w:val="22"/>
              </w:rPr>
              <w:t xml:space="preserve">, a art. 4 ust. 1 pkt 3 </w:t>
            </w:r>
            <w:r w:rsidRPr="00BB0E53">
              <w:rPr>
                <w:sz w:val="22"/>
                <w:szCs w:val="22"/>
              </w:rPr>
              <w:t xml:space="preserve"> </w:t>
            </w:r>
            <w:r w:rsidR="007B03DA" w:rsidRPr="00BB0E53">
              <w:rPr>
                <w:sz w:val="22"/>
                <w:szCs w:val="22"/>
              </w:rPr>
              <w:t>projektu ustawy już nie zachodzi</w:t>
            </w:r>
            <w:r w:rsidRPr="00BB0E53">
              <w:rPr>
                <w:sz w:val="22"/>
                <w:szCs w:val="22"/>
              </w:rPr>
              <w:t xml:space="preserve">. </w:t>
            </w:r>
          </w:p>
          <w:p w14:paraId="008F94BD" w14:textId="77777777" w:rsidR="00C60301" w:rsidRPr="00BB0E53" w:rsidRDefault="00C60301" w:rsidP="00BB0E53">
            <w:pPr>
              <w:jc w:val="both"/>
              <w:rPr>
                <w:sz w:val="22"/>
                <w:szCs w:val="22"/>
              </w:rPr>
            </w:pPr>
          </w:p>
          <w:p w14:paraId="3B853519" w14:textId="40A430D5" w:rsidR="00433092" w:rsidRPr="00BB0E53" w:rsidRDefault="00C60301" w:rsidP="00BB0E53">
            <w:pPr>
              <w:jc w:val="both"/>
              <w:rPr>
                <w:b/>
                <w:sz w:val="22"/>
                <w:szCs w:val="22"/>
              </w:rPr>
            </w:pPr>
            <w:r w:rsidRPr="00BB0E53">
              <w:rPr>
                <w:b/>
                <w:sz w:val="22"/>
                <w:szCs w:val="22"/>
              </w:rPr>
              <w:t>Podsumowanie pkt 2,3 i 4</w:t>
            </w:r>
          </w:p>
          <w:p w14:paraId="2B3CF2C8" w14:textId="5670E901" w:rsidR="002E2374" w:rsidRPr="00BB0E53" w:rsidRDefault="00433092" w:rsidP="00BB0E53">
            <w:pPr>
              <w:jc w:val="both"/>
              <w:rPr>
                <w:sz w:val="22"/>
                <w:szCs w:val="22"/>
              </w:rPr>
            </w:pPr>
            <w:r w:rsidRPr="00BB0E53">
              <w:rPr>
                <w:sz w:val="22"/>
                <w:szCs w:val="22"/>
              </w:rPr>
              <w:t xml:space="preserve">Przepisy projektowanej ustawy nie będą znajdować zastosowania do </w:t>
            </w:r>
            <w:r w:rsidR="008C66FC" w:rsidRPr="00BB0E53">
              <w:rPr>
                <w:sz w:val="22"/>
                <w:szCs w:val="22"/>
              </w:rPr>
              <w:t xml:space="preserve">informacji sektora publicznego (dalej: </w:t>
            </w:r>
            <w:r w:rsidRPr="00BB0E53">
              <w:rPr>
                <w:sz w:val="22"/>
                <w:szCs w:val="22"/>
              </w:rPr>
              <w:t>ISP</w:t>
            </w:r>
            <w:r w:rsidR="008C66FC" w:rsidRPr="00BB0E53">
              <w:rPr>
                <w:sz w:val="22"/>
                <w:szCs w:val="22"/>
              </w:rPr>
              <w:t>)</w:t>
            </w:r>
            <w:r w:rsidRPr="00BB0E53">
              <w:rPr>
                <w:sz w:val="22"/>
                <w:szCs w:val="22"/>
              </w:rPr>
              <w:t xml:space="preserve"> będą</w:t>
            </w:r>
            <w:r w:rsidR="00F732D5" w:rsidRPr="00BB0E53">
              <w:rPr>
                <w:sz w:val="22"/>
                <w:szCs w:val="22"/>
              </w:rPr>
              <w:t>cych w </w:t>
            </w:r>
            <w:r w:rsidR="007B03DA" w:rsidRPr="00BB0E53">
              <w:rPr>
                <w:sz w:val="22"/>
                <w:szCs w:val="22"/>
              </w:rPr>
              <w:t>posiadaniu  podmiotów, o </w:t>
            </w:r>
            <w:r w:rsidRPr="00BB0E53">
              <w:rPr>
                <w:sz w:val="22"/>
                <w:szCs w:val="22"/>
              </w:rPr>
              <w:t>których mowa w art. 7 ust. 1 ustawy – Prawo o szkolnictwie wyższym i nauce. Od wskazanego wyłączenia projekt przewidywać będzie 5 wyjątków, w tym wyjątek  do</w:t>
            </w:r>
            <w:r w:rsidR="00F6477E" w:rsidRPr="00BB0E53">
              <w:rPr>
                <w:sz w:val="22"/>
                <w:szCs w:val="22"/>
              </w:rPr>
              <w:t>t. d</w:t>
            </w:r>
            <w:r w:rsidRPr="00BB0E53">
              <w:rPr>
                <w:sz w:val="22"/>
                <w:szCs w:val="22"/>
              </w:rPr>
              <w:t>anych badawczych, spełniających warunki, o których mowa w art. 22 projektu</w:t>
            </w:r>
            <w:r w:rsidR="008C66FC" w:rsidRPr="00BB0E53">
              <w:rPr>
                <w:sz w:val="22"/>
                <w:szCs w:val="22"/>
              </w:rPr>
              <w:t xml:space="preserve"> ustawy</w:t>
            </w:r>
            <w:r w:rsidRPr="00BB0E53">
              <w:rPr>
                <w:sz w:val="22"/>
                <w:szCs w:val="22"/>
              </w:rPr>
              <w:t xml:space="preserve">. </w:t>
            </w:r>
          </w:p>
          <w:p w14:paraId="22D93071" w14:textId="7AE62C75" w:rsidR="004876FD" w:rsidRPr="00BB0E53" w:rsidRDefault="004876FD" w:rsidP="00BB0E53">
            <w:pPr>
              <w:jc w:val="both"/>
              <w:rPr>
                <w:sz w:val="22"/>
                <w:szCs w:val="22"/>
              </w:rPr>
            </w:pPr>
            <w:r w:rsidRPr="00BB0E53">
              <w:rPr>
                <w:sz w:val="22"/>
                <w:szCs w:val="22"/>
              </w:rPr>
              <w:t>Należy dodatkowo wyjaśnić, że wprowadzenie definicji danych badawczych w projekcie ustawy (i</w:t>
            </w:r>
            <w:r w:rsidR="008C66FC" w:rsidRPr="00BB0E53">
              <w:rPr>
                <w:sz w:val="22"/>
                <w:szCs w:val="22"/>
              </w:rPr>
              <w:t> </w:t>
            </w:r>
            <w:r w:rsidRPr="00BB0E53">
              <w:rPr>
                <w:sz w:val="22"/>
                <w:szCs w:val="22"/>
              </w:rPr>
              <w:t>dyrektywie) powiązane jest</w:t>
            </w:r>
            <w:r w:rsidR="008C66FC" w:rsidRPr="00BB0E53">
              <w:rPr>
                <w:sz w:val="22"/>
                <w:szCs w:val="22"/>
              </w:rPr>
              <w:t xml:space="preserve"> z </w:t>
            </w:r>
            <w:r w:rsidR="00E47FFB" w:rsidRPr="00BB0E53">
              <w:rPr>
                <w:sz w:val="22"/>
                <w:szCs w:val="22"/>
              </w:rPr>
              <w:t xml:space="preserve"> rozszerzeniem</w:t>
            </w:r>
            <w:r w:rsidRPr="00BB0E53">
              <w:rPr>
                <w:sz w:val="22"/>
                <w:szCs w:val="22"/>
              </w:rPr>
              <w:t xml:space="preserve"> zakresu regulacyjnego dyrektywy 2019/1024/UE (art. 1 ust. 1 lit. c). Dyrektywa 2019/1024/UE objęła swoim zakresem kategorię danych badawczych spełniających określone w dyrektywie warunki. S</w:t>
            </w:r>
            <w:r w:rsidR="008C66FC" w:rsidRPr="00BB0E53">
              <w:rPr>
                <w:sz w:val="22"/>
                <w:szCs w:val="22"/>
              </w:rPr>
              <w:t>tanowi to nowość w porównaniu z </w:t>
            </w:r>
            <w:r w:rsidRPr="00BB0E53">
              <w:rPr>
                <w:sz w:val="22"/>
                <w:szCs w:val="22"/>
              </w:rPr>
              <w:t xml:space="preserve">dotychczasowymi rozwiązaniami, które zakładały całościowe wyłączenie tego rodzaju informacji </w:t>
            </w:r>
            <w:r w:rsidR="008C66FC" w:rsidRPr="00BB0E53">
              <w:rPr>
                <w:sz w:val="22"/>
                <w:szCs w:val="22"/>
              </w:rPr>
              <w:t>z </w:t>
            </w:r>
            <w:r w:rsidRPr="00BB0E53">
              <w:rPr>
                <w:sz w:val="22"/>
                <w:szCs w:val="22"/>
              </w:rPr>
              <w:t xml:space="preserve">zakresu obowiązywania przepisów regulujących ponowne wykorzystywanie. </w:t>
            </w:r>
          </w:p>
          <w:p w14:paraId="01242869" w14:textId="77777777" w:rsidR="004876FD" w:rsidRPr="00BB0E53" w:rsidRDefault="004876FD" w:rsidP="00BB0E53">
            <w:pPr>
              <w:jc w:val="both"/>
              <w:rPr>
                <w:b/>
                <w:sz w:val="22"/>
                <w:szCs w:val="22"/>
              </w:rPr>
            </w:pPr>
            <w:r w:rsidRPr="00BB0E53">
              <w:rPr>
                <w:b/>
                <w:sz w:val="22"/>
                <w:szCs w:val="22"/>
              </w:rPr>
              <w:t>Dotychczasowe przepisy.</w:t>
            </w:r>
          </w:p>
          <w:p w14:paraId="632EF0F3" w14:textId="0AF9FEC5" w:rsidR="004876FD" w:rsidRPr="00BB0E53" w:rsidRDefault="004876FD" w:rsidP="00BB0E53">
            <w:pPr>
              <w:jc w:val="both"/>
              <w:rPr>
                <w:sz w:val="22"/>
                <w:szCs w:val="22"/>
              </w:rPr>
            </w:pPr>
            <w:r w:rsidRPr="00BB0E53">
              <w:rPr>
                <w:sz w:val="22"/>
                <w:szCs w:val="22"/>
              </w:rPr>
              <w:lastRenderedPageBreak/>
              <w:t>Obowiązująca dotychczas dyrektywa 2003/98/WE nie znajdowała zastosowania do dokumentów b</w:t>
            </w:r>
            <w:r w:rsidR="00F732D5" w:rsidRPr="00BB0E53">
              <w:rPr>
                <w:sz w:val="22"/>
                <w:szCs w:val="22"/>
              </w:rPr>
              <w:t>ędących w </w:t>
            </w:r>
            <w:r w:rsidRPr="00BB0E53">
              <w:rPr>
                <w:sz w:val="22"/>
                <w:szCs w:val="22"/>
              </w:rPr>
              <w:t>posiadaniu instytuc</w:t>
            </w:r>
            <w:r w:rsidR="00F732D5" w:rsidRPr="00BB0E53">
              <w:rPr>
                <w:sz w:val="22"/>
                <w:szCs w:val="22"/>
              </w:rPr>
              <w:t>ji edukacyjnych i badawczych, w </w:t>
            </w:r>
            <w:r w:rsidRPr="00BB0E53">
              <w:rPr>
                <w:sz w:val="22"/>
                <w:szCs w:val="22"/>
              </w:rPr>
              <w:t xml:space="preserve">tym organizacji ustanowionych w celu przekazywania wyników </w:t>
            </w:r>
            <w:r w:rsidR="00F732D5" w:rsidRPr="00BB0E53">
              <w:rPr>
                <w:sz w:val="22"/>
                <w:szCs w:val="22"/>
              </w:rPr>
              <w:t>badań, szkół i uniwersytetów, z</w:t>
            </w:r>
            <w:r w:rsidR="000B2EE6" w:rsidRPr="00BB0E53">
              <w:rPr>
                <w:sz w:val="22"/>
                <w:szCs w:val="22"/>
              </w:rPr>
              <w:t xml:space="preserve"> </w:t>
            </w:r>
            <w:r w:rsidRPr="00BB0E53">
              <w:rPr>
                <w:sz w:val="22"/>
                <w:szCs w:val="22"/>
              </w:rPr>
              <w:t xml:space="preserve">wyłączeniem bibliotek uniwersyteckich. Na gruncie prawa krajowego prowadziło to do wyłączenia stosowania przepisów </w:t>
            </w:r>
            <w:r w:rsidR="00405E7B" w:rsidRPr="00BB0E53">
              <w:rPr>
                <w:sz w:val="22"/>
                <w:szCs w:val="22"/>
              </w:rPr>
              <w:t>ustawy z dnia 25 lutego 2016 r. o ponownym wykorzystywaniu informacji sektora publicznego (Dz. U. z 2019 r. poz. 1446), zwaną dalej: „</w:t>
            </w:r>
            <w:r w:rsidR="00EB0A7B" w:rsidRPr="00BB0E53">
              <w:rPr>
                <w:sz w:val="22"/>
                <w:szCs w:val="22"/>
              </w:rPr>
              <w:t>ustawą</w:t>
            </w:r>
            <w:r w:rsidR="00405E7B" w:rsidRPr="00BB0E53">
              <w:rPr>
                <w:sz w:val="22"/>
                <w:szCs w:val="22"/>
              </w:rPr>
              <w:t xml:space="preserve"> z 2016 r.” </w:t>
            </w:r>
            <w:r w:rsidRPr="00BB0E53">
              <w:rPr>
                <w:sz w:val="22"/>
                <w:szCs w:val="22"/>
              </w:rPr>
              <w:t>w stosunku do podmiotów, o których mo</w:t>
            </w:r>
            <w:r w:rsidR="008C66FC" w:rsidRPr="00BB0E53">
              <w:rPr>
                <w:sz w:val="22"/>
                <w:szCs w:val="22"/>
              </w:rPr>
              <w:t>wa w art. 7 ust. 1</w:t>
            </w:r>
            <w:r w:rsidR="00405E7B" w:rsidRPr="00BB0E53">
              <w:rPr>
                <w:sz w:val="22"/>
                <w:szCs w:val="22"/>
              </w:rPr>
              <w:t xml:space="preserve"> </w:t>
            </w:r>
            <w:r w:rsidR="008C66FC" w:rsidRPr="00BB0E53">
              <w:rPr>
                <w:sz w:val="22"/>
                <w:szCs w:val="22"/>
              </w:rPr>
              <w:t xml:space="preserve">- </w:t>
            </w:r>
            <w:r w:rsidR="00F732D5" w:rsidRPr="00BB0E53">
              <w:rPr>
                <w:sz w:val="22"/>
                <w:szCs w:val="22"/>
              </w:rPr>
              <w:t>Prawo o </w:t>
            </w:r>
            <w:r w:rsidRPr="00BB0E53">
              <w:rPr>
                <w:sz w:val="22"/>
                <w:szCs w:val="22"/>
              </w:rPr>
              <w:t>szkolnictwie wyższym i nauce (poza nielicznymi wyjątkami).</w:t>
            </w:r>
          </w:p>
          <w:p w14:paraId="1ADE8BF3" w14:textId="77777777" w:rsidR="004876FD" w:rsidRPr="00BB0E53" w:rsidRDefault="004876FD" w:rsidP="00BB0E53">
            <w:pPr>
              <w:jc w:val="both"/>
              <w:rPr>
                <w:sz w:val="22"/>
                <w:szCs w:val="22"/>
              </w:rPr>
            </w:pPr>
          </w:p>
          <w:p w14:paraId="66AB96E8" w14:textId="00C72F1C" w:rsidR="004876FD" w:rsidRPr="00BB0E53" w:rsidRDefault="004876FD" w:rsidP="00BB0E53">
            <w:pPr>
              <w:jc w:val="both"/>
              <w:rPr>
                <w:b/>
                <w:sz w:val="22"/>
                <w:szCs w:val="22"/>
              </w:rPr>
            </w:pPr>
            <w:r w:rsidRPr="00BB0E53">
              <w:rPr>
                <w:b/>
                <w:sz w:val="22"/>
                <w:szCs w:val="22"/>
              </w:rPr>
              <w:t>Dyrektywa 2019/1024/UE.</w:t>
            </w:r>
          </w:p>
          <w:p w14:paraId="5FC933DF" w14:textId="5A8B1ED3" w:rsidR="004876FD" w:rsidRPr="00BB0E53" w:rsidRDefault="004876FD" w:rsidP="00BB0E53">
            <w:pPr>
              <w:jc w:val="both"/>
              <w:rPr>
                <w:sz w:val="22"/>
                <w:szCs w:val="22"/>
              </w:rPr>
            </w:pPr>
            <w:r w:rsidRPr="00BB0E53">
              <w:rPr>
                <w:sz w:val="22"/>
                <w:szCs w:val="22"/>
              </w:rPr>
              <w:t>D</w:t>
            </w:r>
            <w:r w:rsidR="008C66FC" w:rsidRPr="00BB0E53">
              <w:rPr>
                <w:sz w:val="22"/>
                <w:szCs w:val="22"/>
              </w:rPr>
              <w:t>yrektywa 2019/1024/UE zgodnie z </w:t>
            </w:r>
            <w:r w:rsidRPr="00BB0E53">
              <w:rPr>
                <w:sz w:val="22"/>
                <w:szCs w:val="22"/>
              </w:rPr>
              <w:t>art. 1 ust. 1 lit. c objęła zakresem swoich regulacji pewną kategorię danych badawczych. Są to dane badawcze spełniające warunki określone w art. 10 ust. 2 dyrektywy (finansowane ze środków publicznych i już udostępnione).</w:t>
            </w:r>
          </w:p>
          <w:p w14:paraId="44D7D9F0" w14:textId="7A6AFF73" w:rsidR="004876FD" w:rsidRPr="00BB0E53" w:rsidRDefault="004876FD" w:rsidP="00BB0E53">
            <w:pPr>
              <w:jc w:val="both"/>
              <w:rPr>
                <w:sz w:val="22"/>
                <w:szCs w:val="22"/>
              </w:rPr>
            </w:pPr>
            <w:r w:rsidRPr="00BB0E53">
              <w:rPr>
                <w:sz w:val="22"/>
                <w:szCs w:val="22"/>
              </w:rPr>
              <w:t>Nowa dyrektywa nadal nie znajduje jednak zastosowania do dokumentów i</w:t>
            </w:r>
            <w:r w:rsidR="00F732D5" w:rsidRPr="00BB0E53">
              <w:rPr>
                <w:sz w:val="22"/>
                <w:szCs w:val="22"/>
              </w:rPr>
              <w:t>nnych niż te, o </w:t>
            </w:r>
            <w:r w:rsidRPr="00BB0E53">
              <w:rPr>
                <w:sz w:val="22"/>
                <w:szCs w:val="22"/>
              </w:rPr>
              <w:t>których mowa powyżej</w:t>
            </w:r>
            <w:r w:rsidRPr="00BB0E53">
              <w:rPr>
                <w:b/>
                <w:sz w:val="22"/>
                <w:szCs w:val="22"/>
              </w:rPr>
              <w:t xml:space="preserve"> </w:t>
            </w:r>
            <w:r w:rsidR="00F732D5" w:rsidRPr="00BB0E53">
              <w:rPr>
                <w:sz w:val="22"/>
                <w:szCs w:val="22"/>
              </w:rPr>
              <w:t>(o </w:t>
            </w:r>
            <w:r w:rsidRPr="00BB0E53">
              <w:rPr>
                <w:sz w:val="22"/>
                <w:szCs w:val="22"/>
              </w:rPr>
              <w:t>których mowa w ust. 1 lit. c),</w:t>
            </w:r>
            <w:r w:rsidRPr="00BB0E53">
              <w:rPr>
                <w:b/>
                <w:sz w:val="22"/>
                <w:szCs w:val="22"/>
              </w:rPr>
              <w:t xml:space="preserve"> </w:t>
            </w:r>
            <w:r w:rsidRPr="00BB0E53">
              <w:rPr>
                <w:sz w:val="22"/>
                <w:szCs w:val="22"/>
              </w:rPr>
              <w:t xml:space="preserve">będących w posiadaniu </w:t>
            </w:r>
            <w:r w:rsidRPr="00BB0E53">
              <w:rPr>
                <w:sz w:val="22"/>
                <w:szCs w:val="22"/>
              </w:rPr>
              <w:lastRenderedPageBreak/>
              <w:t>organizacji</w:t>
            </w:r>
            <w:r w:rsidR="008C66FC" w:rsidRPr="00BB0E53">
              <w:rPr>
                <w:sz w:val="22"/>
                <w:szCs w:val="22"/>
              </w:rPr>
              <w:t xml:space="preserve"> prowadzących badania naukowe i </w:t>
            </w:r>
            <w:r w:rsidRPr="00BB0E53">
              <w:rPr>
                <w:sz w:val="22"/>
                <w:szCs w:val="22"/>
              </w:rPr>
              <w:t>organizacji finansujących badania naukowe</w:t>
            </w:r>
            <w:r w:rsidRPr="00BB0E53">
              <w:rPr>
                <w:b/>
                <w:sz w:val="22"/>
                <w:szCs w:val="22"/>
              </w:rPr>
              <w:t xml:space="preserve"> </w:t>
            </w:r>
            <w:r w:rsidRPr="00BB0E53">
              <w:rPr>
                <w:sz w:val="22"/>
                <w:szCs w:val="22"/>
              </w:rPr>
              <w:t xml:space="preserve">(art. 1 ust. 2 lit. l dyrektywy 2019/1024). </w:t>
            </w:r>
            <w:r w:rsidRPr="00BB0E53">
              <w:rPr>
                <w:b/>
                <w:sz w:val="22"/>
                <w:szCs w:val="22"/>
              </w:rPr>
              <w:t>Zatem poszerzenie zakresu regulacyjnego dyrektywy 2019/1024 dotyczy tylko wybranej kategorii danych badawczych.</w:t>
            </w:r>
            <w:r w:rsidRPr="00BB0E53">
              <w:rPr>
                <w:sz w:val="22"/>
                <w:szCs w:val="22"/>
              </w:rPr>
              <w:t xml:space="preserve"> </w:t>
            </w:r>
          </w:p>
          <w:p w14:paraId="27D0A38E" w14:textId="77777777" w:rsidR="004876FD" w:rsidRPr="00BB0E53" w:rsidRDefault="004876FD" w:rsidP="00BB0E53">
            <w:pPr>
              <w:jc w:val="both"/>
              <w:rPr>
                <w:sz w:val="22"/>
                <w:szCs w:val="22"/>
              </w:rPr>
            </w:pPr>
          </w:p>
          <w:p w14:paraId="0A1F507C" w14:textId="77777777" w:rsidR="004876FD" w:rsidRPr="00BB0E53" w:rsidRDefault="004876FD" w:rsidP="00BB0E53">
            <w:pPr>
              <w:jc w:val="both"/>
              <w:rPr>
                <w:b/>
                <w:sz w:val="22"/>
                <w:szCs w:val="22"/>
              </w:rPr>
            </w:pPr>
            <w:r w:rsidRPr="00BB0E53">
              <w:rPr>
                <w:b/>
                <w:sz w:val="22"/>
                <w:szCs w:val="22"/>
              </w:rPr>
              <w:t>Projekt ustawy</w:t>
            </w:r>
          </w:p>
          <w:p w14:paraId="6E5F6CFA" w14:textId="6824F6BE" w:rsidR="004876FD" w:rsidRPr="00BB0E53" w:rsidRDefault="004876FD" w:rsidP="00BB0E53">
            <w:pPr>
              <w:jc w:val="both"/>
              <w:rPr>
                <w:sz w:val="22"/>
                <w:szCs w:val="22"/>
              </w:rPr>
            </w:pPr>
            <w:r w:rsidRPr="00BB0E53">
              <w:rPr>
                <w:sz w:val="22"/>
                <w:szCs w:val="22"/>
              </w:rPr>
              <w:t>Mając na uwadze powyższe w art. 4 ust. 1 pkt 3 projektu ustawy, stosownie do dotychczasowych rozwiązań, wyłączono z zakresu r</w:t>
            </w:r>
            <w:r w:rsidR="008C66FC" w:rsidRPr="00BB0E53">
              <w:rPr>
                <w:sz w:val="22"/>
                <w:szCs w:val="22"/>
              </w:rPr>
              <w:t>egulacyjnego ustawy podmioty, o </w:t>
            </w:r>
            <w:r w:rsidRPr="00BB0E53">
              <w:rPr>
                <w:sz w:val="22"/>
                <w:szCs w:val="22"/>
              </w:rPr>
              <w:t>których mowa w art. 7 ust. 1 ustawy</w:t>
            </w:r>
            <w:r w:rsidR="008C66FC" w:rsidRPr="00BB0E53">
              <w:rPr>
                <w:sz w:val="22"/>
                <w:szCs w:val="22"/>
              </w:rPr>
              <w:t xml:space="preserve"> -</w:t>
            </w:r>
            <w:r w:rsidRPr="00BB0E53">
              <w:rPr>
                <w:sz w:val="22"/>
                <w:szCs w:val="22"/>
              </w:rPr>
              <w:t xml:space="preserve">   Prawo o szkolnict</w:t>
            </w:r>
            <w:r w:rsidR="008C66FC" w:rsidRPr="00BB0E53">
              <w:rPr>
                <w:sz w:val="22"/>
                <w:szCs w:val="22"/>
              </w:rPr>
              <w:t>wie wyższym i </w:t>
            </w:r>
            <w:r w:rsidRPr="00BB0E53">
              <w:rPr>
                <w:sz w:val="22"/>
                <w:szCs w:val="22"/>
              </w:rPr>
              <w:t xml:space="preserve">nauce. Jednocześnie do istniejących już wyjątków od wskazanego wyłączenia (biblioteki, IMGW, PIG) dodano nowy (art. 4 ust. 1 pkt 3 lit. a) zgodnie z którym przepisy ustawy będą znajdować zastosowanie do danych badawczych spełniających warunki, o których w art. 22 projektu ustawy. Wskazany przepis w zakresie swojej regulacji implementuje art. 10 </w:t>
            </w:r>
            <w:r w:rsidR="0006252C" w:rsidRPr="00BB0E53">
              <w:rPr>
                <w:sz w:val="22"/>
                <w:szCs w:val="22"/>
              </w:rPr>
              <w:t xml:space="preserve">ust. 2 </w:t>
            </w:r>
            <w:r w:rsidR="008C66FC" w:rsidRPr="00BB0E53">
              <w:rPr>
                <w:sz w:val="22"/>
                <w:szCs w:val="22"/>
              </w:rPr>
              <w:t>dyrektywy 2019/1024/UE i </w:t>
            </w:r>
            <w:r w:rsidRPr="00BB0E53">
              <w:rPr>
                <w:sz w:val="22"/>
                <w:szCs w:val="22"/>
              </w:rPr>
              <w:t>wskazuje przesłanki umożliwiające ponowne wykorzystywanie danych badawczych.</w:t>
            </w:r>
          </w:p>
          <w:p w14:paraId="5DE49B0B" w14:textId="77777777" w:rsidR="004876FD" w:rsidRPr="00BB0E53" w:rsidRDefault="004876FD" w:rsidP="00BB0E53">
            <w:pPr>
              <w:jc w:val="both"/>
              <w:rPr>
                <w:sz w:val="22"/>
                <w:szCs w:val="22"/>
              </w:rPr>
            </w:pPr>
          </w:p>
          <w:p w14:paraId="14C17B11" w14:textId="68F2453F" w:rsidR="002E3D92" w:rsidRPr="00BB0E53" w:rsidRDefault="004876FD" w:rsidP="00BB0E53">
            <w:pPr>
              <w:jc w:val="both"/>
              <w:rPr>
                <w:sz w:val="22"/>
                <w:szCs w:val="22"/>
              </w:rPr>
            </w:pPr>
            <w:r w:rsidRPr="00BB0E53">
              <w:rPr>
                <w:sz w:val="22"/>
                <w:szCs w:val="22"/>
              </w:rPr>
              <w:t>Dane badawcze spełniające warunki, o których mowa w art. 22 należy zatem uznać za</w:t>
            </w:r>
            <w:r w:rsidR="008C66FC" w:rsidRPr="00BB0E53">
              <w:rPr>
                <w:sz w:val="22"/>
                <w:szCs w:val="22"/>
              </w:rPr>
              <w:t xml:space="preserve"> kolejny (obok już </w:t>
            </w:r>
            <w:r w:rsidR="008C66FC" w:rsidRPr="00BB0E53">
              <w:rPr>
                <w:sz w:val="22"/>
                <w:szCs w:val="22"/>
              </w:rPr>
              <w:lastRenderedPageBreak/>
              <w:t>istniejących) wyjątek</w:t>
            </w:r>
            <w:r w:rsidRPr="00BB0E53">
              <w:rPr>
                <w:sz w:val="22"/>
                <w:szCs w:val="22"/>
              </w:rPr>
              <w:t xml:space="preserve"> od generalnego wyłączenia z regulacji ustawy ISP będących w posiadaniu podmiotów sektora nauki. W tym rozumieniu dane badawcze należy</w:t>
            </w:r>
            <w:r w:rsidR="0006252C" w:rsidRPr="00BB0E53">
              <w:rPr>
                <w:sz w:val="22"/>
                <w:szCs w:val="22"/>
              </w:rPr>
              <w:t xml:space="preserve"> uznać za szczególny rodzaj ISP. </w:t>
            </w:r>
            <w:r w:rsidRPr="00BB0E53">
              <w:rPr>
                <w:sz w:val="22"/>
                <w:szCs w:val="22"/>
              </w:rPr>
              <w:t>Dane te (po spe</w:t>
            </w:r>
            <w:r w:rsidR="002E3D92" w:rsidRPr="00BB0E53">
              <w:rPr>
                <w:sz w:val="22"/>
                <w:szCs w:val="22"/>
              </w:rPr>
              <w:t>łnieniu przesłanek wskazanych w </w:t>
            </w:r>
            <w:r w:rsidRPr="00BB0E53">
              <w:rPr>
                <w:sz w:val="22"/>
                <w:szCs w:val="22"/>
              </w:rPr>
              <w:t>art. 22 projektu) będą podlegać ponownemu wykorzystywaniu</w:t>
            </w:r>
            <w:r w:rsidR="008C66FC" w:rsidRPr="00BB0E53">
              <w:rPr>
                <w:sz w:val="22"/>
                <w:szCs w:val="22"/>
              </w:rPr>
              <w:t>. Pozostałe informacje będące w </w:t>
            </w:r>
            <w:r w:rsidRPr="00BB0E53">
              <w:rPr>
                <w:sz w:val="22"/>
                <w:szCs w:val="22"/>
              </w:rPr>
              <w:t xml:space="preserve">posiadaniu podmiotów sektora nauki, tj. ISP inne niż dane badawcze oraz dane badawcze niespełniające przesłanek określonych w art. 22 projektu, nie będą podlegały ponownemu wykorzystywaniu.  </w:t>
            </w:r>
            <w:r w:rsidR="008C66FC" w:rsidRPr="00BB0E53">
              <w:rPr>
                <w:sz w:val="22"/>
                <w:szCs w:val="22"/>
              </w:rPr>
              <w:t xml:space="preserve">Jednocześnie w art. 22 projektu ustawy </w:t>
            </w:r>
            <w:r w:rsidR="006B4F96" w:rsidRPr="00BB0E53">
              <w:rPr>
                <w:sz w:val="22"/>
                <w:szCs w:val="22"/>
              </w:rPr>
              <w:t>wskazano, że dotyczy on danych badawczych będących</w:t>
            </w:r>
            <w:r w:rsidR="002E3D92" w:rsidRPr="00BB0E53">
              <w:rPr>
                <w:sz w:val="22"/>
                <w:szCs w:val="22"/>
              </w:rPr>
              <w:t xml:space="preserve"> w </w:t>
            </w:r>
            <w:r w:rsidR="006B4F96" w:rsidRPr="00BB0E53">
              <w:rPr>
                <w:sz w:val="22"/>
                <w:szCs w:val="22"/>
              </w:rPr>
              <w:t>posiadaniu podmiotów, o</w:t>
            </w:r>
            <w:r w:rsidR="00F732D5" w:rsidRPr="00BB0E53">
              <w:rPr>
                <w:sz w:val="22"/>
                <w:szCs w:val="22"/>
              </w:rPr>
              <w:t> </w:t>
            </w:r>
            <w:r w:rsidR="006B4F96" w:rsidRPr="00BB0E53">
              <w:rPr>
                <w:sz w:val="22"/>
                <w:szCs w:val="22"/>
              </w:rPr>
              <w:t>których mowa w art. 7 ust. 1 ustawy z dnia 20 lipca 2018 r. – Prawo o szkolnictwie wyższym i nauce. Taka redakcja wskazanego przepisu zapobiec ma wątpliwościom interpretacyjnym (podnoszonych w toku uzgodnień, opiniowania i konsultacji publicznych) co do identyfikowania przez różne podmioty zobowiązane (inne niż podmioty sektora nauki) we własnych zasobowych ISP spełniając</w:t>
            </w:r>
            <w:r w:rsidR="002E3D92" w:rsidRPr="00BB0E53">
              <w:rPr>
                <w:sz w:val="22"/>
                <w:szCs w:val="22"/>
              </w:rPr>
              <w:t>ych</w:t>
            </w:r>
            <w:r w:rsidR="006B4F96" w:rsidRPr="00BB0E53">
              <w:rPr>
                <w:sz w:val="22"/>
                <w:szCs w:val="22"/>
              </w:rPr>
              <w:t xml:space="preserve"> </w:t>
            </w:r>
            <w:r w:rsidR="002E3D92" w:rsidRPr="00BB0E53">
              <w:rPr>
                <w:sz w:val="22"/>
                <w:szCs w:val="22"/>
              </w:rPr>
              <w:t xml:space="preserve">kryteria </w:t>
            </w:r>
            <w:r w:rsidR="006B4F96" w:rsidRPr="00BB0E53">
              <w:rPr>
                <w:sz w:val="22"/>
                <w:szCs w:val="22"/>
              </w:rPr>
              <w:t>definicj</w:t>
            </w:r>
            <w:r w:rsidR="002E3D92" w:rsidRPr="00BB0E53">
              <w:rPr>
                <w:sz w:val="22"/>
                <w:szCs w:val="22"/>
              </w:rPr>
              <w:t>i</w:t>
            </w:r>
            <w:r w:rsidR="006B4F96" w:rsidRPr="00BB0E53">
              <w:rPr>
                <w:sz w:val="22"/>
                <w:szCs w:val="22"/>
              </w:rPr>
              <w:t xml:space="preserve"> danych</w:t>
            </w:r>
            <w:r w:rsidR="002E3D92" w:rsidRPr="00BB0E53">
              <w:rPr>
                <w:sz w:val="22"/>
                <w:szCs w:val="22"/>
              </w:rPr>
              <w:t xml:space="preserve"> badawczych. ISP będące w posiadaniu</w:t>
            </w:r>
            <w:r w:rsidR="006B4F96" w:rsidRPr="00BB0E53">
              <w:rPr>
                <w:sz w:val="22"/>
                <w:szCs w:val="22"/>
              </w:rPr>
              <w:t xml:space="preserve"> podmiot</w:t>
            </w:r>
            <w:r w:rsidR="002E3D92" w:rsidRPr="00BB0E53">
              <w:rPr>
                <w:sz w:val="22"/>
                <w:szCs w:val="22"/>
              </w:rPr>
              <w:t>ów</w:t>
            </w:r>
            <w:r w:rsidR="006B4F96" w:rsidRPr="00BB0E53">
              <w:rPr>
                <w:sz w:val="22"/>
                <w:szCs w:val="22"/>
              </w:rPr>
              <w:t xml:space="preserve"> zobowiąza</w:t>
            </w:r>
            <w:r w:rsidR="002E3D92" w:rsidRPr="00BB0E53">
              <w:rPr>
                <w:sz w:val="22"/>
                <w:szCs w:val="22"/>
              </w:rPr>
              <w:t>nych,</w:t>
            </w:r>
            <w:r w:rsidR="006B4F96" w:rsidRPr="00BB0E53">
              <w:rPr>
                <w:sz w:val="22"/>
                <w:szCs w:val="22"/>
              </w:rPr>
              <w:t xml:space="preserve"> inn</w:t>
            </w:r>
            <w:r w:rsidR="002E3D92" w:rsidRPr="00BB0E53">
              <w:rPr>
                <w:sz w:val="22"/>
                <w:szCs w:val="22"/>
              </w:rPr>
              <w:t>ych</w:t>
            </w:r>
            <w:r w:rsidR="006B4F96" w:rsidRPr="00BB0E53">
              <w:rPr>
                <w:sz w:val="22"/>
                <w:szCs w:val="22"/>
              </w:rPr>
              <w:t xml:space="preserve"> niż podmioty sektora nauki</w:t>
            </w:r>
            <w:r w:rsidR="002E3D92" w:rsidRPr="00BB0E53">
              <w:rPr>
                <w:sz w:val="22"/>
                <w:szCs w:val="22"/>
              </w:rPr>
              <w:t>,</w:t>
            </w:r>
            <w:r w:rsidR="006B4F96" w:rsidRPr="00BB0E53">
              <w:rPr>
                <w:sz w:val="22"/>
                <w:szCs w:val="22"/>
              </w:rPr>
              <w:t xml:space="preserve"> </w:t>
            </w:r>
            <w:r w:rsidR="002E3D92" w:rsidRPr="00BB0E53">
              <w:rPr>
                <w:sz w:val="22"/>
                <w:szCs w:val="22"/>
              </w:rPr>
              <w:t xml:space="preserve">podlegają ponownemu </w:t>
            </w:r>
            <w:r w:rsidR="002E3D92" w:rsidRPr="00BB0E53">
              <w:rPr>
                <w:sz w:val="22"/>
                <w:szCs w:val="22"/>
              </w:rPr>
              <w:lastRenderedPageBreak/>
              <w:t xml:space="preserve">wykorzystywaniu na zasadach ogólnych. Natomiast </w:t>
            </w:r>
            <w:r w:rsidR="00F732D5" w:rsidRPr="00BB0E53">
              <w:rPr>
                <w:sz w:val="22"/>
                <w:szCs w:val="22"/>
              </w:rPr>
              <w:t>dane badawcze, o których mowa w </w:t>
            </w:r>
            <w:r w:rsidR="002E3D92" w:rsidRPr="00BB0E53">
              <w:rPr>
                <w:sz w:val="22"/>
                <w:szCs w:val="22"/>
              </w:rPr>
              <w:t xml:space="preserve">art. 22 projektu podlegają ponownemu wykorzystywaniu w sposób ograniczony. </w:t>
            </w:r>
            <w:r w:rsidR="005652F4" w:rsidRPr="00BB0E53">
              <w:rPr>
                <w:sz w:val="22"/>
                <w:szCs w:val="22"/>
              </w:rPr>
              <w:t>Gdyby w art. 22 projektu nie wskazano, że przepis ten dotyczy wyłącznie danych ba</w:t>
            </w:r>
            <w:r w:rsidR="00F732D5" w:rsidRPr="00BB0E53">
              <w:rPr>
                <w:sz w:val="22"/>
                <w:szCs w:val="22"/>
              </w:rPr>
              <w:t>dawczych będących w </w:t>
            </w:r>
            <w:r w:rsidR="005652F4" w:rsidRPr="00BB0E53">
              <w:rPr>
                <w:sz w:val="22"/>
                <w:szCs w:val="22"/>
              </w:rPr>
              <w:t>posiadaniu podmiotów, o których mowa w art. 7 ust. 1 ustawy z dnia 20 lipca 2018 r. – Prawo o szkolnictwie wyższym i nauce, to w przypadku kiedy podmiot zobowiązany (inny niż podmiot sektora nauki) zakwalifikowałby</w:t>
            </w:r>
            <w:r w:rsidR="002E3D92" w:rsidRPr="00BB0E53">
              <w:rPr>
                <w:sz w:val="22"/>
                <w:szCs w:val="22"/>
              </w:rPr>
              <w:t xml:space="preserve">  określon</w:t>
            </w:r>
            <w:r w:rsidR="003F5AD4" w:rsidRPr="00BB0E53">
              <w:rPr>
                <w:sz w:val="22"/>
                <w:szCs w:val="22"/>
              </w:rPr>
              <w:t>e</w:t>
            </w:r>
            <w:r w:rsidR="002E3D92" w:rsidRPr="00BB0E53">
              <w:rPr>
                <w:sz w:val="22"/>
                <w:szCs w:val="22"/>
              </w:rPr>
              <w:t xml:space="preserve"> ISP</w:t>
            </w:r>
            <w:r w:rsidR="003F5AD4" w:rsidRPr="00BB0E53">
              <w:rPr>
                <w:sz w:val="22"/>
                <w:szCs w:val="22"/>
              </w:rPr>
              <w:t>, będące w jego posiadaniu,</w:t>
            </w:r>
            <w:r w:rsidR="005652F4" w:rsidRPr="00BB0E53">
              <w:rPr>
                <w:sz w:val="22"/>
                <w:szCs w:val="22"/>
              </w:rPr>
              <w:t xml:space="preserve"> jako dane</w:t>
            </w:r>
            <w:r w:rsidR="002E3D92" w:rsidRPr="00BB0E53">
              <w:rPr>
                <w:sz w:val="22"/>
                <w:szCs w:val="22"/>
              </w:rPr>
              <w:t xml:space="preserve"> badawcz</w:t>
            </w:r>
            <w:r w:rsidR="005652F4" w:rsidRPr="00BB0E53">
              <w:rPr>
                <w:sz w:val="22"/>
                <w:szCs w:val="22"/>
              </w:rPr>
              <w:t>e,</w:t>
            </w:r>
            <w:r w:rsidR="002E3D92" w:rsidRPr="00BB0E53">
              <w:rPr>
                <w:sz w:val="22"/>
                <w:szCs w:val="22"/>
              </w:rPr>
              <w:t xml:space="preserve"> </w:t>
            </w:r>
            <w:r w:rsidR="003F5AD4" w:rsidRPr="00BB0E53">
              <w:rPr>
                <w:sz w:val="22"/>
                <w:szCs w:val="22"/>
              </w:rPr>
              <w:t xml:space="preserve">doszłoby w istocie rzeczy do ograniczenia </w:t>
            </w:r>
            <w:r w:rsidR="005652F4" w:rsidRPr="00BB0E53">
              <w:rPr>
                <w:sz w:val="22"/>
                <w:szCs w:val="22"/>
              </w:rPr>
              <w:t>możliwości ponownego wykorzystywania taki</w:t>
            </w:r>
            <w:r w:rsidR="003F5AD4" w:rsidRPr="00BB0E53">
              <w:rPr>
                <w:sz w:val="22"/>
                <w:szCs w:val="22"/>
              </w:rPr>
              <w:t>ego zasobu. Takie ISP (uznane za dane badawcze) mogłyby bowiem być ponownie wykorzystywane wyłą</w:t>
            </w:r>
            <w:r w:rsidR="004B38AF" w:rsidRPr="00BB0E53">
              <w:rPr>
                <w:sz w:val="22"/>
                <w:szCs w:val="22"/>
              </w:rPr>
              <w:t>cznie po spełnieniu warunków, o </w:t>
            </w:r>
            <w:r w:rsidR="003F5AD4" w:rsidRPr="00BB0E53">
              <w:rPr>
                <w:sz w:val="22"/>
                <w:szCs w:val="22"/>
              </w:rPr>
              <w:t xml:space="preserve">których mowa w art. 22. </w:t>
            </w:r>
          </w:p>
        </w:tc>
      </w:tr>
      <w:tr w:rsidR="00940D7B" w:rsidRPr="00BB0E53" w14:paraId="60943E8B" w14:textId="77777777" w:rsidTr="001C649B">
        <w:trPr>
          <w:jc w:val="center"/>
        </w:trPr>
        <w:tc>
          <w:tcPr>
            <w:tcW w:w="568" w:type="dxa"/>
            <w:shd w:val="clear" w:color="auto" w:fill="auto"/>
            <w:vAlign w:val="center"/>
          </w:tcPr>
          <w:p w14:paraId="1C6BE6B6" w14:textId="4EB7D71C" w:rsidR="00FA2F13" w:rsidRPr="00BB0E53" w:rsidRDefault="00FA2F13" w:rsidP="00BB0E53">
            <w:pPr>
              <w:numPr>
                <w:ilvl w:val="0"/>
                <w:numId w:val="3"/>
              </w:numPr>
              <w:jc w:val="center"/>
              <w:rPr>
                <w:sz w:val="22"/>
                <w:szCs w:val="22"/>
              </w:rPr>
            </w:pPr>
          </w:p>
        </w:tc>
        <w:tc>
          <w:tcPr>
            <w:tcW w:w="1227" w:type="dxa"/>
            <w:shd w:val="clear" w:color="auto" w:fill="auto"/>
            <w:vAlign w:val="center"/>
          </w:tcPr>
          <w:p w14:paraId="727EA08B" w14:textId="77777777" w:rsidR="00FA2F13" w:rsidRPr="00BB0E53" w:rsidRDefault="00FA2F13" w:rsidP="00BB0E53">
            <w:pPr>
              <w:jc w:val="center"/>
              <w:rPr>
                <w:sz w:val="22"/>
                <w:szCs w:val="22"/>
              </w:rPr>
            </w:pPr>
            <w:r w:rsidRPr="00BB0E53">
              <w:rPr>
                <w:sz w:val="22"/>
                <w:szCs w:val="22"/>
              </w:rPr>
              <w:t>RCL</w:t>
            </w:r>
          </w:p>
        </w:tc>
        <w:tc>
          <w:tcPr>
            <w:tcW w:w="1475" w:type="dxa"/>
            <w:shd w:val="clear" w:color="auto" w:fill="auto"/>
            <w:vAlign w:val="center"/>
          </w:tcPr>
          <w:p w14:paraId="7EE1D8D2" w14:textId="77777777" w:rsidR="00FA2F13" w:rsidRPr="00BB0E53" w:rsidRDefault="00FA2F13" w:rsidP="00BB0E53">
            <w:pPr>
              <w:jc w:val="center"/>
              <w:rPr>
                <w:sz w:val="22"/>
                <w:szCs w:val="22"/>
              </w:rPr>
            </w:pPr>
            <w:r w:rsidRPr="00BB0E53">
              <w:rPr>
                <w:sz w:val="22"/>
                <w:szCs w:val="22"/>
              </w:rPr>
              <w:t>Art. 13</w:t>
            </w:r>
          </w:p>
        </w:tc>
        <w:tc>
          <w:tcPr>
            <w:tcW w:w="3777" w:type="dxa"/>
            <w:shd w:val="clear" w:color="auto" w:fill="auto"/>
          </w:tcPr>
          <w:p w14:paraId="3947F8E2" w14:textId="5943F6AB" w:rsidR="00FA2F13" w:rsidRPr="00BB0E53" w:rsidRDefault="00FA2F13" w:rsidP="00BB0E53">
            <w:pPr>
              <w:pStyle w:val="Akapitzlist"/>
              <w:spacing w:line="240" w:lineRule="auto"/>
              <w:ind w:left="0"/>
              <w:contextualSpacing w:val="0"/>
              <w:jc w:val="both"/>
              <w:rPr>
                <w:rFonts w:ascii="Times New Roman" w:hAnsi="Times New Roman"/>
              </w:rPr>
            </w:pPr>
            <w:r w:rsidRPr="00BB0E53">
              <w:rPr>
                <w:rFonts w:ascii="Times New Roman" w:hAnsi="Times New Roman"/>
              </w:rPr>
              <w:t xml:space="preserve">Rządowe Centrum Legislacji podtrzymuje uwagę do art. 13 zgłoszoną w uzgodnieniach międzyresortowych wskazując, że zobowiązane podmiotu zobowiązanego do zapewnienia dostępność, poprawność, aktualność, kompletność i jakość informacji sektora publicznego, które udostępnia lub przekazuje w celu ponownego wykorzystywania powinno być doprecyzowane przez określenie </w:t>
            </w:r>
            <w:r w:rsidRPr="00BB0E53">
              <w:rPr>
                <w:rFonts w:ascii="Times New Roman" w:hAnsi="Times New Roman"/>
              </w:rPr>
              <w:lastRenderedPageBreak/>
              <w:t>procedury zapewnienia wskazanych wyżej wymagań w stosunku do udostępnianych informacji sektora publicznego lub dookreślone przez podmiot zobowiązany w momencie udostępniania lub przekazania danych poprzez wskazanie standardów dostępności, poprawności, aktualności, kompletności i jakości informacji sektora publicznego, których może oczekiwać od danego typu udostępnianych informacji sektora publicznego podmiot korzystający. Stand</w:t>
            </w:r>
            <w:r w:rsidR="00641B91" w:rsidRPr="00BB0E53">
              <w:rPr>
                <w:rFonts w:ascii="Times New Roman" w:hAnsi="Times New Roman"/>
              </w:rPr>
              <w:t>ardy te powinny być określone w </w:t>
            </w:r>
            <w:r w:rsidRPr="00BB0E53">
              <w:rPr>
                <w:rFonts w:ascii="Times New Roman" w:hAnsi="Times New Roman"/>
              </w:rPr>
              <w:t>mome</w:t>
            </w:r>
            <w:r w:rsidR="00641B91" w:rsidRPr="00BB0E53">
              <w:rPr>
                <w:rFonts w:ascii="Times New Roman" w:hAnsi="Times New Roman"/>
              </w:rPr>
              <w:t>ncie udostępnienia na wniosek i </w:t>
            </w:r>
            <w:r w:rsidRPr="00BB0E53">
              <w:rPr>
                <w:rFonts w:ascii="Times New Roman" w:hAnsi="Times New Roman"/>
              </w:rPr>
              <w:t>w każdym przypadku w sytuacji udostępnienia w systemie teleinformatycznym publicznie dostępnym. Określenie w jakich terminach dane będą aktualizowane, kryteriów ich poprawności czy oczekiwanej jakości będzie sprzyjało zapewnieniu pewności obrotu w sytuacji wykorzystywania informacji sektora public</w:t>
            </w:r>
            <w:r w:rsidR="00641B91" w:rsidRPr="00BB0E53">
              <w:rPr>
                <w:rFonts w:ascii="Times New Roman" w:hAnsi="Times New Roman"/>
              </w:rPr>
              <w:t>znego do celów gospodarczych, a </w:t>
            </w:r>
            <w:r w:rsidRPr="00BB0E53">
              <w:rPr>
                <w:rFonts w:ascii="Times New Roman" w:hAnsi="Times New Roman"/>
              </w:rPr>
              <w:t xml:space="preserve">w razie wątpliwości co do zachowania przez podmiot zobowiązany standardów, o których mowa w art. 13 ust. 1 publikowana lub przekazywana przez ten podmiot charakterystyka sposobów zapewnienia tych standardów w stosunku do udostępnianych informacji sektora publicznego może pozwolić na uwolnienie się od </w:t>
            </w:r>
            <w:r w:rsidRPr="00BB0E53">
              <w:rPr>
                <w:rFonts w:ascii="Times New Roman" w:hAnsi="Times New Roman"/>
              </w:rPr>
              <w:lastRenderedPageBreak/>
              <w:t xml:space="preserve">odpowiedzialności, w tym odpowiedzialności odszkodowawczej,  w razie wątpliwości co do spełnienia standardów określonych w tym przepisie. </w:t>
            </w:r>
          </w:p>
        </w:tc>
        <w:tc>
          <w:tcPr>
            <w:tcW w:w="3467" w:type="dxa"/>
            <w:shd w:val="clear" w:color="auto" w:fill="auto"/>
          </w:tcPr>
          <w:p w14:paraId="1923D50A" w14:textId="202B8D64" w:rsidR="00FA2F13" w:rsidRPr="00BB0E53" w:rsidRDefault="00FA2F13" w:rsidP="00BB0E53">
            <w:pPr>
              <w:jc w:val="both"/>
              <w:rPr>
                <w:sz w:val="22"/>
                <w:szCs w:val="22"/>
              </w:rPr>
            </w:pPr>
            <w:r w:rsidRPr="00BB0E53">
              <w:rPr>
                <w:sz w:val="22"/>
                <w:szCs w:val="22"/>
              </w:rPr>
              <w:lastRenderedPageBreak/>
              <w:t>Uregulowanie na poziomie ustawowym lub zobowiązanie podmiotów udostępniających informacje sektora publicznego do określenia w momencie udostępnienia danych  info</w:t>
            </w:r>
            <w:r w:rsidR="00641B91" w:rsidRPr="00BB0E53">
              <w:rPr>
                <w:sz w:val="22"/>
                <w:szCs w:val="22"/>
              </w:rPr>
              <w:t>rmacji o </w:t>
            </w:r>
            <w:r w:rsidRPr="00BB0E53">
              <w:rPr>
                <w:sz w:val="22"/>
                <w:szCs w:val="22"/>
              </w:rPr>
              <w:t xml:space="preserve">aktualności  czy dacie, na którą dane są aktualne i kiedy upłynie termin ich aktualności, w jakim terminie przewidywana jest aktualizacja lub z jaką </w:t>
            </w:r>
            <w:r w:rsidRPr="00BB0E53">
              <w:rPr>
                <w:sz w:val="22"/>
                <w:szCs w:val="22"/>
              </w:rPr>
              <w:lastRenderedPageBreak/>
              <w:t xml:space="preserve">częstotliwością są aktualizowane, co zawierają dane uznawane za dane poprawne, jakie standardy  jakości spełniają udostępnione informacje sektora publicznego, jakie elementy zawierają udostępnione informacje sektora publicznego, aby możliwe było ustalenie czy dane są kompletne, co oznacza zapewnienie dostępności danych – czy oznacza możliwość ich pobrania z systemu etc. </w:t>
            </w:r>
          </w:p>
          <w:p w14:paraId="0EB0996F" w14:textId="77777777" w:rsidR="00FA2F13" w:rsidRPr="00BB0E53" w:rsidRDefault="00FA2F13" w:rsidP="00BB0E53">
            <w:pPr>
              <w:jc w:val="both"/>
              <w:rPr>
                <w:sz w:val="22"/>
                <w:szCs w:val="22"/>
              </w:rPr>
            </w:pPr>
          </w:p>
          <w:p w14:paraId="27FADEAA" w14:textId="77777777" w:rsidR="00FA2F13" w:rsidRPr="00BB0E53" w:rsidRDefault="00FA2F13" w:rsidP="00BB0E53">
            <w:pPr>
              <w:jc w:val="both"/>
              <w:rPr>
                <w:sz w:val="22"/>
                <w:szCs w:val="22"/>
              </w:rPr>
            </w:pPr>
          </w:p>
        </w:tc>
        <w:tc>
          <w:tcPr>
            <w:tcW w:w="3478" w:type="dxa"/>
          </w:tcPr>
          <w:p w14:paraId="22D353A8" w14:textId="57358AE8" w:rsidR="00FA2F13" w:rsidRPr="00BB0E53" w:rsidRDefault="00F6477E" w:rsidP="00BB0E53">
            <w:pPr>
              <w:jc w:val="both"/>
              <w:rPr>
                <w:b/>
                <w:sz w:val="22"/>
                <w:szCs w:val="22"/>
              </w:rPr>
            </w:pPr>
            <w:r w:rsidRPr="00BB0E53">
              <w:rPr>
                <w:b/>
                <w:sz w:val="22"/>
                <w:szCs w:val="22"/>
              </w:rPr>
              <w:lastRenderedPageBreak/>
              <w:t>Uwaga nieuwzględniona</w:t>
            </w:r>
          </w:p>
          <w:p w14:paraId="526C8A22" w14:textId="1102EC5E" w:rsidR="003F5AD4" w:rsidRPr="00BB0E53" w:rsidRDefault="0039041A" w:rsidP="00BB0E53">
            <w:pPr>
              <w:jc w:val="both"/>
              <w:rPr>
                <w:sz w:val="22"/>
                <w:szCs w:val="22"/>
              </w:rPr>
            </w:pPr>
            <w:r w:rsidRPr="00BB0E53">
              <w:rPr>
                <w:sz w:val="22"/>
                <w:szCs w:val="22"/>
              </w:rPr>
              <w:t>Zasady określone w art. 13 projektu ustawy odwołują się do stand</w:t>
            </w:r>
            <w:r w:rsidR="00940D7B" w:rsidRPr="00BB0E53">
              <w:rPr>
                <w:sz w:val="22"/>
                <w:szCs w:val="22"/>
              </w:rPr>
              <w:t>ardów dot. udostępniania danych i</w:t>
            </w:r>
            <w:r w:rsidRPr="00BB0E53">
              <w:rPr>
                <w:sz w:val="22"/>
                <w:szCs w:val="22"/>
              </w:rPr>
              <w:t xml:space="preserve"> wskaz</w:t>
            </w:r>
            <w:r w:rsidR="00940D7B" w:rsidRPr="00BB0E53">
              <w:rPr>
                <w:sz w:val="22"/>
                <w:szCs w:val="22"/>
              </w:rPr>
              <w:t>ują</w:t>
            </w:r>
            <w:r w:rsidRPr="00BB0E53">
              <w:rPr>
                <w:sz w:val="22"/>
                <w:szCs w:val="22"/>
              </w:rPr>
              <w:t xml:space="preserve"> skutek jaki ma zostać osiągnięty.   Przykładem takich standardów, </w:t>
            </w:r>
            <w:r w:rsidR="003E60E7" w:rsidRPr="00BB0E53">
              <w:rPr>
                <w:sz w:val="22"/>
                <w:szCs w:val="22"/>
              </w:rPr>
              <w:t xml:space="preserve">które służą realizacji zasad wymienionych w art. 13 projektu </w:t>
            </w:r>
            <w:r w:rsidRPr="00BB0E53">
              <w:rPr>
                <w:sz w:val="22"/>
                <w:szCs w:val="22"/>
              </w:rPr>
              <w:t xml:space="preserve">są </w:t>
            </w:r>
            <w:r w:rsidR="003F5AD4" w:rsidRPr="00BB0E53">
              <w:rPr>
                <w:sz w:val="22"/>
                <w:szCs w:val="22"/>
              </w:rPr>
              <w:t>Standard</w:t>
            </w:r>
            <w:r w:rsidRPr="00BB0E53">
              <w:rPr>
                <w:sz w:val="22"/>
                <w:szCs w:val="22"/>
              </w:rPr>
              <w:t xml:space="preserve">y </w:t>
            </w:r>
            <w:r w:rsidR="003F5AD4" w:rsidRPr="00BB0E53">
              <w:rPr>
                <w:sz w:val="22"/>
                <w:szCs w:val="22"/>
              </w:rPr>
              <w:lastRenderedPageBreak/>
              <w:t>otwartości danych</w:t>
            </w:r>
            <w:r w:rsidR="003F5AD4" w:rsidRPr="00BB0E53">
              <w:rPr>
                <w:rStyle w:val="Odwoanieprzypisudolnego"/>
                <w:sz w:val="22"/>
                <w:szCs w:val="22"/>
              </w:rPr>
              <w:footnoteReference w:id="1"/>
            </w:r>
            <w:r w:rsidR="003F5AD4" w:rsidRPr="00BB0E53">
              <w:rPr>
                <w:sz w:val="22"/>
                <w:szCs w:val="22"/>
              </w:rPr>
              <w:t xml:space="preserve"> opracowan</w:t>
            </w:r>
            <w:r w:rsidRPr="00BB0E53">
              <w:rPr>
                <w:sz w:val="22"/>
                <w:szCs w:val="22"/>
              </w:rPr>
              <w:t>e</w:t>
            </w:r>
            <w:r w:rsidR="003F5AD4" w:rsidRPr="00BB0E53">
              <w:rPr>
                <w:sz w:val="22"/>
                <w:szCs w:val="22"/>
              </w:rPr>
              <w:t xml:space="preserve"> przez Ministerstwo Cyfryzacji, tj.:</w:t>
            </w:r>
          </w:p>
          <w:p w14:paraId="28FC2E6B" w14:textId="0FCDCDA6" w:rsidR="003F5AD4" w:rsidRPr="00BB0E53" w:rsidRDefault="003F5AD4" w:rsidP="00BB0E53">
            <w:pPr>
              <w:pStyle w:val="Akapitzlist"/>
              <w:numPr>
                <w:ilvl w:val="0"/>
                <w:numId w:val="21"/>
              </w:numPr>
              <w:spacing w:line="240" w:lineRule="auto"/>
              <w:ind w:left="317" w:hanging="284"/>
              <w:contextualSpacing w:val="0"/>
              <w:jc w:val="both"/>
              <w:rPr>
                <w:rFonts w:ascii="Times New Roman" w:hAnsi="Times New Roman"/>
              </w:rPr>
            </w:pPr>
            <w:r w:rsidRPr="00BB0E53">
              <w:rPr>
                <w:rFonts w:ascii="Times New Roman" w:hAnsi="Times New Roman"/>
              </w:rPr>
              <w:t>Standard</w:t>
            </w:r>
            <w:r w:rsidR="00940D7B" w:rsidRPr="00BB0E53">
              <w:rPr>
                <w:rFonts w:ascii="Times New Roman" w:hAnsi="Times New Roman"/>
              </w:rPr>
              <w:t xml:space="preserve"> </w:t>
            </w:r>
            <w:r w:rsidRPr="00BB0E53">
              <w:rPr>
                <w:rFonts w:ascii="Times New Roman" w:hAnsi="Times New Roman"/>
              </w:rPr>
              <w:t>prawn</w:t>
            </w:r>
            <w:r w:rsidR="00940D7B" w:rsidRPr="00BB0E53">
              <w:rPr>
                <w:rFonts w:ascii="Times New Roman" w:hAnsi="Times New Roman"/>
              </w:rPr>
              <w:t>y</w:t>
            </w:r>
            <w:r w:rsidRPr="00BB0E53">
              <w:rPr>
                <w:rFonts w:ascii="Times New Roman" w:hAnsi="Times New Roman"/>
              </w:rPr>
              <w:t>,</w:t>
            </w:r>
          </w:p>
          <w:p w14:paraId="6D8D8035" w14:textId="655717F1" w:rsidR="003F5AD4" w:rsidRPr="00BB0E53" w:rsidRDefault="003F5AD4" w:rsidP="00BB0E53">
            <w:pPr>
              <w:pStyle w:val="Akapitzlist"/>
              <w:numPr>
                <w:ilvl w:val="0"/>
                <w:numId w:val="21"/>
              </w:numPr>
              <w:spacing w:line="240" w:lineRule="auto"/>
              <w:ind w:left="317" w:hanging="284"/>
              <w:contextualSpacing w:val="0"/>
              <w:jc w:val="both"/>
              <w:rPr>
                <w:rFonts w:ascii="Times New Roman" w:hAnsi="Times New Roman"/>
              </w:rPr>
            </w:pPr>
            <w:r w:rsidRPr="00BB0E53">
              <w:rPr>
                <w:rFonts w:ascii="Times New Roman" w:hAnsi="Times New Roman"/>
              </w:rPr>
              <w:t>Standard API,</w:t>
            </w:r>
          </w:p>
          <w:p w14:paraId="687C5A14" w14:textId="271F69B8" w:rsidR="003F5AD4" w:rsidRPr="00BB0E53" w:rsidRDefault="003F5AD4" w:rsidP="00BB0E53">
            <w:pPr>
              <w:pStyle w:val="Akapitzlist"/>
              <w:numPr>
                <w:ilvl w:val="0"/>
                <w:numId w:val="21"/>
              </w:numPr>
              <w:spacing w:line="240" w:lineRule="auto"/>
              <w:ind w:left="317" w:hanging="284"/>
              <w:contextualSpacing w:val="0"/>
              <w:jc w:val="both"/>
              <w:rPr>
                <w:rFonts w:ascii="Times New Roman" w:hAnsi="Times New Roman"/>
              </w:rPr>
            </w:pPr>
            <w:r w:rsidRPr="00BB0E53">
              <w:rPr>
                <w:rFonts w:ascii="Times New Roman" w:hAnsi="Times New Roman"/>
              </w:rPr>
              <w:t>Standard techniczn</w:t>
            </w:r>
            <w:r w:rsidR="00940D7B" w:rsidRPr="00BB0E53">
              <w:rPr>
                <w:rFonts w:ascii="Times New Roman" w:hAnsi="Times New Roman"/>
              </w:rPr>
              <w:t>y</w:t>
            </w:r>
            <w:r w:rsidRPr="00BB0E53">
              <w:rPr>
                <w:rFonts w:ascii="Times New Roman" w:hAnsi="Times New Roman"/>
              </w:rPr>
              <w:t>,</w:t>
            </w:r>
          </w:p>
          <w:p w14:paraId="05988F9B" w14:textId="7B278FF5" w:rsidR="003F5AD4" w:rsidRPr="00BB0E53" w:rsidRDefault="003F5AD4" w:rsidP="00BB0E53">
            <w:pPr>
              <w:pStyle w:val="Akapitzlist"/>
              <w:numPr>
                <w:ilvl w:val="0"/>
                <w:numId w:val="21"/>
              </w:numPr>
              <w:spacing w:line="240" w:lineRule="auto"/>
              <w:ind w:left="317" w:hanging="284"/>
              <w:contextualSpacing w:val="0"/>
              <w:jc w:val="both"/>
              <w:rPr>
                <w:rFonts w:ascii="Times New Roman" w:hAnsi="Times New Roman"/>
              </w:rPr>
            </w:pPr>
            <w:r w:rsidRPr="00BB0E53">
              <w:rPr>
                <w:rFonts w:ascii="Times New Roman" w:hAnsi="Times New Roman"/>
              </w:rPr>
              <w:t>Standard bezpieczeństwa.</w:t>
            </w:r>
          </w:p>
          <w:p w14:paraId="79A377BA" w14:textId="13ED2439" w:rsidR="008D312E" w:rsidRPr="00BB0E53" w:rsidRDefault="008D312E" w:rsidP="00BB0E53">
            <w:pPr>
              <w:jc w:val="both"/>
              <w:rPr>
                <w:sz w:val="22"/>
                <w:szCs w:val="22"/>
              </w:rPr>
            </w:pPr>
            <w:r w:rsidRPr="00BB0E53">
              <w:rPr>
                <w:sz w:val="22"/>
                <w:szCs w:val="22"/>
              </w:rPr>
              <w:t xml:space="preserve">Do Standardów otwartości danych odwołuję się również projektowany obecnie Program otwierania danych na lata 2020-2027. </w:t>
            </w:r>
          </w:p>
          <w:p w14:paraId="3C1ED540" w14:textId="52C3ABF5" w:rsidR="00F6477E" w:rsidRPr="00BB0E53" w:rsidRDefault="00D03C46" w:rsidP="00BB0E53">
            <w:pPr>
              <w:jc w:val="both"/>
              <w:rPr>
                <w:sz w:val="22"/>
                <w:szCs w:val="22"/>
              </w:rPr>
            </w:pPr>
            <w:r w:rsidRPr="00BB0E53">
              <w:rPr>
                <w:sz w:val="22"/>
                <w:szCs w:val="22"/>
              </w:rPr>
              <w:t xml:space="preserve">Zasady </w:t>
            </w:r>
            <w:r w:rsidR="003F5AD4" w:rsidRPr="00BB0E53">
              <w:rPr>
                <w:sz w:val="22"/>
                <w:szCs w:val="22"/>
              </w:rPr>
              <w:t xml:space="preserve"> wskazane w art. 13 zostały </w:t>
            </w:r>
            <w:r w:rsidR="00940D7B" w:rsidRPr="00BB0E53">
              <w:rPr>
                <w:sz w:val="22"/>
                <w:szCs w:val="22"/>
              </w:rPr>
              <w:t>również szerzej wyjaśnione w </w:t>
            </w:r>
            <w:r w:rsidR="00F6477E" w:rsidRPr="00BB0E53">
              <w:rPr>
                <w:sz w:val="22"/>
                <w:szCs w:val="22"/>
              </w:rPr>
              <w:t xml:space="preserve">uzasadnieniu do </w:t>
            </w:r>
            <w:r w:rsidR="000C3492" w:rsidRPr="00BB0E53">
              <w:rPr>
                <w:sz w:val="22"/>
                <w:szCs w:val="22"/>
              </w:rPr>
              <w:t xml:space="preserve">projektu </w:t>
            </w:r>
            <w:r w:rsidRPr="00BB0E53">
              <w:rPr>
                <w:sz w:val="22"/>
                <w:szCs w:val="22"/>
              </w:rPr>
              <w:t>ustawy. W </w:t>
            </w:r>
            <w:r w:rsidR="00F6477E" w:rsidRPr="00BB0E53">
              <w:rPr>
                <w:sz w:val="22"/>
                <w:szCs w:val="22"/>
              </w:rPr>
              <w:t>uzasadnieniu w</w:t>
            </w:r>
            <w:r w:rsidR="003F5AD4" w:rsidRPr="00BB0E53">
              <w:rPr>
                <w:sz w:val="22"/>
                <w:szCs w:val="22"/>
              </w:rPr>
              <w:t>skazano</w:t>
            </w:r>
            <w:r w:rsidR="00F6477E" w:rsidRPr="00BB0E53">
              <w:rPr>
                <w:sz w:val="22"/>
                <w:szCs w:val="22"/>
              </w:rPr>
              <w:t>,</w:t>
            </w:r>
            <w:r w:rsidRPr="00BB0E53">
              <w:rPr>
                <w:sz w:val="22"/>
                <w:szCs w:val="22"/>
              </w:rPr>
              <w:t xml:space="preserve"> że w </w:t>
            </w:r>
            <w:r w:rsidR="00F6477E" w:rsidRPr="00BB0E53">
              <w:rPr>
                <w:sz w:val="22"/>
                <w:szCs w:val="22"/>
              </w:rPr>
              <w:t>myśl zasady wyrażonej w art. 13 ust. 1 projektu ustawy podmio</w:t>
            </w:r>
            <w:r w:rsidRPr="00BB0E53">
              <w:rPr>
                <w:sz w:val="22"/>
                <w:szCs w:val="22"/>
              </w:rPr>
              <w:t>t zobowiązany powinien zadbać o </w:t>
            </w:r>
            <w:r w:rsidR="00F6477E" w:rsidRPr="00BB0E53">
              <w:rPr>
                <w:sz w:val="22"/>
                <w:szCs w:val="22"/>
              </w:rPr>
              <w:t>zgodność udostępn</w:t>
            </w:r>
            <w:r w:rsidRPr="00BB0E53">
              <w:rPr>
                <w:sz w:val="22"/>
                <w:szCs w:val="22"/>
              </w:rPr>
              <w:t>ianych lub przekazywanych ISP z </w:t>
            </w:r>
            <w:r w:rsidR="00F6477E" w:rsidRPr="00BB0E53">
              <w:rPr>
                <w:sz w:val="22"/>
                <w:szCs w:val="22"/>
              </w:rPr>
              <w:t>właściwymi przepisami prawa oraz dołożyć wszelkich starań, aby dane</w:t>
            </w:r>
            <w:r w:rsidR="003F5AD4" w:rsidRPr="00BB0E53">
              <w:rPr>
                <w:sz w:val="22"/>
                <w:szCs w:val="22"/>
              </w:rPr>
              <w:t xml:space="preserve"> te były poprawne (prawidłowe i </w:t>
            </w:r>
            <w:r w:rsidR="002B49A3" w:rsidRPr="00BB0E53">
              <w:rPr>
                <w:sz w:val="22"/>
                <w:szCs w:val="22"/>
              </w:rPr>
              <w:t>zgodne z </w:t>
            </w:r>
            <w:r w:rsidR="00F6477E" w:rsidRPr="00BB0E53">
              <w:rPr>
                <w:sz w:val="22"/>
                <w:szCs w:val="22"/>
              </w:rPr>
              <w:t>faktami)</w:t>
            </w:r>
            <w:r w:rsidRPr="00BB0E53">
              <w:rPr>
                <w:sz w:val="22"/>
                <w:szCs w:val="22"/>
              </w:rPr>
              <w:t>. Zapewnienie dostępności ISP w </w:t>
            </w:r>
            <w:r w:rsidR="00F6477E" w:rsidRPr="00BB0E53">
              <w:rPr>
                <w:sz w:val="22"/>
                <w:szCs w:val="22"/>
              </w:rPr>
              <w:t>powyższym rozumieniu oznacza koniec</w:t>
            </w:r>
            <w:r w:rsidR="009F3C6A" w:rsidRPr="00BB0E53">
              <w:rPr>
                <w:sz w:val="22"/>
                <w:szCs w:val="22"/>
              </w:rPr>
              <w:t>zność zapewnienia terminowego i </w:t>
            </w:r>
            <w:r w:rsidR="00F6477E" w:rsidRPr="00BB0E53">
              <w:rPr>
                <w:sz w:val="22"/>
                <w:szCs w:val="22"/>
              </w:rPr>
              <w:t xml:space="preserve">niezawodnego dostępu do udostępnianych lub przekazywanych informacji oraz </w:t>
            </w:r>
            <w:r w:rsidR="003F5AD4" w:rsidRPr="00BB0E53">
              <w:rPr>
                <w:sz w:val="22"/>
                <w:szCs w:val="22"/>
              </w:rPr>
              <w:t>możliwości ich wykorzystywania (z</w:t>
            </w:r>
            <w:r w:rsidR="00F6477E" w:rsidRPr="00BB0E53">
              <w:rPr>
                <w:sz w:val="22"/>
                <w:szCs w:val="22"/>
              </w:rPr>
              <w:t>apewnienie dostępności ISP nabiera szczegó</w:t>
            </w:r>
            <w:r w:rsidRPr="00BB0E53">
              <w:rPr>
                <w:sz w:val="22"/>
                <w:szCs w:val="22"/>
              </w:rPr>
              <w:t>lnego znaczenia w </w:t>
            </w:r>
            <w:r w:rsidR="00F6477E" w:rsidRPr="00BB0E53">
              <w:rPr>
                <w:sz w:val="22"/>
                <w:szCs w:val="22"/>
              </w:rPr>
              <w:t>przypadku udostępniania danych przez API</w:t>
            </w:r>
            <w:r w:rsidR="003F5AD4" w:rsidRPr="00BB0E53">
              <w:rPr>
                <w:sz w:val="22"/>
                <w:szCs w:val="22"/>
              </w:rPr>
              <w:t>)</w:t>
            </w:r>
            <w:r w:rsidR="00F6477E" w:rsidRPr="00BB0E53">
              <w:rPr>
                <w:sz w:val="22"/>
                <w:szCs w:val="22"/>
              </w:rPr>
              <w:t xml:space="preserve">. Przez zapewnienie aktualności danych należy z kolei </w:t>
            </w:r>
            <w:r w:rsidR="00F6477E" w:rsidRPr="00BB0E53">
              <w:rPr>
                <w:sz w:val="22"/>
                <w:szCs w:val="22"/>
              </w:rPr>
              <w:lastRenderedPageBreak/>
              <w:t>rozum</w:t>
            </w:r>
            <w:r w:rsidRPr="00BB0E53">
              <w:rPr>
                <w:sz w:val="22"/>
                <w:szCs w:val="22"/>
              </w:rPr>
              <w:t>ieć udostępnianie najnowszych i </w:t>
            </w:r>
            <w:r w:rsidR="00F6477E" w:rsidRPr="00BB0E53">
              <w:rPr>
                <w:sz w:val="22"/>
                <w:szCs w:val="22"/>
              </w:rPr>
              <w:t>bieżąco aktualizowanych ISP, niezwłocznie po ich wytworzeniu lub pozyskaniu, w terminach dostosowywanych do rodzaju dan</w:t>
            </w:r>
            <w:r w:rsidR="003F5AD4" w:rsidRPr="00BB0E53">
              <w:rPr>
                <w:sz w:val="22"/>
                <w:szCs w:val="22"/>
              </w:rPr>
              <w:t>ych i dynamiki ich zmian wraz z </w:t>
            </w:r>
            <w:r w:rsidR="00F6477E" w:rsidRPr="00BB0E53">
              <w:rPr>
                <w:sz w:val="22"/>
                <w:szCs w:val="22"/>
              </w:rPr>
              <w:t>oznaczeniem daty udostępnienia danych, daty ostatniej aktualiza</w:t>
            </w:r>
            <w:r w:rsidR="004912AB" w:rsidRPr="00BB0E53">
              <w:rPr>
                <w:sz w:val="22"/>
                <w:szCs w:val="22"/>
              </w:rPr>
              <w:t>cji danych oraz informacji o </w:t>
            </w:r>
            <w:r w:rsidR="00F6477E" w:rsidRPr="00BB0E53">
              <w:rPr>
                <w:sz w:val="22"/>
                <w:szCs w:val="22"/>
              </w:rPr>
              <w:t xml:space="preserve">częstotliwości aktualizacji danych. Dane kompletne to dane </w:t>
            </w:r>
            <w:r w:rsidRPr="00BB0E53">
              <w:rPr>
                <w:sz w:val="22"/>
                <w:szCs w:val="22"/>
              </w:rPr>
              <w:t>udostępniane lub przekazywane w </w:t>
            </w:r>
            <w:r w:rsidR="00F6477E" w:rsidRPr="00BB0E53">
              <w:rPr>
                <w:sz w:val="22"/>
                <w:szCs w:val="22"/>
              </w:rPr>
              <w:t>całości, bez wyłączania posz</w:t>
            </w:r>
            <w:r w:rsidRPr="00BB0E53">
              <w:rPr>
                <w:sz w:val="22"/>
                <w:szCs w:val="22"/>
              </w:rPr>
              <w:t>czególnych części danych i </w:t>
            </w:r>
            <w:r w:rsidR="00F6477E" w:rsidRPr="00BB0E53">
              <w:rPr>
                <w:sz w:val="22"/>
                <w:szCs w:val="22"/>
              </w:rPr>
              <w:t xml:space="preserve">zgodne ze stanem faktycznym. Ewentualne wyłączenie niektórych informacji jest możliwe jedynie, kiedy wymagają tego przepisy prawa (np. część danych podlega anonimizacji ze względu </w:t>
            </w:r>
            <w:r w:rsidR="004912AB" w:rsidRPr="00BB0E53">
              <w:rPr>
                <w:sz w:val="22"/>
                <w:szCs w:val="22"/>
              </w:rPr>
              <w:t>na ochronę danych osobowych), a dysponent danych poinformuje o </w:t>
            </w:r>
            <w:r w:rsidR="00F6477E" w:rsidRPr="00BB0E53">
              <w:rPr>
                <w:sz w:val="22"/>
                <w:szCs w:val="22"/>
              </w:rPr>
              <w:t>przyczynach wyłączenia. Jakość udostępnianych lub przekazywanych treści należy zapewnić poprzez ich właściwe opracowanie pod względem merytorycznych oraz technicznym (zgodność z obowiązującymi standardami technicznymi).</w:t>
            </w:r>
          </w:p>
          <w:p w14:paraId="57AACD65" w14:textId="3A09680D" w:rsidR="004912AB" w:rsidRPr="00BB0E53" w:rsidRDefault="004912AB" w:rsidP="00BB0E53">
            <w:pPr>
              <w:jc w:val="both"/>
              <w:rPr>
                <w:sz w:val="22"/>
                <w:szCs w:val="22"/>
              </w:rPr>
            </w:pPr>
            <w:r w:rsidRPr="00BB0E53">
              <w:rPr>
                <w:sz w:val="22"/>
                <w:szCs w:val="22"/>
              </w:rPr>
              <w:t>Należy wyjaśnić, że w</w:t>
            </w:r>
            <w:r w:rsidR="000C3492" w:rsidRPr="00BB0E53">
              <w:rPr>
                <w:sz w:val="22"/>
                <w:szCs w:val="22"/>
              </w:rPr>
              <w:t xml:space="preserve">nioskodawca </w:t>
            </w:r>
            <w:r w:rsidRPr="00BB0E53">
              <w:rPr>
                <w:sz w:val="22"/>
                <w:szCs w:val="22"/>
              </w:rPr>
              <w:t xml:space="preserve">podtrzymuje swoje stanowisko </w:t>
            </w:r>
            <w:r w:rsidR="000C3492" w:rsidRPr="00BB0E53">
              <w:rPr>
                <w:sz w:val="22"/>
                <w:szCs w:val="22"/>
              </w:rPr>
              <w:t>wyrażone w toku uzgodnień międzyresortowych, że r</w:t>
            </w:r>
            <w:r w:rsidR="00F6477E" w:rsidRPr="00BB0E53">
              <w:rPr>
                <w:sz w:val="22"/>
                <w:szCs w:val="22"/>
              </w:rPr>
              <w:t>egulowanie</w:t>
            </w:r>
            <w:r w:rsidRPr="00BB0E53">
              <w:rPr>
                <w:sz w:val="22"/>
                <w:szCs w:val="22"/>
              </w:rPr>
              <w:t xml:space="preserve"> w </w:t>
            </w:r>
            <w:r w:rsidR="00F6477E" w:rsidRPr="00BB0E53">
              <w:rPr>
                <w:sz w:val="22"/>
                <w:szCs w:val="22"/>
              </w:rPr>
              <w:t>przepisach ustawowych</w:t>
            </w:r>
            <w:r w:rsidRPr="00BB0E53">
              <w:rPr>
                <w:sz w:val="22"/>
                <w:szCs w:val="22"/>
              </w:rPr>
              <w:t xml:space="preserve"> (lub aktach wykonawczych) w sposób szczegóły </w:t>
            </w:r>
            <w:r w:rsidR="00D03C46" w:rsidRPr="00BB0E53">
              <w:rPr>
                <w:sz w:val="22"/>
                <w:szCs w:val="22"/>
              </w:rPr>
              <w:t xml:space="preserve">zasad i standardów, </w:t>
            </w:r>
            <w:r w:rsidR="00D03C46" w:rsidRPr="00BB0E53">
              <w:rPr>
                <w:sz w:val="22"/>
                <w:szCs w:val="22"/>
              </w:rPr>
              <w:lastRenderedPageBreak/>
              <w:t>o </w:t>
            </w:r>
            <w:r w:rsidRPr="00BB0E53">
              <w:rPr>
                <w:sz w:val="22"/>
                <w:szCs w:val="22"/>
              </w:rPr>
              <w:t>których mowa w art. 13, a także</w:t>
            </w:r>
            <w:r w:rsidR="00F6477E" w:rsidRPr="00BB0E53">
              <w:rPr>
                <w:sz w:val="22"/>
                <w:szCs w:val="22"/>
              </w:rPr>
              <w:t xml:space="preserve"> </w:t>
            </w:r>
            <w:r w:rsidRPr="00BB0E53">
              <w:rPr>
                <w:sz w:val="22"/>
                <w:szCs w:val="22"/>
              </w:rPr>
              <w:t>trybu w </w:t>
            </w:r>
            <w:r w:rsidR="00F6477E" w:rsidRPr="00BB0E53">
              <w:rPr>
                <w:sz w:val="22"/>
                <w:szCs w:val="22"/>
              </w:rPr>
              <w:t>jakim podmioty zobowiązane miałyby kontrolować cechy udostępnianyc</w:t>
            </w:r>
            <w:r w:rsidR="000C3492" w:rsidRPr="00BB0E53">
              <w:rPr>
                <w:sz w:val="22"/>
                <w:szCs w:val="22"/>
              </w:rPr>
              <w:t xml:space="preserve">h lub przekazywanych danych </w:t>
            </w:r>
            <w:r w:rsidR="002B49A3" w:rsidRPr="00BB0E53">
              <w:rPr>
                <w:sz w:val="22"/>
                <w:szCs w:val="22"/>
              </w:rPr>
              <w:t>jest niemożliwe i </w:t>
            </w:r>
            <w:r w:rsidR="000C3492" w:rsidRPr="00BB0E53">
              <w:rPr>
                <w:sz w:val="22"/>
                <w:szCs w:val="22"/>
              </w:rPr>
              <w:t xml:space="preserve">niewłaściwe. </w:t>
            </w:r>
          </w:p>
          <w:p w14:paraId="702B120A" w14:textId="1C6ADF56" w:rsidR="00F6477E" w:rsidRPr="00BB0E53" w:rsidRDefault="004912AB" w:rsidP="00BB0E53">
            <w:pPr>
              <w:jc w:val="both"/>
              <w:rPr>
                <w:sz w:val="22"/>
                <w:szCs w:val="22"/>
              </w:rPr>
            </w:pPr>
            <w:r w:rsidRPr="00BB0E53">
              <w:rPr>
                <w:sz w:val="22"/>
                <w:szCs w:val="22"/>
              </w:rPr>
              <w:t>B</w:t>
            </w:r>
            <w:r w:rsidR="00F6477E" w:rsidRPr="00BB0E53">
              <w:rPr>
                <w:sz w:val="22"/>
                <w:szCs w:val="22"/>
              </w:rPr>
              <w:t>iorąc pod uwagę zróżnicowanie podmiotów zobowiązanych (np. ze względu na formę organizacyjną, prawną, zakres działalności) oraz bardzo duże zróżnicowanie ISP (np.</w:t>
            </w:r>
            <w:r w:rsidR="00D03C46" w:rsidRPr="00BB0E53">
              <w:rPr>
                <w:sz w:val="22"/>
                <w:szCs w:val="22"/>
              </w:rPr>
              <w:t xml:space="preserve"> ze względu na formaty i </w:t>
            </w:r>
            <w:r w:rsidR="00F6477E" w:rsidRPr="00BB0E53">
              <w:rPr>
                <w:sz w:val="22"/>
                <w:szCs w:val="22"/>
              </w:rPr>
              <w:t xml:space="preserve">rodzaje danych, zróżnicowanie treści, stopień  złożoności danych/zasobów) </w:t>
            </w:r>
            <w:r w:rsidR="000C3492" w:rsidRPr="00BB0E53">
              <w:rPr>
                <w:sz w:val="22"/>
                <w:szCs w:val="22"/>
              </w:rPr>
              <w:t>niemożliwym byłoby</w:t>
            </w:r>
            <w:r w:rsidR="00F6477E" w:rsidRPr="00BB0E53">
              <w:rPr>
                <w:sz w:val="22"/>
                <w:szCs w:val="22"/>
              </w:rPr>
              <w:t xml:space="preserve"> </w:t>
            </w:r>
            <w:r w:rsidR="000C3492" w:rsidRPr="00BB0E53">
              <w:rPr>
                <w:sz w:val="22"/>
                <w:szCs w:val="22"/>
              </w:rPr>
              <w:t>o</w:t>
            </w:r>
            <w:r w:rsidRPr="00BB0E53">
              <w:rPr>
                <w:sz w:val="22"/>
                <w:szCs w:val="22"/>
              </w:rPr>
              <w:t>kreślenie</w:t>
            </w:r>
            <w:r w:rsidR="00F6477E" w:rsidRPr="00BB0E53">
              <w:rPr>
                <w:sz w:val="22"/>
                <w:szCs w:val="22"/>
              </w:rPr>
              <w:t xml:space="preserve"> </w:t>
            </w:r>
            <w:r w:rsidRPr="00BB0E53">
              <w:rPr>
                <w:sz w:val="22"/>
                <w:szCs w:val="22"/>
              </w:rPr>
              <w:t>jednego</w:t>
            </w:r>
            <w:r w:rsidR="00F6477E" w:rsidRPr="00BB0E53">
              <w:rPr>
                <w:sz w:val="22"/>
                <w:szCs w:val="22"/>
              </w:rPr>
              <w:t xml:space="preserve"> uniwersaln</w:t>
            </w:r>
            <w:r w:rsidRPr="00BB0E53">
              <w:rPr>
                <w:sz w:val="22"/>
                <w:szCs w:val="22"/>
              </w:rPr>
              <w:t>ego</w:t>
            </w:r>
            <w:r w:rsidR="00F6477E" w:rsidRPr="00BB0E53">
              <w:rPr>
                <w:sz w:val="22"/>
                <w:szCs w:val="22"/>
              </w:rPr>
              <w:t xml:space="preserve"> tryb</w:t>
            </w:r>
            <w:r w:rsidRPr="00BB0E53">
              <w:rPr>
                <w:sz w:val="22"/>
                <w:szCs w:val="22"/>
              </w:rPr>
              <w:t>u</w:t>
            </w:r>
            <w:r w:rsidR="00D03C46" w:rsidRPr="00BB0E53">
              <w:rPr>
                <w:sz w:val="22"/>
                <w:szCs w:val="22"/>
              </w:rPr>
              <w:t>, zgodnie z </w:t>
            </w:r>
            <w:r w:rsidR="00F6477E" w:rsidRPr="00BB0E53">
              <w:rPr>
                <w:sz w:val="22"/>
                <w:szCs w:val="22"/>
              </w:rPr>
              <w:t xml:space="preserve">którym podmioty zobowiązane zobligowane byłyby kontrolować cechy udostępnianych lub przekazywanych danych. Dodatkowo taka procedura kontroli uwzględniać musiałaby również różne formy upubliczniania (dystrybucji) danych, </w:t>
            </w:r>
            <w:r w:rsidR="002C3C1D" w:rsidRPr="00BB0E53">
              <w:rPr>
                <w:sz w:val="22"/>
                <w:szCs w:val="22"/>
              </w:rPr>
              <w:t xml:space="preserve">tj. udostępnianie ISP (tryb </w:t>
            </w:r>
            <w:proofErr w:type="spellStart"/>
            <w:r w:rsidR="002C3C1D" w:rsidRPr="00BB0E53">
              <w:rPr>
                <w:sz w:val="22"/>
                <w:szCs w:val="22"/>
              </w:rPr>
              <w:t>bez</w:t>
            </w:r>
            <w:r w:rsidR="00F6477E" w:rsidRPr="00BB0E53">
              <w:rPr>
                <w:sz w:val="22"/>
                <w:szCs w:val="22"/>
              </w:rPr>
              <w:t>wnioskowy</w:t>
            </w:r>
            <w:proofErr w:type="spellEnd"/>
            <w:r w:rsidR="00F6477E" w:rsidRPr="00BB0E53">
              <w:rPr>
                <w:sz w:val="22"/>
                <w:szCs w:val="22"/>
              </w:rPr>
              <w:t>) oraz przekazywanie ISP (tryb</w:t>
            </w:r>
            <w:r w:rsidR="002C3C1D" w:rsidRPr="00BB0E53">
              <w:rPr>
                <w:sz w:val="22"/>
                <w:szCs w:val="22"/>
              </w:rPr>
              <w:t xml:space="preserve"> wnioskowy). W ramach trybu </w:t>
            </w:r>
            <w:proofErr w:type="spellStart"/>
            <w:r w:rsidR="002C3C1D" w:rsidRPr="00BB0E53">
              <w:rPr>
                <w:sz w:val="22"/>
                <w:szCs w:val="22"/>
              </w:rPr>
              <w:t>bez</w:t>
            </w:r>
            <w:r w:rsidR="00F6477E" w:rsidRPr="00BB0E53">
              <w:rPr>
                <w:sz w:val="22"/>
                <w:szCs w:val="22"/>
              </w:rPr>
              <w:t>wnioskowego</w:t>
            </w:r>
            <w:proofErr w:type="spellEnd"/>
            <w:r w:rsidR="00F6477E" w:rsidRPr="00BB0E53">
              <w:rPr>
                <w:sz w:val="22"/>
                <w:szCs w:val="22"/>
              </w:rPr>
              <w:t xml:space="preserve"> konieczne mogłoby by się okazać również uwzględnienie zróżnicowania systemów teleinformatycznych za pośrednictwem, których podmioty zobo</w:t>
            </w:r>
            <w:r w:rsidRPr="00BB0E53">
              <w:rPr>
                <w:sz w:val="22"/>
                <w:szCs w:val="22"/>
              </w:rPr>
              <w:t>wiązane udostępniają ISP (np. w </w:t>
            </w:r>
            <w:r w:rsidR="00D03C46" w:rsidRPr="00BB0E53">
              <w:rPr>
                <w:sz w:val="22"/>
                <w:szCs w:val="22"/>
              </w:rPr>
              <w:t>kontekście dostępności ISP i </w:t>
            </w:r>
            <w:r w:rsidR="00F6477E" w:rsidRPr="00BB0E53">
              <w:rPr>
                <w:sz w:val="22"/>
                <w:szCs w:val="22"/>
              </w:rPr>
              <w:t>API).</w:t>
            </w:r>
          </w:p>
          <w:p w14:paraId="78FEFF07" w14:textId="49B359D4" w:rsidR="002968CF" w:rsidRPr="00BB0E53" w:rsidRDefault="004912AB" w:rsidP="00BB0E53">
            <w:pPr>
              <w:jc w:val="both"/>
              <w:rPr>
                <w:sz w:val="22"/>
                <w:szCs w:val="22"/>
              </w:rPr>
            </w:pPr>
            <w:r w:rsidRPr="00BB0E53">
              <w:rPr>
                <w:sz w:val="22"/>
                <w:szCs w:val="22"/>
              </w:rPr>
              <w:t xml:space="preserve">Zdaniem wnioskodawcy niezasadnym jest również </w:t>
            </w:r>
            <w:r w:rsidR="00156672" w:rsidRPr="00BB0E53">
              <w:rPr>
                <w:sz w:val="22"/>
                <w:szCs w:val="22"/>
              </w:rPr>
              <w:lastRenderedPageBreak/>
              <w:t>regulowanie lub zobowiąz</w:t>
            </w:r>
            <w:r w:rsidRPr="00BB0E53">
              <w:rPr>
                <w:sz w:val="22"/>
                <w:szCs w:val="22"/>
              </w:rPr>
              <w:t>ywanie na poziomie ustawowym</w:t>
            </w:r>
            <w:r w:rsidR="00156672" w:rsidRPr="00BB0E53">
              <w:rPr>
                <w:sz w:val="22"/>
                <w:szCs w:val="22"/>
              </w:rPr>
              <w:t xml:space="preserve"> podmiotów udostępniających ISP</w:t>
            </w:r>
            <w:r w:rsidRPr="00BB0E53">
              <w:rPr>
                <w:sz w:val="22"/>
                <w:szCs w:val="22"/>
              </w:rPr>
              <w:t xml:space="preserve"> do określenia w </w:t>
            </w:r>
            <w:r w:rsidR="00156672" w:rsidRPr="00BB0E53">
              <w:rPr>
                <w:sz w:val="22"/>
                <w:szCs w:val="22"/>
              </w:rPr>
              <w:t>momencie udostępnienia danych szere</w:t>
            </w:r>
            <w:r w:rsidRPr="00BB0E53">
              <w:rPr>
                <w:sz w:val="22"/>
                <w:szCs w:val="22"/>
              </w:rPr>
              <w:t>gu informacji, o których mowa w </w:t>
            </w:r>
            <w:r w:rsidR="00156672" w:rsidRPr="00BB0E53">
              <w:rPr>
                <w:sz w:val="22"/>
                <w:szCs w:val="22"/>
              </w:rPr>
              <w:t>uwadze. W art. 13 projektu ustawy wskazano standardy jakie podmioty zobowiązane powinny spełniać przy udostępnianiu do ponownego wykorzystywania ISP. Standardy te zostały ujęte w aktach prawa miękkiego (</w:t>
            </w:r>
            <w:r w:rsidR="00D03C46" w:rsidRPr="00BB0E53">
              <w:rPr>
                <w:sz w:val="22"/>
                <w:szCs w:val="22"/>
              </w:rPr>
              <w:t xml:space="preserve">np. </w:t>
            </w:r>
            <w:r w:rsidR="00156672" w:rsidRPr="00BB0E53">
              <w:rPr>
                <w:sz w:val="22"/>
                <w:szCs w:val="22"/>
              </w:rPr>
              <w:t>Standardy otwartości danych)</w:t>
            </w:r>
            <w:r w:rsidR="00D03C46" w:rsidRPr="00BB0E53">
              <w:rPr>
                <w:sz w:val="22"/>
                <w:szCs w:val="22"/>
              </w:rPr>
              <w:t>. Implementowanie standardów w </w:t>
            </w:r>
            <w:r w:rsidR="0033727E" w:rsidRPr="00BB0E53">
              <w:rPr>
                <w:sz w:val="22"/>
                <w:szCs w:val="22"/>
              </w:rPr>
              <w:t>sposób szczegółowy do projektu ustawy</w:t>
            </w:r>
            <w:r w:rsidR="009F3C6A" w:rsidRPr="00BB0E53">
              <w:rPr>
                <w:sz w:val="22"/>
                <w:szCs w:val="22"/>
              </w:rPr>
              <w:t>,</w:t>
            </w:r>
            <w:r w:rsidR="0033727E" w:rsidRPr="00BB0E53">
              <w:rPr>
                <w:sz w:val="22"/>
                <w:szCs w:val="22"/>
              </w:rPr>
              <w:t xml:space="preserve"> z uwagi na wskazane na wstępie wyjaśnienia</w:t>
            </w:r>
            <w:r w:rsidR="009F3C6A" w:rsidRPr="00BB0E53">
              <w:rPr>
                <w:sz w:val="22"/>
                <w:szCs w:val="22"/>
              </w:rPr>
              <w:t>,</w:t>
            </w:r>
            <w:r w:rsidR="0033727E" w:rsidRPr="00BB0E53">
              <w:rPr>
                <w:sz w:val="22"/>
                <w:szCs w:val="22"/>
              </w:rPr>
              <w:t xml:space="preserve"> jest niemożliwe do zrealizowania. </w:t>
            </w:r>
            <w:r w:rsidRPr="00BB0E53">
              <w:rPr>
                <w:sz w:val="22"/>
                <w:szCs w:val="22"/>
              </w:rPr>
              <w:t>S</w:t>
            </w:r>
            <w:r w:rsidR="00516BD5" w:rsidRPr="00BB0E53">
              <w:rPr>
                <w:sz w:val="22"/>
                <w:szCs w:val="22"/>
              </w:rPr>
              <w:t xml:space="preserve">precyzowanie w ustawie </w:t>
            </w:r>
            <w:r w:rsidR="002968CF" w:rsidRPr="00BB0E53">
              <w:rPr>
                <w:sz w:val="22"/>
                <w:szCs w:val="22"/>
              </w:rPr>
              <w:t>w </w:t>
            </w:r>
            <w:r w:rsidR="00516BD5" w:rsidRPr="00BB0E53">
              <w:rPr>
                <w:sz w:val="22"/>
                <w:szCs w:val="22"/>
              </w:rPr>
              <w:t>sposób uniwersalny</w:t>
            </w:r>
            <w:r w:rsidRPr="00BB0E53">
              <w:rPr>
                <w:sz w:val="22"/>
                <w:szCs w:val="22"/>
              </w:rPr>
              <w:t xml:space="preserve"> szczegółowych przepisów dotyczących </w:t>
            </w:r>
            <w:r w:rsidR="00516BD5" w:rsidRPr="00BB0E53">
              <w:rPr>
                <w:sz w:val="22"/>
                <w:szCs w:val="22"/>
              </w:rPr>
              <w:t>standardów</w:t>
            </w:r>
            <w:r w:rsidRPr="00BB0E53">
              <w:rPr>
                <w:sz w:val="22"/>
                <w:szCs w:val="22"/>
              </w:rPr>
              <w:t xml:space="preserve"> wskazanych w art. 13 </w:t>
            </w:r>
            <w:r w:rsidR="003E60E7" w:rsidRPr="00BB0E53">
              <w:rPr>
                <w:sz w:val="22"/>
                <w:szCs w:val="22"/>
              </w:rPr>
              <w:t>mogłoby się okazać dysfunkcjonalne</w:t>
            </w:r>
            <w:r w:rsidRPr="00BB0E53">
              <w:rPr>
                <w:sz w:val="22"/>
                <w:szCs w:val="22"/>
              </w:rPr>
              <w:t>.</w:t>
            </w:r>
            <w:r w:rsidR="00516BD5" w:rsidRPr="00BB0E53">
              <w:rPr>
                <w:sz w:val="22"/>
                <w:szCs w:val="22"/>
              </w:rPr>
              <w:t xml:space="preserve"> W takich </w:t>
            </w:r>
            <w:r w:rsidR="002968CF" w:rsidRPr="00BB0E53">
              <w:rPr>
                <w:sz w:val="22"/>
                <w:szCs w:val="22"/>
              </w:rPr>
              <w:t xml:space="preserve">przypadkach (mając na uwadze zróżnicowanie ISP) </w:t>
            </w:r>
            <w:r w:rsidR="00516BD5" w:rsidRPr="00BB0E53">
              <w:rPr>
                <w:sz w:val="22"/>
                <w:szCs w:val="22"/>
              </w:rPr>
              <w:t>podmiot zobowiązany powinien móc odwołać się do odpowiedniego dokumentu</w:t>
            </w:r>
            <w:r w:rsidR="004B32F6" w:rsidRPr="00BB0E53">
              <w:rPr>
                <w:sz w:val="22"/>
                <w:szCs w:val="22"/>
              </w:rPr>
              <w:t xml:space="preserve"> prawa miękkiego</w:t>
            </w:r>
            <w:r w:rsidR="00516BD5" w:rsidRPr="00BB0E53">
              <w:rPr>
                <w:sz w:val="22"/>
                <w:szCs w:val="22"/>
              </w:rPr>
              <w:t xml:space="preserve"> zawierającego szczegółowe wymagania i opis standardów</w:t>
            </w:r>
            <w:r w:rsidR="002968CF" w:rsidRPr="00BB0E53">
              <w:rPr>
                <w:sz w:val="22"/>
                <w:szCs w:val="22"/>
              </w:rPr>
              <w:t xml:space="preserve">, </w:t>
            </w:r>
            <w:r w:rsidR="00516BD5" w:rsidRPr="00BB0E53">
              <w:rPr>
                <w:sz w:val="22"/>
                <w:szCs w:val="22"/>
              </w:rPr>
              <w:t>np. Standardu technicznego</w:t>
            </w:r>
            <w:r w:rsidR="002968CF" w:rsidRPr="00BB0E53">
              <w:rPr>
                <w:sz w:val="22"/>
                <w:szCs w:val="22"/>
              </w:rPr>
              <w:t xml:space="preserve"> </w:t>
            </w:r>
            <w:r w:rsidR="009F3C6A" w:rsidRPr="00BB0E53">
              <w:rPr>
                <w:sz w:val="22"/>
                <w:szCs w:val="22"/>
              </w:rPr>
              <w:t>lub</w:t>
            </w:r>
            <w:r w:rsidR="004B32F6" w:rsidRPr="00BB0E53">
              <w:rPr>
                <w:sz w:val="22"/>
                <w:szCs w:val="22"/>
              </w:rPr>
              <w:t xml:space="preserve"> Standardu API.</w:t>
            </w:r>
          </w:p>
          <w:p w14:paraId="4B548054" w14:textId="5167E6D8" w:rsidR="000C3492" w:rsidRPr="00BB0E53" w:rsidRDefault="002968CF" w:rsidP="00BB0E53">
            <w:pPr>
              <w:jc w:val="both"/>
              <w:rPr>
                <w:sz w:val="22"/>
                <w:szCs w:val="22"/>
              </w:rPr>
            </w:pPr>
            <w:r w:rsidRPr="00BB0E53">
              <w:rPr>
                <w:sz w:val="22"/>
                <w:szCs w:val="22"/>
              </w:rPr>
              <w:t>Podsumowując</w:t>
            </w:r>
            <w:r w:rsidR="004B32F6" w:rsidRPr="00BB0E53">
              <w:rPr>
                <w:sz w:val="22"/>
                <w:szCs w:val="22"/>
              </w:rPr>
              <w:t>,</w:t>
            </w:r>
            <w:r w:rsidRPr="00BB0E53">
              <w:rPr>
                <w:sz w:val="22"/>
                <w:szCs w:val="22"/>
              </w:rPr>
              <w:t xml:space="preserve"> </w:t>
            </w:r>
            <w:r w:rsidR="00D03C46" w:rsidRPr="00BB0E53">
              <w:rPr>
                <w:sz w:val="22"/>
                <w:szCs w:val="22"/>
              </w:rPr>
              <w:t xml:space="preserve">zgodnie z zasadami wskazanymi </w:t>
            </w:r>
            <w:r w:rsidR="009F3C6A" w:rsidRPr="00BB0E53">
              <w:rPr>
                <w:sz w:val="22"/>
                <w:szCs w:val="22"/>
              </w:rPr>
              <w:t>w art. 13 projektu ustawy zob</w:t>
            </w:r>
            <w:r w:rsidR="004B32F6" w:rsidRPr="00BB0E53">
              <w:rPr>
                <w:sz w:val="22"/>
                <w:szCs w:val="22"/>
              </w:rPr>
              <w:t>ligowano</w:t>
            </w:r>
            <w:r w:rsidR="009F3C6A" w:rsidRPr="00BB0E53">
              <w:rPr>
                <w:sz w:val="22"/>
                <w:szCs w:val="22"/>
              </w:rPr>
              <w:t xml:space="preserve"> podmioty zobowiązane do </w:t>
            </w:r>
            <w:r w:rsidR="0084739D" w:rsidRPr="00BB0E53">
              <w:rPr>
                <w:sz w:val="22"/>
                <w:szCs w:val="22"/>
              </w:rPr>
              <w:t xml:space="preserve">realizacji wskazanego celu, czyli </w:t>
            </w:r>
            <w:r w:rsidR="003E60E7" w:rsidRPr="00BB0E53">
              <w:rPr>
                <w:sz w:val="22"/>
                <w:szCs w:val="22"/>
              </w:rPr>
              <w:t xml:space="preserve">m.in. </w:t>
            </w:r>
            <w:r w:rsidR="0084739D" w:rsidRPr="00BB0E53">
              <w:rPr>
                <w:sz w:val="22"/>
                <w:szCs w:val="22"/>
              </w:rPr>
              <w:t>zapewnienia</w:t>
            </w:r>
            <w:r w:rsidR="003E60E7" w:rsidRPr="00BB0E53">
              <w:rPr>
                <w:sz w:val="22"/>
                <w:szCs w:val="22"/>
              </w:rPr>
              <w:t xml:space="preserve">, dostępności, </w:t>
            </w:r>
            <w:r w:rsidR="003E60E7" w:rsidRPr="00BB0E53">
              <w:rPr>
                <w:sz w:val="22"/>
                <w:szCs w:val="22"/>
              </w:rPr>
              <w:lastRenderedPageBreak/>
              <w:t xml:space="preserve">poprawności, aktualności, kompletności i jakości informacji sektora publicznego. Na poziomie ustawowym nie jest możliwe wskazanie </w:t>
            </w:r>
            <w:r w:rsidR="009F3C6A" w:rsidRPr="00BB0E53">
              <w:rPr>
                <w:sz w:val="22"/>
                <w:szCs w:val="22"/>
              </w:rPr>
              <w:t>standardów,</w:t>
            </w:r>
            <w:r w:rsidR="003E60E7" w:rsidRPr="00BB0E53">
              <w:rPr>
                <w:sz w:val="22"/>
                <w:szCs w:val="22"/>
              </w:rPr>
              <w:t xml:space="preserve"> </w:t>
            </w:r>
            <w:r w:rsidR="001761C3" w:rsidRPr="00BB0E53">
              <w:rPr>
                <w:sz w:val="22"/>
                <w:szCs w:val="22"/>
              </w:rPr>
              <w:t xml:space="preserve">które </w:t>
            </w:r>
            <w:r w:rsidR="003E60E7" w:rsidRPr="00BB0E53">
              <w:rPr>
                <w:sz w:val="22"/>
                <w:szCs w:val="22"/>
              </w:rPr>
              <w:t>służyłyby realizacji tych celów. Standardy takie zostały</w:t>
            </w:r>
            <w:r w:rsidR="009F3C6A" w:rsidRPr="00BB0E53">
              <w:rPr>
                <w:sz w:val="22"/>
                <w:szCs w:val="22"/>
              </w:rPr>
              <w:t xml:space="preserve"> określone w</w:t>
            </w:r>
            <w:r w:rsidR="004B32F6" w:rsidRPr="00BB0E53">
              <w:rPr>
                <w:sz w:val="22"/>
                <w:szCs w:val="22"/>
              </w:rPr>
              <w:t> </w:t>
            </w:r>
            <w:r w:rsidR="004876FD" w:rsidRPr="00BB0E53">
              <w:rPr>
                <w:sz w:val="22"/>
                <w:szCs w:val="22"/>
              </w:rPr>
              <w:t xml:space="preserve">sposób szczegółowy </w:t>
            </w:r>
            <w:r w:rsidR="00940D7B" w:rsidRPr="00BB0E53">
              <w:rPr>
                <w:sz w:val="22"/>
                <w:szCs w:val="22"/>
              </w:rPr>
              <w:t>w </w:t>
            </w:r>
            <w:r w:rsidR="009F3C6A" w:rsidRPr="00BB0E53">
              <w:rPr>
                <w:sz w:val="22"/>
                <w:szCs w:val="22"/>
              </w:rPr>
              <w:t xml:space="preserve">instrumentach prawa miękkiego. </w:t>
            </w:r>
            <w:r w:rsidR="00013B26" w:rsidRPr="00BB0E53">
              <w:rPr>
                <w:sz w:val="22"/>
                <w:szCs w:val="22"/>
              </w:rPr>
              <w:t xml:space="preserve">Przywołane jako przykład Standardy otwartości danych opracowane zostały w 2018 r. i podlegają </w:t>
            </w:r>
            <w:r w:rsidR="00940D7B" w:rsidRPr="00BB0E53">
              <w:rPr>
                <w:sz w:val="22"/>
                <w:szCs w:val="22"/>
              </w:rPr>
              <w:t>dynamicznym</w:t>
            </w:r>
            <w:r w:rsidR="00013B26" w:rsidRPr="00BB0E53">
              <w:rPr>
                <w:sz w:val="22"/>
                <w:szCs w:val="22"/>
              </w:rPr>
              <w:t xml:space="preserve"> zmianom (np. ewaluacja z 2019 r.</w:t>
            </w:r>
            <w:r w:rsidR="00013B26" w:rsidRPr="00BB0E53">
              <w:rPr>
                <w:rStyle w:val="Odwoanieprzypisudolnego"/>
                <w:sz w:val="22"/>
                <w:szCs w:val="22"/>
              </w:rPr>
              <w:footnoteReference w:id="2"/>
            </w:r>
            <w:r w:rsidR="00013B26" w:rsidRPr="00BB0E53">
              <w:rPr>
                <w:sz w:val="22"/>
                <w:szCs w:val="22"/>
              </w:rPr>
              <w:t xml:space="preserve">). </w:t>
            </w:r>
            <w:r w:rsidR="002B759A" w:rsidRPr="00BB0E53">
              <w:rPr>
                <w:sz w:val="22"/>
                <w:szCs w:val="22"/>
              </w:rPr>
              <w:t>Jak wyjaśniono na wstępie zasady uregulowane w</w:t>
            </w:r>
            <w:r w:rsidR="00940D7B" w:rsidRPr="00BB0E53">
              <w:rPr>
                <w:sz w:val="22"/>
                <w:szCs w:val="22"/>
              </w:rPr>
              <w:t> </w:t>
            </w:r>
            <w:r w:rsidR="002B759A" w:rsidRPr="00BB0E53">
              <w:rPr>
                <w:sz w:val="22"/>
                <w:szCs w:val="22"/>
              </w:rPr>
              <w:t>art. 13 wskazują skutek jaki ma zostać osiągnięty. Podmiot zobowiązany</w:t>
            </w:r>
            <w:r w:rsidR="003630B5" w:rsidRPr="00BB0E53">
              <w:rPr>
                <w:sz w:val="22"/>
                <w:szCs w:val="22"/>
              </w:rPr>
              <w:t>,</w:t>
            </w:r>
            <w:r w:rsidR="002B759A" w:rsidRPr="00BB0E53">
              <w:rPr>
                <w:sz w:val="22"/>
                <w:szCs w:val="22"/>
              </w:rPr>
              <w:t xml:space="preserve"> postępują</w:t>
            </w:r>
            <w:r w:rsidR="00940D7B" w:rsidRPr="00BB0E53">
              <w:rPr>
                <w:sz w:val="22"/>
                <w:szCs w:val="22"/>
              </w:rPr>
              <w:t>c zgodnie z </w:t>
            </w:r>
            <w:r w:rsidR="002B759A" w:rsidRPr="00BB0E53">
              <w:rPr>
                <w:sz w:val="22"/>
                <w:szCs w:val="22"/>
              </w:rPr>
              <w:t>zasadami określonym w art. 13</w:t>
            </w:r>
            <w:r w:rsidR="003630B5" w:rsidRPr="00BB0E53">
              <w:rPr>
                <w:sz w:val="22"/>
                <w:szCs w:val="22"/>
              </w:rPr>
              <w:t>,</w:t>
            </w:r>
            <w:r w:rsidR="002B759A" w:rsidRPr="00BB0E53">
              <w:rPr>
                <w:sz w:val="22"/>
                <w:szCs w:val="22"/>
              </w:rPr>
              <w:t xml:space="preserve">  może odwołać się do standardó</w:t>
            </w:r>
            <w:r w:rsidR="00940D7B" w:rsidRPr="00BB0E53">
              <w:rPr>
                <w:sz w:val="22"/>
                <w:szCs w:val="22"/>
              </w:rPr>
              <w:t>w, w </w:t>
            </w:r>
            <w:r w:rsidR="003630B5" w:rsidRPr="00BB0E53">
              <w:rPr>
                <w:sz w:val="22"/>
                <w:szCs w:val="22"/>
              </w:rPr>
              <w:t>których opracowane został</w:t>
            </w:r>
            <w:r w:rsidR="00940D7B" w:rsidRPr="00BB0E53">
              <w:rPr>
                <w:sz w:val="22"/>
                <w:szCs w:val="22"/>
              </w:rPr>
              <w:t>y w </w:t>
            </w:r>
            <w:r w:rsidR="003630B5" w:rsidRPr="00BB0E53">
              <w:rPr>
                <w:sz w:val="22"/>
                <w:szCs w:val="22"/>
              </w:rPr>
              <w:t xml:space="preserve">sposób szczegółowy warunki jakie powinny zostać spełnione przy udostępnianiu do ponownego wykorzystywania </w:t>
            </w:r>
            <w:r w:rsidR="001761C3" w:rsidRPr="00BB0E53">
              <w:rPr>
                <w:sz w:val="22"/>
                <w:szCs w:val="22"/>
              </w:rPr>
              <w:t>informacji sektora publicznego</w:t>
            </w:r>
            <w:r w:rsidR="003630B5" w:rsidRPr="00BB0E53">
              <w:rPr>
                <w:sz w:val="22"/>
                <w:szCs w:val="22"/>
              </w:rPr>
              <w:t xml:space="preserve">. </w:t>
            </w:r>
          </w:p>
          <w:p w14:paraId="5E3CE118" w14:textId="259AE032" w:rsidR="003630B5" w:rsidRPr="00BB0E53" w:rsidRDefault="003630B5" w:rsidP="00BB0E53">
            <w:pPr>
              <w:jc w:val="both"/>
              <w:rPr>
                <w:sz w:val="22"/>
                <w:szCs w:val="22"/>
              </w:rPr>
            </w:pPr>
            <w:r w:rsidRPr="00BB0E53">
              <w:rPr>
                <w:sz w:val="22"/>
                <w:szCs w:val="22"/>
              </w:rPr>
              <w:t>Należy zauważyć, że podobny mechanizm zastosowano np. w </w:t>
            </w:r>
            <w:r w:rsidR="00940D7B" w:rsidRPr="00BB0E53">
              <w:rPr>
                <w:sz w:val="22"/>
                <w:szCs w:val="22"/>
              </w:rPr>
              <w:t xml:space="preserve">art. </w:t>
            </w:r>
            <w:r w:rsidRPr="00BB0E53">
              <w:rPr>
                <w:sz w:val="22"/>
                <w:szCs w:val="22"/>
              </w:rPr>
              <w:t>24 RODO</w:t>
            </w:r>
            <w:r w:rsidRPr="00BB0E53">
              <w:rPr>
                <w:rStyle w:val="Odwoanieprzypisudolnego"/>
                <w:sz w:val="22"/>
                <w:szCs w:val="22"/>
              </w:rPr>
              <w:footnoteReference w:id="3"/>
            </w:r>
            <w:r w:rsidRPr="00BB0E53">
              <w:rPr>
                <w:sz w:val="22"/>
                <w:szCs w:val="22"/>
              </w:rPr>
              <w:t xml:space="preserve">, zgodnie z którym administrator wdraża odpowiednie środki techniczne i organizacyjne, </w:t>
            </w:r>
            <w:r w:rsidRPr="00BB0E53">
              <w:rPr>
                <w:sz w:val="22"/>
                <w:szCs w:val="22"/>
              </w:rPr>
              <w:lastRenderedPageBreak/>
              <w:t xml:space="preserve">aby przetwarzanie odbywało się zgodnie z rozporządzeniem. Jednocześnie RODO nie reguluje wskazanych środków. Jako inny przykład należy wskazać problematykę anonimizacji. Zgodnie z obowiązującymi przepisami udostępniane dane muszą zostać poddane procesowi anonimizacji, przepisy nie regulują jednak technik anonimizacji. </w:t>
            </w:r>
            <w:r w:rsidR="0084739D" w:rsidRPr="00BB0E53">
              <w:rPr>
                <w:sz w:val="22"/>
                <w:szCs w:val="22"/>
              </w:rPr>
              <w:t xml:space="preserve">Z punktu widzenia przepisów ustawowych istotny jest skutek, jaki ma być osiągnięty, a nie metody jego realizacji. </w:t>
            </w:r>
          </w:p>
        </w:tc>
      </w:tr>
      <w:tr w:rsidR="00940D7B" w:rsidRPr="00BB0E53" w14:paraId="41CAB7A6" w14:textId="77777777" w:rsidTr="001C649B">
        <w:trPr>
          <w:jc w:val="center"/>
        </w:trPr>
        <w:tc>
          <w:tcPr>
            <w:tcW w:w="568" w:type="dxa"/>
            <w:shd w:val="clear" w:color="auto" w:fill="auto"/>
            <w:vAlign w:val="center"/>
          </w:tcPr>
          <w:p w14:paraId="323038C2" w14:textId="03CBFD06" w:rsidR="00FA2F13" w:rsidRPr="00BB0E53" w:rsidRDefault="00FA2F13" w:rsidP="00BB0E53">
            <w:pPr>
              <w:numPr>
                <w:ilvl w:val="0"/>
                <w:numId w:val="3"/>
              </w:numPr>
              <w:jc w:val="center"/>
              <w:rPr>
                <w:sz w:val="22"/>
                <w:szCs w:val="22"/>
              </w:rPr>
            </w:pPr>
          </w:p>
        </w:tc>
        <w:tc>
          <w:tcPr>
            <w:tcW w:w="1227" w:type="dxa"/>
            <w:shd w:val="clear" w:color="auto" w:fill="auto"/>
            <w:vAlign w:val="center"/>
          </w:tcPr>
          <w:p w14:paraId="7EFE3148" w14:textId="77777777" w:rsidR="00FA2F13" w:rsidRPr="00BB0E53" w:rsidRDefault="00FA2F13" w:rsidP="00BB0E53">
            <w:pPr>
              <w:jc w:val="center"/>
              <w:rPr>
                <w:sz w:val="22"/>
                <w:szCs w:val="22"/>
              </w:rPr>
            </w:pPr>
            <w:r w:rsidRPr="00BB0E53">
              <w:rPr>
                <w:sz w:val="22"/>
                <w:szCs w:val="22"/>
              </w:rPr>
              <w:t>RCL</w:t>
            </w:r>
          </w:p>
        </w:tc>
        <w:tc>
          <w:tcPr>
            <w:tcW w:w="1475" w:type="dxa"/>
            <w:shd w:val="clear" w:color="auto" w:fill="auto"/>
            <w:vAlign w:val="center"/>
          </w:tcPr>
          <w:p w14:paraId="78B589F1" w14:textId="77777777" w:rsidR="00FA2F13" w:rsidRPr="00BB0E53" w:rsidRDefault="00FA2F13" w:rsidP="00BB0E53">
            <w:pPr>
              <w:jc w:val="center"/>
              <w:rPr>
                <w:sz w:val="22"/>
                <w:szCs w:val="22"/>
              </w:rPr>
            </w:pPr>
            <w:r w:rsidRPr="00BB0E53">
              <w:rPr>
                <w:sz w:val="22"/>
                <w:szCs w:val="22"/>
              </w:rPr>
              <w:t>Art. 14</w:t>
            </w:r>
          </w:p>
        </w:tc>
        <w:tc>
          <w:tcPr>
            <w:tcW w:w="3777" w:type="dxa"/>
            <w:shd w:val="clear" w:color="auto" w:fill="auto"/>
          </w:tcPr>
          <w:p w14:paraId="6779ED3E" w14:textId="312947D2" w:rsidR="00FA2F13" w:rsidRPr="00BB0E53" w:rsidRDefault="00FA2F13" w:rsidP="00BB0E53">
            <w:pPr>
              <w:pStyle w:val="Akapitzlist"/>
              <w:spacing w:line="240" w:lineRule="auto"/>
              <w:ind w:left="0"/>
              <w:contextualSpacing w:val="0"/>
              <w:jc w:val="both"/>
              <w:rPr>
                <w:rFonts w:ascii="Times New Roman" w:hAnsi="Times New Roman"/>
              </w:rPr>
            </w:pPr>
            <w:r w:rsidRPr="00BB0E53">
              <w:rPr>
                <w:rFonts w:ascii="Times New Roman" w:hAnsi="Times New Roman"/>
              </w:rPr>
              <w:t>Rządowe Centrum Legislacji podtrzymuje uwagę do art. 14 w zakresie sprzeczności ust. 1, który wskazują na zasadę bezwarunkowego dostępu do danych, a ust. 5 tego przepisu dopuszcza możliwość ustalenia war</w:t>
            </w:r>
            <w:r w:rsidR="00641B91" w:rsidRPr="00BB0E53">
              <w:rPr>
                <w:rFonts w:ascii="Times New Roman" w:hAnsi="Times New Roman"/>
              </w:rPr>
              <w:t>unków dostępu, o których mowa w </w:t>
            </w:r>
            <w:r w:rsidRPr="00BB0E53">
              <w:rPr>
                <w:rFonts w:ascii="Times New Roman" w:hAnsi="Times New Roman"/>
              </w:rPr>
              <w:t xml:space="preserve">art. 15 w innych przypadkach niż określone w ust. 2 i 4. </w:t>
            </w:r>
          </w:p>
        </w:tc>
        <w:tc>
          <w:tcPr>
            <w:tcW w:w="3467" w:type="dxa"/>
            <w:shd w:val="clear" w:color="auto" w:fill="auto"/>
          </w:tcPr>
          <w:p w14:paraId="4B8F45C1" w14:textId="77777777" w:rsidR="00FA2F13" w:rsidRPr="00BB0E53" w:rsidRDefault="00FA2F13" w:rsidP="00BB0E53">
            <w:pPr>
              <w:jc w:val="both"/>
              <w:rPr>
                <w:sz w:val="22"/>
                <w:szCs w:val="22"/>
              </w:rPr>
            </w:pPr>
            <w:r w:rsidRPr="00BB0E53">
              <w:rPr>
                <w:sz w:val="22"/>
                <w:szCs w:val="22"/>
              </w:rPr>
              <w:t xml:space="preserve">Usunięcie ust. 5 i ustalenie wyczerpującego katalogu przypadków, w których dostęp do informacji sektora publicznego może być ograniczony warunkami dostępu. </w:t>
            </w:r>
          </w:p>
        </w:tc>
        <w:tc>
          <w:tcPr>
            <w:tcW w:w="3478" w:type="dxa"/>
          </w:tcPr>
          <w:p w14:paraId="563D3A38" w14:textId="66950E30" w:rsidR="00FA2F13" w:rsidRPr="00BB0E53" w:rsidRDefault="00A31BE8" w:rsidP="00BB0E53">
            <w:pPr>
              <w:jc w:val="both"/>
              <w:rPr>
                <w:b/>
                <w:sz w:val="22"/>
                <w:szCs w:val="22"/>
              </w:rPr>
            </w:pPr>
            <w:r w:rsidRPr="00BB0E53">
              <w:rPr>
                <w:b/>
                <w:sz w:val="22"/>
                <w:szCs w:val="22"/>
              </w:rPr>
              <w:t xml:space="preserve">Uwaga uwzględniona </w:t>
            </w:r>
          </w:p>
          <w:p w14:paraId="208070DB" w14:textId="77777777" w:rsidR="00A31BE8" w:rsidRPr="00BB0E53" w:rsidRDefault="00A31BE8" w:rsidP="00BB0E53">
            <w:pPr>
              <w:jc w:val="both"/>
              <w:rPr>
                <w:sz w:val="22"/>
                <w:szCs w:val="22"/>
              </w:rPr>
            </w:pPr>
            <w:r w:rsidRPr="00BB0E53">
              <w:rPr>
                <w:sz w:val="22"/>
                <w:szCs w:val="22"/>
              </w:rPr>
              <w:t xml:space="preserve">Przepis zostanie zmieniony.  </w:t>
            </w:r>
          </w:p>
          <w:p w14:paraId="5273DBF9" w14:textId="35BD2B63" w:rsidR="002C3C1D" w:rsidRPr="00BB0E53" w:rsidRDefault="002C3C1D" w:rsidP="00BB0E53">
            <w:pPr>
              <w:jc w:val="both"/>
              <w:rPr>
                <w:sz w:val="22"/>
                <w:szCs w:val="22"/>
              </w:rPr>
            </w:pPr>
            <w:r w:rsidRPr="00BB0E53">
              <w:rPr>
                <w:sz w:val="22"/>
                <w:szCs w:val="22"/>
              </w:rPr>
              <w:t>W zakresie ustalenia wyczerpującego katalogu przypadków, w których dostęp do ISP może być ograniczony warunkami dostępu projektodawca wyjaśnia</w:t>
            </w:r>
            <w:r w:rsidR="00940D7B" w:rsidRPr="00BB0E53">
              <w:rPr>
                <w:sz w:val="22"/>
                <w:szCs w:val="22"/>
              </w:rPr>
              <w:t xml:space="preserve"> dodatkowo</w:t>
            </w:r>
            <w:r w:rsidRPr="00BB0E53">
              <w:rPr>
                <w:sz w:val="22"/>
                <w:szCs w:val="22"/>
              </w:rPr>
              <w:t>, że</w:t>
            </w:r>
            <w:r w:rsidR="003B1724" w:rsidRPr="00BB0E53">
              <w:rPr>
                <w:sz w:val="22"/>
                <w:szCs w:val="22"/>
              </w:rPr>
              <w:t xml:space="preserve"> określenie warunków nie jest sposobem ograniczenia dostępu do informacji. </w:t>
            </w:r>
          </w:p>
        </w:tc>
      </w:tr>
      <w:tr w:rsidR="00940D7B" w:rsidRPr="00BB0E53" w14:paraId="2F1EC48C" w14:textId="77777777" w:rsidTr="001C649B">
        <w:trPr>
          <w:jc w:val="center"/>
        </w:trPr>
        <w:tc>
          <w:tcPr>
            <w:tcW w:w="568" w:type="dxa"/>
            <w:shd w:val="clear" w:color="auto" w:fill="auto"/>
            <w:vAlign w:val="center"/>
          </w:tcPr>
          <w:p w14:paraId="18F42D21" w14:textId="77777777" w:rsidR="00FA2F13" w:rsidRPr="00BB0E53" w:rsidRDefault="00FA2F13" w:rsidP="00BB0E53">
            <w:pPr>
              <w:numPr>
                <w:ilvl w:val="0"/>
                <w:numId w:val="3"/>
              </w:numPr>
              <w:jc w:val="center"/>
              <w:rPr>
                <w:sz w:val="22"/>
                <w:szCs w:val="22"/>
              </w:rPr>
            </w:pPr>
          </w:p>
        </w:tc>
        <w:tc>
          <w:tcPr>
            <w:tcW w:w="1227" w:type="dxa"/>
            <w:shd w:val="clear" w:color="auto" w:fill="auto"/>
            <w:vAlign w:val="center"/>
          </w:tcPr>
          <w:p w14:paraId="6A740BF3" w14:textId="77777777" w:rsidR="00FA2F13" w:rsidRPr="00BB0E53" w:rsidRDefault="00FA2F13" w:rsidP="00BB0E53">
            <w:pPr>
              <w:jc w:val="center"/>
              <w:rPr>
                <w:sz w:val="22"/>
                <w:szCs w:val="22"/>
              </w:rPr>
            </w:pPr>
            <w:r w:rsidRPr="00BB0E53">
              <w:rPr>
                <w:sz w:val="22"/>
                <w:szCs w:val="22"/>
              </w:rPr>
              <w:t>RCL</w:t>
            </w:r>
          </w:p>
        </w:tc>
        <w:tc>
          <w:tcPr>
            <w:tcW w:w="1475" w:type="dxa"/>
            <w:shd w:val="clear" w:color="auto" w:fill="auto"/>
            <w:vAlign w:val="center"/>
          </w:tcPr>
          <w:p w14:paraId="00FB55A1" w14:textId="77777777" w:rsidR="00FA2F13" w:rsidRPr="00BB0E53" w:rsidRDefault="00FA2F13" w:rsidP="00BB0E53">
            <w:pPr>
              <w:jc w:val="center"/>
              <w:rPr>
                <w:sz w:val="22"/>
                <w:szCs w:val="22"/>
              </w:rPr>
            </w:pPr>
            <w:r w:rsidRPr="00BB0E53">
              <w:rPr>
                <w:sz w:val="22"/>
                <w:szCs w:val="22"/>
              </w:rPr>
              <w:t>art. 42</w:t>
            </w:r>
          </w:p>
        </w:tc>
        <w:tc>
          <w:tcPr>
            <w:tcW w:w="3777" w:type="dxa"/>
            <w:shd w:val="clear" w:color="auto" w:fill="auto"/>
          </w:tcPr>
          <w:p w14:paraId="4510A7A0" w14:textId="77777777" w:rsidR="00FA2F13" w:rsidRPr="00BB0E53" w:rsidRDefault="00FA2F13" w:rsidP="00BB0E53">
            <w:pPr>
              <w:pStyle w:val="Akapitzlist"/>
              <w:spacing w:line="240" w:lineRule="auto"/>
              <w:ind w:left="0"/>
              <w:contextualSpacing w:val="0"/>
              <w:jc w:val="both"/>
              <w:rPr>
                <w:rFonts w:ascii="Times New Roman" w:hAnsi="Times New Roman"/>
              </w:rPr>
            </w:pPr>
            <w:r w:rsidRPr="00BB0E53">
              <w:rPr>
                <w:rFonts w:ascii="Times New Roman" w:hAnsi="Times New Roman"/>
              </w:rPr>
              <w:t xml:space="preserve">Przepis nie wskazuje wprost do kogo składany jest wniosek o ponowne wykorzystywanie. </w:t>
            </w:r>
          </w:p>
        </w:tc>
        <w:tc>
          <w:tcPr>
            <w:tcW w:w="3467" w:type="dxa"/>
            <w:shd w:val="clear" w:color="auto" w:fill="auto"/>
          </w:tcPr>
          <w:p w14:paraId="2AFB906D" w14:textId="77777777" w:rsidR="00FA2F13" w:rsidRPr="00BB0E53" w:rsidRDefault="00FA2F13" w:rsidP="00BB0E53">
            <w:pPr>
              <w:jc w:val="both"/>
              <w:rPr>
                <w:sz w:val="22"/>
                <w:szCs w:val="22"/>
              </w:rPr>
            </w:pPr>
            <w:r w:rsidRPr="00BB0E53">
              <w:rPr>
                <w:sz w:val="22"/>
                <w:szCs w:val="22"/>
              </w:rPr>
              <w:t xml:space="preserve">Przepis wymaga uzupełniania poprzez wskazanie, że wniosek wnosi się do pomiotu zobowiązanego, skoro art. 43 wskazuje, że to podmiot zobowiązany zawiadamia wnioskodawcę o przyczynach opóźnienia. </w:t>
            </w:r>
          </w:p>
        </w:tc>
        <w:tc>
          <w:tcPr>
            <w:tcW w:w="3478" w:type="dxa"/>
          </w:tcPr>
          <w:p w14:paraId="09D65D65" w14:textId="77777777" w:rsidR="00FA2F13" w:rsidRPr="00BB0E53" w:rsidRDefault="0006252C" w:rsidP="00BB0E53">
            <w:pPr>
              <w:jc w:val="both"/>
              <w:rPr>
                <w:b/>
                <w:sz w:val="22"/>
                <w:szCs w:val="22"/>
              </w:rPr>
            </w:pPr>
            <w:r w:rsidRPr="00BB0E53">
              <w:rPr>
                <w:b/>
                <w:sz w:val="22"/>
                <w:szCs w:val="22"/>
              </w:rPr>
              <w:t xml:space="preserve">Uwaga uwzględniona </w:t>
            </w:r>
          </w:p>
          <w:p w14:paraId="0FE068BD" w14:textId="1ABC3719" w:rsidR="0006252C" w:rsidRPr="00BB0E53" w:rsidRDefault="0006252C" w:rsidP="00BB0E53">
            <w:pPr>
              <w:jc w:val="both"/>
              <w:rPr>
                <w:sz w:val="22"/>
                <w:szCs w:val="22"/>
              </w:rPr>
            </w:pPr>
            <w:r w:rsidRPr="00BB0E53">
              <w:rPr>
                <w:sz w:val="22"/>
                <w:szCs w:val="22"/>
              </w:rPr>
              <w:t xml:space="preserve">Przepis zostanie zmieniony. </w:t>
            </w:r>
          </w:p>
        </w:tc>
      </w:tr>
      <w:tr w:rsidR="00940D7B" w:rsidRPr="00BB0E53" w14:paraId="47100A50" w14:textId="77777777" w:rsidTr="001C649B">
        <w:trPr>
          <w:jc w:val="center"/>
        </w:trPr>
        <w:tc>
          <w:tcPr>
            <w:tcW w:w="568" w:type="dxa"/>
            <w:shd w:val="clear" w:color="auto" w:fill="auto"/>
            <w:vAlign w:val="center"/>
          </w:tcPr>
          <w:p w14:paraId="4A66F6F1" w14:textId="77777777" w:rsidR="00FA2F13" w:rsidRPr="00BB0E53" w:rsidRDefault="00FA2F13" w:rsidP="00BB0E53">
            <w:pPr>
              <w:numPr>
                <w:ilvl w:val="0"/>
                <w:numId w:val="3"/>
              </w:numPr>
              <w:jc w:val="center"/>
              <w:rPr>
                <w:sz w:val="22"/>
                <w:szCs w:val="22"/>
              </w:rPr>
            </w:pPr>
          </w:p>
        </w:tc>
        <w:tc>
          <w:tcPr>
            <w:tcW w:w="1227" w:type="dxa"/>
            <w:shd w:val="clear" w:color="auto" w:fill="auto"/>
            <w:vAlign w:val="center"/>
          </w:tcPr>
          <w:p w14:paraId="6B1C4B59" w14:textId="77777777" w:rsidR="00FA2F13" w:rsidRPr="00BB0E53" w:rsidRDefault="00FA2F13" w:rsidP="00BB0E53">
            <w:pPr>
              <w:jc w:val="center"/>
              <w:rPr>
                <w:sz w:val="22"/>
                <w:szCs w:val="22"/>
              </w:rPr>
            </w:pPr>
            <w:r w:rsidRPr="00BB0E53">
              <w:rPr>
                <w:sz w:val="22"/>
                <w:szCs w:val="22"/>
              </w:rPr>
              <w:t>RCL</w:t>
            </w:r>
          </w:p>
        </w:tc>
        <w:tc>
          <w:tcPr>
            <w:tcW w:w="1475" w:type="dxa"/>
            <w:shd w:val="clear" w:color="auto" w:fill="auto"/>
            <w:vAlign w:val="center"/>
          </w:tcPr>
          <w:p w14:paraId="37838055" w14:textId="77777777" w:rsidR="00FA2F13" w:rsidRPr="00BB0E53" w:rsidRDefault="00FA2F13" w:rsidP="00BB0E53">
            <w:pPr>
              <w:jc w:val="center"/>
              <w:rPr>
                <w:sz w:val="22"/>
                <w:szCs w:val="22"/>
              </w:rPr>
            </w:pPr>
            <w:r w:rsidRPr="00BB0E53">
              <w:rPr>
                <w:sz w:val="22"/>
                <w:szCs w:val="22"/>
              </w:rPr>
              <w:t xml:space="preserve">art. 62 ust. 2 </w:t>
            </w:r>
          </w:p>
        </w:tc>
        <w:tc>
          <w:tcPr>
            <w:tcW w:w="3777" w:type="dxa"/>
            <w:shd w:val="clear" w:color="auto" w:fill="auto"/>
          </w:tcPr>
          <w:p w14:paraId="4ADEFF0A" w14:textId="36E805EA" w:rsidR="00FA2F13" w:rsidRPr="00BB0E53" w:rsidRDefault="00FA2F13" w:rsidP="00BB0E53">
            <w:pPr>
              <w:pStyle w:val="Akapitzlist"/>
              <w:spacing w:line="240" w:lineRule="auto"/>
              <w:ind w:left="0"/>
              <w:contextualSpacing w:val="0"/>
              <w:jc w:val="both"/>
              <w:rPr>
                <w:rFonts w:ascii="Times New Roman" w:hAnsi="Times New Roman"/>
              </w:rPr>
            </w:pPr>
            <w:r w:rsidRPr="00BB0E53">
              <w:rPr>
                <w:rFonts w:ascii="Times New Roman" w:hAnsi="Times New Roman"/>
              </w:rPr>
              <w:t xml:space="preserve">Konstrukcja zachowania w mocy przepisów wykonawczych wydanych na podstawie art. 80cf i 100an nie jest możliwa do utrzymania. Z uwagi na to, </w:t>
            </w:r>
            <w:r w:rsidRPr="00BB0E53">
              <w:rPr>
                <w:rFonts w:ascii="Times New Roman" w:hAnsi="Times New Roman"/>
              </w:rPr>
              <w:lastRenderedPageBreak/>
              <w:t>że upow</w:t>
            </w:r>
            <w:r w:rsidR="00641B91" w:rsidRPr="00BB0E53">
              <w:rPr>
                <w:rFonts w:ascii="Times New Roman" w:hAnsi="Times New Roman"/>
              </w:rPr>
              <w:t>ażnienia ustawowe z art. 80cf i </w:t>
            </w:r>
            <w:r w:rsidRPr="00BB0E53">
              <w:rPr>
                <w:rFonts w:ascii="Times New Roman" w:hAnsi="Times New Roman"/>
              </w:rPr>
              <w:t xml:space="preserve">100an ustawy – Prawo o ruchu drogowym,  formułując swój zakres przedmiotowy odsyła odpowiednio do art. 80ce i art. 100am, które wskazują, że ponowne udostępnienie informacji </w:t>
            </w:r>
            <w:r w:rsidR="00641B91" w:rsidRPr="00BB0E53">
              <w:rPr>
                <w:rFonts w:ascii="Times New Roman" w:hAnsi="Times New Roman"/>
              </w:rPr>
              <w:t>sektora publicznego zawartych w </w:t>
            </w:r>
            <w:r w:rsidRPr="00BB0E53">
              <w:rPr>
                <w:rFonts w:ascii="Times New Roman" w:hAnsi="Times New Roman"/>
              </w:rPr>
              <w:t xml:space="preserve">ewidencji pojazdów i kierowców następuje z zachowaniem przepisów ustawy o ponownym wykorzystywaniu informacji sektora publicznego to zgodnie z § 32 ust. 2 ZTP następuje zmiana dotycząca zakresu tego upoważnienia, której skutkiem jest utrata mocy obowiązującej rozporządzeń wydanych na podstawie tych upoważnień. Rozporządzenia wydane na podstawie tych przepisów odwołują się do definicji ponownego wykorzystywania zawartej w obecnie obowiązującej ustawie i posługują się tą definicją wskazując na cele ponownego wykorzystywania („w celu komercyjnym i niekomercyjnym”). Definicja ponownego wykorzystywania zawarta w nowej ustawie wskazuje, że ponowne wykorzystywanie „jest dokonywane w jakimkolwiek innym celu niż pierwotny publiczny cel, dla którego informacja została wytworzona, przetworzona, pozyskana lub zgromadzona.” </w:t>
            </w:r>
          </w:p>
        </w:tc>
        <w:tc>
          <w:tcPr>
            <w:tcW w:w="3467" w:type="dxa"/>
            <w:shd w:val="clear" w:color="auto" w:fill="auto"/>
          </w:tcPr>
          <w:p w14:paraId="67EB0B61" w14:textId="3B84370A" w:rsidR="00FA2F13" w:rsidRPr="00BB0E53" w:rsidRDefault="00FA2F13" w:rsidP="00BB0E53">
            <w:pPr>
              <w:jc w:val="both"/>
              <w:rPr>
                <w:sz w:val="22"/>
                <w:szCs w:val="22"/>
              </w:rPr>
            </w:pPr>
            <w:r w:rsidRPr="00BB0E53">
              <w:rPr>
                <w:sz w:val="22"/>
                <w:szCs w:val="22"/>
              </w:rPr>
              <w:lastRenderedPageBreak/>
              <w:t>Objęcie przepisów wykonawczych wy</w:t>
            </w:r>
            <w:r w:rsidR="00641B91" w:rsidRPr="00BB0E53">
              <w:rPr>
                <w:sz w:val="22"/>
                <w:szCs w:val="22"/>
              </w:rPr>
              <w:t>danych na podstawie art. 80cf i </w:t>
            </w:r>
            <w:r w:rsidRPr="00BB0E53">
              <w:rPr>
                <w:sz w:val="22"/>
                <w:szCs w:val="22"/>
              </w:rPr>
              <w:t xml:space="preserve">100 </w:t>
            </w:r>
            <w:proofErr w:type="spellStart"/>
            <w:r w:rsidRPr="00BB0E53">
              <w:rPr>
                <w:sz w:val="22"/>
                <w:szCs w:val="22"/>
              </w:rPr>
              <w:t>an</w:t>
            </w:r>
            <w:proofErr w:type="spellEnd"/>
            <w:r w:rsidRPr="00BB0E53">
              <w:rPr>
                <w:sz w:val="22"/>
                <w:szCs w:val="22"/>
              </w:rPr>
              <w:t xml:space="preserve"> dyspozycją art. 62 ust. 1 projektu, utrzymanie ich w mocy </w:t>
            </w:r>
            <w:r w:rsidRPr="00BB0E53">
              <w:rPr>
                <w:sz w:val="22"/>
                <w:szCs w:val="22"/>
              </w:rPr>
              <w:lastRenderedPageBreak/>
              <w:t>obowi</w:t>
            </w:r>
            <w:r w:rsidR="00641B91" w:rsidRPr="00BB0E53">
              <w:rPr>
                <w:sz w:val="22"/>
                <w:szCs w:val="22"/>
              </w:rPr>
              <w:t>ązującej przez określony czas i </w:t>
            </w:r>
            <w:r w:rsidRPr="00BB0E53">
              <w:rPr>
                <w:sz w:val="22"/>
                <w:szCs w:val="22"/>
              </w:rPr>
              <w:t xml:space="preserve">następnie wydanie nowego aktu wykonawczego na podstawie zmienionego upoważnienia modyfikującego cel ponownego wykorzystywania. </w:t>
            </w:r>
          </w:p>
          <w:p w14:paraId="3F2085E5" w14:textId="3A900705" w:rsidR="00FA2F13" w:rsidRPr="00BB0E53" w:rsidRDefault="00FA2F13" w:rsidP="00BB0E53">
            <w:pPr>
              <w:jc w:val="both"/>
              <w:rPr>
                <w:sz w:val="22"/>
                <w:szCs w:val="22"/>
              </w:rPr>
            </w:pPr>
            <w:r w:rsidRPr="00BB0E53">
              <w:rPr>
                <w:sz w:val="22"/>
                <w:szCs w:val="22"/>
              </w:rPr>
              <w:t>Na marginesie należy zauważyć, że  ww. akty wykonawcze w bieżącym roku  będą wymagały stos</w:t>
            </w:r>
            <w:r w:rsidR="00641B91" w:rsidRPr="00BB0E53">
              <w:rPr>
                <w:sz w:val="22"/>
                <w:szCs w:val="22"/>
              </w:rPr>
              <w:t>owanej nowelizacji w  związku z </w:t>
            </w:r>
            <w:r w:rsidRPr="00BB0E53">
              <w:rPr>
                <w:sz w:val="22"/>
                <w:szCs w:val="22"/>
              </w:rPr>
              <w:t>upływającym w maju terminem wydania komunikatu, o którym mowa w art. 7 ustawy z dnia 24 listopada 2017 r. o zmianie us</w:t>
            </w:r>
            <w:r w:rsidR="00641B91" w:rsidRPr="00BB0E53">
              <w:rPr>
                <w:sz w:val="22"/>
                <w:szCs w:val="22"/>
              </w:rPr>
              <w:t>tawy – Prawo o ruchu drogowym i </w:t>
            </w:r>
            <w:r w:rsidRPr="00BB0E53">
              <w:rPr>
                <w:sz w:val="22"/>
                <w:szCs w:val="22"/>
              </w:rPr>
              <w:t>niektórych innyc</w:t>
            </w:r>
            <w:r w:rsidR="00641B91" w:rsidRPr="00BB0E53">
              <w:rPr>
                <w:sz w:val="22"/>
                <w:szCs w:val="22"/>
              </w:rPr>
              <w:t>h ustaw (Dz. U. z </w:t>
            </w:r>
            <w:r w:rsidRPr="00BB0E53">
              <w:rPr>
                <w:sz w:val="22"/>
                <w:szCs w:val="22"/>
              </w:rPr>
              <w:t>2018 r. poz. 79 i 957 oraz z 2019 r. poz. 53) i związanym z nim terminem udostępnienia w systemie teleinformatycznym funkcjonalności umożliwiającej prowadzenie  w tym systemie wykazu pojazdów używanych w ruchu drogowym przez podmiot uprawniony do profesjonalnej rejestracji pojazdów (art. 80x ustawy – Prawo o ruchu drogowym)</w:t>
            </w:r>
          </w:p>
        </w:tc>
        <w:tc>
          <w:tcPr>
            <w:tcW w:w="3478" w:type="dxa"/>
          </w:tcPr>
          <w:p w14:paraId="30094B5B" w14:textId="77777777" w:rsidR="00FA2F13" w:rsidRPr="00BB0E53" w:rsidRDefault="00C27846" w:rsidP="00BB0E53">
            <w:pPr>
              <w:jc w:val="both"/>
              <w:rPr>
                <w:b/>
                <w:sz w:val="22"/>
                <w:szCs w:val="22"/>
              </w:rPr>
            </w:pPr>
            <w:r w:rsidRPr="00BB0E53">
              <w:rPr>
                <w:b/>
                <w:sz w:val="22"/>
                <w:szCs w:val="22"/>
              </w:rPr>
              <w:lastRenderedPageBreak/>
              <w:t xml:space="preserve">Uwaga uwzględniona </w:t>
            </w:r>
          </w:p>
          <w:p w14:paraId="5DBD6D1E" w14:textId="5BC813D3" w:rsidR="00C27846" w:rsidRPr="00BB0E53" w:rsidRDefault="00C27846" w:rsidP="00BB0E53">
            <w:pPr>
              <w:jc w:val="both"/>
              <w:rPr>
                <w:sz w:val="22"/>
                <w:szCs w:val="22"/>
              </w:rPr>
            </w:pPr>
            <w:r w:rsidRPr="00BB0E53">
              <w:rPr>
                <w:sz w:val="22"/>
                <w:szCs w:val="22"/>
              </w:rPr>
              <w:t>Przepis zostanie zmieniony</w:t>
            </w:r>
            <w:r w:rsidR="003E6875" w:rsidRPr="00BB0E53">
              <w:rPr>
                <w:sz w:val="22"/>
                <w:szCs w:val="22"/>
              </w:rPr>
              <w:t>.</w:t>
            </w:r>
          </w:p>
        </w:tc>
      </w:tr>
      <w:tr w:rsidR="00940D7B" w:rsidRPr="00BB0E53" w14:paraId="6BB78375" w14:textId="77777777" w:rsidTr="001C649B">
        <w:trPr>
          <w:jc w:val="center"/>
        </w:trPr>
        <w:tc>
          <w:tcPr>
            <w:tcW w:w="568" w:type="dxa"/>
            <w:shd w:val="clear" w:color="auto" w:fill="auto"/>
            <w:vAlign w:val="center"/>
          </w:tcPr>
          <w:p w14:paraId="5362E0B1" w14:textId="77777777" w:rsidR="000C469E" w:rsidRPr="00BB0E53" w:rsidRDefault="000C469E" w:rsidP="00BB0E53">
            <w:pPr>
              <w:numPr>
                <w:ilvl w:val="0"/>
                <w:numId w:val="3"/>
              </w:numPr>
              <w:jc w:val="center"/>
              <w:rPr>
                <w:sz w:val="22"/>
                <w:szCs w:val="22"/>
              </w:rPr>
            </w:pPr>
          </w:p>
        </w:tc>
        <w:tc>
          <w:tcPr>
            <w:tcW w:w="1227" w:type="dxa"/>
            <w:shd w:val="clear" w:color="auto" w:fill="auto"/>
            <w:vAlign w:val="center"/>
          </w:tcPr>
          <w:p w14:paraId="1352C35D" w14:textId="4B0A266A" w:rsidR="000C469E" w:rsidRPr="00BB0E53" w:rsidRDefault="002467A2" w:rsidP="00BB0E53">
            <w:pPr>
              <w:jc w:val="center"/>
              <w:rPr>
                <w:sz w:val="22"/>
                <w:szCs w:val="22"/>
              </w:rPr>
            </w:pPr>
            <w:r w:rsidRPr="00BB0E53">
              <w:rPr>
                <w:sz w:val="22"/>
                <w:szCs w:val="22"/>
              </w:rPr>
              <w:t>GUS</w:t>
            </w:r>
          </w:p>
        </w:tc>
        <w:tc>
          <w:tcPr>
            <w:tcW w:w="1475" w:type="dxa"/>
            <w:shd w:val="clear" w:color="auto" w:fill="auto"/>
            <w:vAlign w:val="center"/>
          </w:tcPr>
          <w:p w14:paraId="691D9130" w14:textId="3D86C600" w:rsidR="000C469E" w:rsidRPr="00BB0E53" w:rsidRDefault="002467A2" w:rsidP="00BB0E53">
            <w:pPr>
              <w:jc w:val="center"/>
              <w:rPr>
                <w:sz w:val="22"/>
                <w:szCs w:val="22"/>
              </w:rPr>
            </w:pPr>
            <w:r w:rsidRPr="00BB0E53">
              <w:rPr>
                <w:sz w:val="22"/>
                <w:szCs w:val="22"/>
              </w:rPr>
              <w:t>Art. 6</w:t>
            </w:r>
          </w:p>
        </w:tc>
        <w:tc>
          <w:tcPr>
            <w:tcW w:w="3777" w:type="dxa"/>
            <w:shd w:val="clear" w:color="auto" w:fill="auto"/>
          </w:tcPr>
          <w:p w14:paraId="7EB9D846" w14:textId="461D7131" w:rsidR="002467A2" w:rsidRPr="00BB0E53" w:rsidRDefault="002467A2" w:rsidP="00BB0E53">
            <w:pPr>
              <w:jc w:val="both"/>
              <w:rPr>
                <w:sz w:val="22"/>
                <w:szCs w:val="22"/>
              </w:rPr>
            </w:pPr>
            <w:r w:rsidRPr="00BB0E53">
              <w:rPr>
                <w:sz w:val="22"/>
                <w:szCs w:val="22"/>
              </w:rPr>
              <w:t xml:space="preserve">GUS podtrzymuje uwagę zgłoszoną przy pismach: z dnia 11 września 2020 r. oraz z dnia 10 grudnia 2020 r. dotyczącą </w:t>
            </w:r>
            <w:r w:rsidRPr="00BB0E53">
              <w:rPr>
                <w:b/>
                <w:sz w:val="22"/>
                <w:szCs w:val="22"/>
              </w:rPr>
              <w:t>art. 6</w:t>
            </w:r>
            <w:r w:rsidRPr="00BB0E53">
              <w:rPr>
                <w:sz w:val="22"/>
                <w:szCs w:val="22"/>
              </w:rPr>
              <w:t xml:space="preserve"> projektowanej ustawy (</w:t>
            </w:r>
            <w:r w:rsidRPr="00BB0E53">
              <w:rPr>
                <w:i/>
                <w:sz w:val="22"/>
                <w:szCs w:val="22"/>
              </w:rPr>
              <w:t>vide</w:t>
            </w:r>
            <w:r w:rsidRPr="00BB0E53">
              <w:rPr>
                <w:sz w:val="22"/>
                <w:szCs w:val="22"/>
              </w:rPr>
              <w:t xml:space="preserve"> uwaga </w:t>
            </w:r>
            <w:r w:rsidRPr="00BB0E53">
              <w:rPr>
                <w:sz w:val="22"/>
                <w:szCs w:val="22"/>
              </w:rPr>
              <w:lastRenderedPageBreak/>
              <w:t>nr 20 w zestawieniu uwag dołączonym do pisma z dnia 13 stycznia 2021 r., znak DAIP.WOKRM.0102.14.1.2021(3)).</w:t>
            </w:r>
          </w:p>
          <w:p w14:paraId="3AAB01EC" w14:textId="77777777" w:rsidR="002467A2" w:rsidRPr="00BB0E53" w:rsidRDefault="002467A2" w:rsidP="00BB0E53">
            <w:pPr>
              <w:jc w:val="both"/>
              <w:rPr>
                <w:sz w:val="22"/>
                <w:szCs w:val="22"/>
              </w:rPr>
            </w:pPr>
            <w:r w:rsidRPr="00BB0E53">
              <w:rPr>
                <w:sz w:val="22"/>
                <w:szCs w:val="22"/>
              </w:rPr>
              <w:t xml:space="preserve">GUS po raz kolejny zwraca uwagę na konieczność </w:t>
            </w:r>
            <w:r w:rsidRPr="00BB0E53">
              <w:rPr>
                <w:b/>
                <w:sz w:val="22"/>
                <w:szCs w:val="22"/>
              </w:rPr>
              <w:t>nadania w art. 6</w:t>
            </w:r>
            <w:r w:rsidRPr="00BB0E53">
              <w:rPr>
                <w:sz w:val="22"/>
                <w:szCs w:val="22"/>
              </w:rPr>
              <w:t xml:space="preserve"> </w:t>
            </w:r>
            <w:r w:rsidRPr="00BB0E53">
              <w:rPr>
                <w:b/>
                <w:sz w:val="22"/>
                <w:szCs w:val="22"/>
              </w:rPr>
              <w:t>następującego brzmienia ust. 1</w:t>
            </w:r>
            <w:r w:rsidRPr="00BB0E53">
              <w:rPr>
                <w:sz w:val="22"/>
                <w:szCs w:val="22"/>
              </w:rPr>
              <w:t>:</w:t>
            </w:r>
          </w:p>
          <w:p w14:paraId="4D758463" w14:textId="415DC65D" w:rsidR="002467A2" w:rsidRPr="00BB0E53" w:rsidRDefault="002467A2" w:rsidP="00BB0E53">
            <w:pPr>
              <w:ind w:left="299"/>
              <w:jc w:val="both"/>
              <w:rPr>
                <w:sz w:val="22"/>
                <w:szCs w:val="22"/>
              </w:rPr>
            </w:pPr>
            <w:r w:rsidRPr="00BB0E53">
              <w:rPr>
                <w:sz w:val="22"/>
                <w:szCs w:val="22"/>
              </w:rPr>
              <w:t xml:space="preserve">„1. Prawo do ponownego wykorzystywania podlega ograniczeniom w zakresie i na zasadach określonych w przepisach o ochronie informacji niejawnych, </w:t>
            </w:r>
            <w:r w:rsidRPr="00BB0E53">
              <w:rPr>
                <w:b/>
                <w:sz w:val="22"/>
                <w:szCs w:val="22"/>
              </w:rPr>
              <w:t>o ochronie tajemnicy statystycznej</w:t>
            </w:r>
            <w:r w:rsidRPr="00BB0E53">
              <w:rPr>
                <w:sz w:val="22"/>
                <w:szCs w:val="22"/>
              </w:rPr>
              <w:t xml:space="preserve"> oraz o ochronie innych tajemnic ustawowo chronionych.”.</w:t>
            </w:r>
          </w:p>
          <w:p w14:paraId="2E57C670" w14:textId="4FD50999" w:rsidR="000C469E" w:rsidRPr="00BB0E53" w:rsidRDefault="002467A2" w:rsidP="00BB0E53">
            <w:pPr>
              <w:pStyle w:val="Akapitzlist"/>
              <w:spacing w:line="240" w:lineRule="auto"/>
              <w:ind w:left="0"/>
              <w:contextualSpacing w:val="0"/>
              <w:jc w:val="both"/>
              <w:rPr>
                <w:rFonts w:ascii="Times New Roman" w:hAnsi="Times New Roman"/>
              </w:rPr>
            </w:pPr>
            <w:r w:rsidRPr="00BB0E53">
              <w:rPr>
                <w:rFonts w:ascii="Times New Roman" w:eastAsia="Times New Roman" w:hAnsi="Times New Roman"/>
                <w:lang w:eastAsia="pl-PL"/>
              </w:rPr>
              <w:t>Proponowane brzmienie ust. 1 jest niezbędne dla podkreślenia znaczenia tajemnicy statystycznej, jako przesłanki uzasadniającej ograniczenie prawa do ponownego wykorzystywania i</w:t>
            </w:r>
            <w:r w:rsidR="002B4D7A" w:rsidRPr="00BB0E53">
              <w:rPr>
                <w:rFonts w:ascii="Times New Roman" w:eastAsia="Times New Roman" w:hAnsi="Times New Roman"/>
                <w:lang w:eastAsia="pl-PL"/>
              </w:rPr>
              <w:t>nformacji sektora publicznego w </w:t>
            </w:r>
            <w:r w:rsidRPr="00BB0E53">
              <w:rPr>
                <w:rFonts w:ascii="Times New Roman" w:eastAsia="Times New Roman" w:hAnsi="Times New Roman"/>
                <w:lang w:eastAsia="pl-PL"/>
              </w:rPr>
              <w:t xml:space="preserve">zakresie danych statystycznych. Uwypuklenie w omawianym przepisie tajemnicy statystycznej ma na celu dostosowanie projektowanej ustawy do dyrektywy 2019/1024 Parlamentu Europejskiego i Rady z dnia 20 czerwca 2019 </w:t>
            </w:r>
            <w:r w:rsidR="002B4D7A" w:rsidRPr="00BB0E53">
              <w:rPr>
                <w:rFonts w:ascii="Times New Roman" w:eastAsia="Times New Roman" w:hAnsi="Times New Roman"/>
                <w:lang w:eastAsia="pl-PL"/>
              </w:rPr>
              <w:t>r. w sprawie otwartych danych i </w:t>
            </w:r>
            <w:r w:rsidRPr="00BB0E53">
              <w:rPr>
                <w:rFonts w:ascii="Times New Roman" w:eastAsia="Times New Roman" w:hAnsi="Times New Roman"/>
                <w:lang w:eastAsia="pl-PL"/>
              </w:rPr>
              <w:t xml:space="preserve">ponownego wykorzystywania informacji sektora publicznego (Dz. Urz. UE L 172 z 26.08.1919, z. 156), dalej: „dyrektywa 2019/1024”. W art. 2 ust. 2 lit. d tej dyrektywy wskazano, że nie ma ona zastosowania do dokumentów, takich jak dane wrażliwe, które są wyłączone z dostępu na podstawie systemów dostępu państwa </w:t>
            </w:r>
            <w:r w:rsidRPr="00BB0E53">
              <w:rPr>
                <w:rFonts w:ascii="Times New Roman" w:eastAsia="Times New Roman" w:hAnsi="Times New Roman"/>
                <w:lang w:eastAsia="pl-PL"/>
              </w:rPr>
              <w:lastRenderedPageBreak/>
              <w:t xml:space="preserve">członkowskiego, </w:t>
            </w:r>
            <w:r w:rsidRPr="00BB0E53">
              <w:rPr>
                <w:rFonts w:ascii="Times New Roman" w:eastAsia="Times New Roman" w:hAnsi="Times New Roman"/>
                <w:b/>
                <w:lang w:eastAsia="pl-PL"/>
              </w:rPr>
              <w:t>w tym ze względu właśnie na tajemnicę statystyczną (zatem prawodawca unijny podkreślił szczególny charakter tajemnicy statystycznej)</w:t>
            </w:r>
            <w:r w:rsidRPr="00BB0E53">
              <w:rPr>
                <w:rFonts w:ascii="Times New Roman" w:eastAsia="Times New Roman" w:hAnsi="Times New Roman"/>
                <w:lang w:eastAsia="pl-PL"/>
              </w:rPr>
              <w:t>. Należy mieć na uwadze, że zobowiązania międzynarodowe Polski w zakresie statystyki publicznej oraz zadania realizowane przez polską statystykę publiczną są stale monitorowane przez organizacje międzynarodowe, zarówno w zakresie po</w:t>
            </w:r>
            <w:r w:rsidR="002B4D7A" w:rsidRPr="00BB0E53">
              <w:rPr>
                <w:rFonts w:ascii="Times New Roman" w:eastAsia="Times New Roman" w:hAnsi="Times New Roman"/>
                <w:lang w:eastAsia="pl-PL"/>
              </w:rPr>
              <w:t>dstaw prawnych działania, jak i </w:t>
            </w:r>
            <w:r w:rsidRPr="00BB0E53">
              <w:rPr>
                <w:rFonts w:ascii="Times New Roman" w:eastAsia="Times New Roman" w:hAnsi="Times New Roman"/>
                <w:lang w:eastAsia="pl-PL"/>
              </w:rPr>
              <w:t>realizacji badań statystycznych.</w:t>
            </w:r>
          </w:p>
        </w:tc>
        <w:tc>
          <w:tcPr>
            <w:tcW w:w="3467" w:type="dxa"/>
            <w:shd w:val="clear" w:color="auto" w:fill="auto"/>
          </w:tcPr>
          <w:p w14:paraId="3FE2D93D" w14:textId="5E9C80BA" w:rsidR="002467A2" w:rsidRPr="00BB0E53" w:rsidRDefault="002467A2" w:rsidP="00BB0E53">
            <w:pPr>
              <w:jc w:val="both"/>
              <w:rPr>
                <w:sz w:val="22"/>
                <w:szCs w:val="22"/>
              </w:rPr>
            </w:pPr>
            <w:r w:rsidRPr="00BB0E53">
              <w:rPr>
                <w:sz w:val="22"/>
                <w:szCs w:val="22"/>
              </w:rPr>
              <w:lastRenderedPageBreak/>
              <w:t>„</w:t>
            </w:r>
            <w:r w:rsidRPr="00BB0E53">
              <w:rPr>
                <w:b/>
                <w:sz w:val="22"/>
                <w:szCs w:val="22"/>
              </w:rPr>
              <w:t>Art. 6.</w:t>
            </w:r>
            <w:r w:rsidRPr="00BB0E53">
              <w:rPr>
                <w:sz w:val="22"/>
                <w:szCs w:val="22"/>
              </w:rPr>
              <w:t xml:space="preserve"> 1. Prawo do ponownego wykorzystywania podlega ograniczeniom w zakresie i na zasada</w:t>
            </w:r>
            <w:r w:rsidR="002B4D7A" w:rsidRPr="00BB0E53">
              <w:rPr>
                <w:sz w:val="22"/>
                <w:szCs w:val="22"/>
              </w:rPr>
              <w:t xml:space="preserve">ch określonych w przepisach </w:t>
            </w:r>
            <w:r w:rsidR="002B4D7A" w:rsidRPr="00BB0E53">
              <w:rPr>
                <w:sz w:val="22"/>
                <w:szCs w:val="22"/>
              </w:rPr>
              <w:lastRenderedPageBreak/>
              <w:t>o </w:t>
            </w:r>
            <w:r w:rsidRPr="00BB0E53">
              <w:rPr>
                <w:sz w:val="22"/>
                <w:szCs w:val="22"/>
              </w:rPr>
              <w:t xml:space="preserve">ochronie informacji niejawnych, </w:t>
            </w:r>
            <w:r w:rsidR="002B4D7A" w:rsidRPr="00BB0E53">
              <w:rPr>
                <w:b/>
                <w:sz w:val="22"/>
                <w:szCs w:val="22"/>
              </w:rPr>
              <w:t>o </w:t>
            </w:r>
            <w:r w:rsidRPr="00BB0E53">
              <w:rPr>
                <w:b/>
                <w:sz w:val="22"/>
                <w:szCs w:val="22"/>
              </w:rPr>
              <w:t>ochronie tajemnicy statystycznej</w:t>
            </w:r>
            <w:r w:rsidRPr="00BB0E53">
              <w:rPr>
                <w:sz w:val="22"/>
                <w:szCs w:val="22"/>
              </w:rPr>
              <w:t xml:space="preserve"> oraz o ochronie innych tajemnic ustawowo chronionych.”.</w:t>
            </w:r>
          </w:p>
          <w:p w14:paraId="78649505" w14:textId="77777777" w:rsidR="000C469E" w:rsidRPr="00BB0E53" w:rsidRDefault="000C469E" w:rsidP="00BB0E53">
            <w:pPr>
              <w:jc w:val="both"/>
              <w:rPr>
                <w:sz w:val="22"/>
                <w:szCs w:val="22"/>
              </w:rPr>
            </w:pPr>
          </w:p>
        </w:tc>
        <w:tc>
          <w:tcPr>
            <w:tcW w:w="3478" w:type="dxa"/>
          </w:tcPr>
          <w:p w14:paraId="1155B6C9" w14:textId="77777777" w:rsidR="002B4D7A" w:rsidRPr="00BB0E53" w:rsidRDefault="002B4D7A" w:rsidP="00BB0E53">
            <w:pPr>
              <w:jc w:val="both"/>
              <w:rPr>
                <w:b/>
                <w:sz w:val="22"/>
                <w:szCs w:val="22"/>
              </w:rPr>
            </w:pPr>
            <w:r w:rsidRPr="00BB0E53">
              <w:rPr>
                <w:b/>
                <w:sz w:val="22"/>
                <w:szCs w:val="22"/>
              </w:rPr>
              <w:lastRenderedPageBreak/>
              <w:t>Uwaga nieuwzględniona</w:t>
            </w:r>
          </w:p>
          <w:p w14:paraId="5F2F9DCD" w14:textId="6881286B" w:rsidR="00B830BB" w:rsidRPr="00BB0E53" w:rsidRDefault="002B4D7A" w:rsidP="00BB0E53">
            <w:pPr>
              <w:jc w:val="both"/>
              <w:rPr>
                <w:sz w:val="22"/>
                <w:szCs w:val="22"/>
              </w:rPr>
            </w:pPr>
            <w:r w:rsidRPr="00BB0E53">
              <w:rPr>
                <w:sz w:val="22"/>
                <w:szCs w:val="22"/>
              </w:rPr>
              <w:t xml:space="preserve">Tajemnica statystyczna jest inną tajemnicą ustawowo chronią w związku z powyższym </w:t>
            </w:r>
            <w:r w:rsidRPr="00BB0E53">
              <w:rPr>
                <w:sz w:val="22"/>
                <w:szCs w:val="22"/>
              </w:rPr>
              <w:lastRenderedPageBreak/>
              <w:t>niezasadnym byłoby jej doda</w:t>
            </w:r>
            <w:r w:rsidR="00CC6FD0" w:rsidRPr="00BB0E53">
              <w:rPr>
                <w:sz w:val="22"/>
                <w:szCs w:val="22"/>
              </w:rPr>
              <w:t>tkowe (oddzielne) wymienianie w </w:t>
            </w:r>
            <w:r w:rsidRPr="00BB0E53">
              <w:rPr>
                <w:sz w:val="22"/>
                <w:szCs w:val="22"/>
              </w:rPr>
              <w:t>przepisach projektowanej ustawy. Tajemnica statyczna jest już „ujęta” w art. 6 ust. 1 projektu. Przepis art. 6 ust. 1 projektu ustawy jest tożsamy z</w:t>
            </w:r>
            <w:r w:rsidR="00C90DA4" w:rsidRPr="00BB0E53">
              <w:rPr>
                <w:sz w:val="22"/>
                <w:szCs w:val="22"/>
              </w:rPr>
              <w:t xml:space="preserve"> </w:t>
            </w:r>
            <w:r w:rsidRPr="00BB0E53">
              <w:rPr>
                <w:sz w:val="22"/>
                <w:szCs w:val="22"/>
              </w:rPr>
              <w:t xml:space="preserve">obecnie obowiązującym przepisami – art. 6 ust. 1 ustawy z 2016 r. Przepis ten nie budził wątpliwości interpretacyjnych w zakresie dot. ograniczenia prawa do ponownego wykorzystywania ze względu na tajemnicę statyczną. Art. 6 ust. 1 projektu ustawy oraz art. 6 ust. 1 ustawy z 2016 r. nie zostały również zakwestionowane jako niezgodne z prawem Unii Europejskiej. Art. 6 ust. 1 projektu ustawy w pełni implementuje art. 1 ust. 2 lit d (w uwadze GUS wskazano błędnie jednostkę redakcyjną  dyrektywy – art. 2 ust. 2 lit. d), ponieważ wskazana w przepisach dyrektywy </w:t>
            </w:r>
            <w:r w:rsidRPr="00BB0E53">
              <w:rPr>
                <w:b/>
                <w:sz w:val="22"/>
                <w:szCs w:val="22"/>
              </w:rPr>
              <w:t>tajemnica statystyczna w polskich przepisach stanowi inną tajemnicę ustawową chronioną</w:t>
            </w:r>
            <w:r w:rsidRPr="00BB0E53">
              <w:rPr>
                <w:sz w:val="22"/>
                <w:szCs w:val="22"/>
              </w:rPr>
              <w:t>. Innymi tajemnicami ustawowo chronionymi, których równie</w:t>
            </w:r>
            <w:r w:rsidR="00690741" w:rsidRPr="00BB0E53">
              <w:rPr>
                <w:sz w:val="22"/>
                <w:szCs w:val="22"/>
              </w:rPr>
              <w:t>ż nie wymieniono bezpośrednio w </w:t>
            </w:r>
            <w:r w:rsidRPr="00BB0E53">
              <w:rPr>
                <w:sz w:val="22"/>
                <w:szCs w:val="22"/>
              </w:rPr>
              <w:t xml:space="preserve">projekcie ustawy są np. </w:t>
            </w:r>
            <w:r w:rsidR="00574102" w:rsidRPr="00BB0E53">
              <w:rPr>
                <w:sz w:val="22"/>
                <w:szCs w:val="22"/>
              </w:rPr>
              <w:t xml:space="preserve">tajemnica postępowania karnego, </w:t>
            </w:r>
            <w:r w:rsidRPr="00BB0E53">
              <w:rPr>
                <w:sz w:val="22"/>
                <w:szCs w:val="22"/>
              </w:rPr>
              <w:t xml:space="preserve"> </w:t>
            </w:r>
            <w:r w:rsidR="00574102" w:rsidRPr="00BB0E53">
              <w:rPr>
                <w:sz w:val="22"/>
                <w:szCs w:val="22"/>
              </w:rPr>
              <w:t>tajemnica przedsiębiorstwa, tajemnica bankowa, tajemnica kontroli państwowej, tajemnica geologiczna, tajemnica skarbowa, tajemnica oświadczeń majątkowych</w:t>
            </w:r>
            <w:r w:rsidR="00CC6FD0" w:rsidRPr="00BB0E53">
              <w:rPr>
                <w:sz w:val="22"/>
                <w:szCs w:val="22"/>
              </w:rPr>
              <w:t xml:space="preserve"> i  i</w:t>
            </w:r>
            <w:r w:rsidR="00B830BB" w:rsidRPr="00BB0E53">
              <w:rPr>
                <w:sz w:val="22"/>
                <w:szCs w:val="22"/>
              </w:rPr>
              <w:t>n</w:t>
            </w:r>
            <w:r w:rsidR="00574102" w:rsidRPr="00BB0E53">
              <w:rPr>
                <w:sz w:val="22"/>
                <w:szCs w:val="22"/>
              </w:rPr>
              <w:t>.</w:t>
            </w:r>
          </w:p>
          <w:p w14:paraId="45B5D4F5" w14:textId="334CA0CE" w:rsidR="00B830BB" w:rsidRPr="00BB0E53" w:rsidRDefault="00B830BB" w:rsidP="00BB0E53">
            <w:pPr>
              <w:jc w:val="both"/>
              <w:rPr>
                <w:sz w:val="22"/>
                <w:szCs w:val="22"/>
              </w:rPr>
            </w:pPr>
            <w:r w:rsidRPr="00BB0E53">
              <w:rPr>
                <w:sz w:val="22"/>
                <w:szCs w:val="22"/>
              </w:rPr>
              <w:lastRenderedPageBreak/>
              <w:t>Informacja sektora publicznego lub jej część w zakresie w jakim jest objęta tajemnicą ustawowo chronioną, w tym tajemnicą sta</w:t>
            </w:r>
            <w:r w:rsidR="00376550" w:rsidRPr="00BB0E53">
              <w:rPr>
                <w:sz w:val="22"/>
                <w:szCs w:val="22"/>
              </w:rPr>
              <w:t>tystyczną nie podlega udostępnia</w:t>
            </w:r>
            <w:r w:rsidRPr="00BB0E53">
              <w:rPr>
                <w:sz w:val="22"/>
                <w:szCs w:val="22"/>
              </w:rPr>
              <w:t>niu lub przekazaniu do ponownego wykorzystywania. St</w:t>
            </w:r>
            <w:r w:rsidR="00CC6FD0" w:rsidRPr="00BB0E53">
              <w:rPr>
                <w:sz w:val="22"/>
                <w:szCs w:val="22"/>
              </w:rPr>
              <w:t xml:space="preserve">anowisko to zostanie </w:t>
            </w:r>
            <w:r w:rsidR="00376550" w:rsidRPr="00BB0E53">
              <w:rPr>
                <w:sz w:val="22"/>
                <w:szCs w:val="22"/>
              </w:rPr>
              <w:t xml:space="preserve">dodatkowo </w:t>
            </w:r>
            <w:r w:rsidR="00CC6FD0" w:rsidRPr="00BB0E53">
              <w:rPr>
                <w:sz w:val="22"/>
                <w:szCs w:val="22"/>
              </w:rPr>
              <w:t>wyrażone w </w:t>
            </w:r>
            <w:r w:rsidRPr="00BB0E53">
              <w:rPr>
                <w:sz w:val="22"/>
                <w:szCs w:val="22"/>
              </w:rPr>
              <w:t xml:space="preserve">uzasadnieniu do projektu ustawy. </w:t>
            </w:r>
          </w:p>
        </w:tc>
      </w:tr>
      <w:tr w:rsidR="00940D7B" w:rsidRPr="00BB0E53" w14:paraId="0B0E7C1E" w14:textId="77777777" w:rsidTr="001C649B">
        <w:trPr>
          <w:jc w:val="center"/>
        </w:trPr>
        <w:tc>
          <w:tcPr>
            <w:tcW w:w="568" w:type="dxa"/>
            <w:shd w:val="clear" w:color="auto" w:fill="auto"/>
            <w:vAlign w:val="center"/>
          </w:tcPr>
          <w:p w14:paraId="6062EC3E" w14:textId="77777777" w:rsidR="002467A2" w:rsidRPr="00BB0E53" w:rsidRDefault="002467A2" w:rsidP="00BB0E53">
            <w:pPr>
              <w:numPr>
                <w:ilvl w:val="0"/>
                <w:numId w:val="3"/>
              </w:numPr>
              <w:jc w:val="center"/>
              <w:rPr>
                <w:sz w:val="22"/>
                <w:szCs w:val="22"/>
              </w:rPr>
            </w:pPr>
          </w:p>
        </w:tc>
        <w:tc>
          <w:tcPr>
            <w:tcW w:w="1227" w:type="dxa"/>
            <w:shd w:val="clear" w:color="auto" w:fill="auto"/>
            <w:vAlign w:val="center"/>
          </w:tcPr>
          <w:p w14:paraId="4E0DF378" w14:textId="7CB4D312" w:rsidR="002467A2" w:rsidRPr="00BB0E53" w:rsidRDefault="002467A2" w:rsidP="00BB0E53">
            <w:pPr>
              <w:jc w:val="center"/>
              <w:rPr>
                <w:sz w:val="22"/>
                <w:szCs w:val="22"/>
              </w:rPr>
            </w:pPr>
            <w:r w:rsidRPr="00BB0E53">
              <w:rPr>
                <w:sz w:val="22"/>
                <w:szCs w:val="22"/>
              </w:rPr>
              <w:t>GUS</w:t>
            </w:r>
          </w:p>
        </w:tc>
        <w:tc>
          <w:tcPr>
            <w:tcW w:w="1475" w:type="dxa"/>
            <w:shd w:val="clear" w:color="auto" w:fill="auto"/>
            <w:vAlign w:val="center"/>
          </w:tcPr>
          <w:p w14:paraId="0842207C" w14:textId="5F896D94" w:rsidR="002467A2" w:rsidRPr="00BB0E53" w:rsidRDefault="002467A2" w:rsidP="00BB0E53">
            <w:pPr>
              <w:jc w:val="center"/>
              <w:rPr>
                <w:sz w:val="22"/>
                <w:szCs w:val="22"/>
              </w:rPr>
            </w:pPr>
            <w:r w:rsidRPr="00BB0E53">
              <w:rPr>
                <w:sz w:val="22"/>
                <w:szCs w:val="22"/>
              </w:rPr>
              <w:t>Art. 28</w:t>
            </w:r>
          </w:p>
        </w:tc>
        <w:tc>
          <w:tcPr>
            <w:tcW w:w="3777" w:type="dxa"/>
            <w:shd w:val="clear" w:color="auto" w:fill="auto"/>
          </w:tcPr>
          <w:p w14:paraId="77629A83" w14:textId="77777777" w:rsidR="002467A2" w:rsidRPr="00BB0E53" w:rsidRDefault="002467A2" w:rsidP="00BB0E53">
            <w:pPr>
              <w:jc w:val="both"/>
              <w:rPr>
                <w:sz w:val="22"/>
                <w:szCs w:val="22"/>
              </w:rPr>
            </w:pPr>
            <w:r w:rsidRPr="00BB0E53">
              <w:rPr>
                <w:sz w:val="22"/>
                <w:szCs w:val="22"/>
              </w:rPr>
              <w:t>GUS proponuje nadanie nowego brzmienia art. 28.</w:t>
            </w:r>
          </w:p>
          <w:p w14:paraId="1CCE937F" w14:textId="39911793" w:rsidR="002467A2" w:rsidRPr="00BB0E53" w:rsidRDefault="002467A2" w:rsidP="00BB0E53">
            <w:pPr>
              <w:jc w:val="both"/>
              <w:rPr>
                <w:sz w:val="22"/>
                <w:szCs w:val="22"/>
              </w:rPr>
            </w:pPr>
            <w:r w:rsidRPr="00BB0E53">
              <w:rPr>
                <w:sz w:val="22"/>
                <w:szCs w:val="22"/>
              </w:rPr>
              <w:t>Proponowane brzmienie art. 28 projektowanej ustawy powiązane jest ze zmianami proponowanymi w art. 49 projektowanej ustawy w zakresie dotyczącym dodania ust. 1a w art. 18 usta</w:t>
            </w:r>
            <w:r w:rsidR="00071FAB" w:rsidRPr="00BB0E53">
              <w:rPr>
                <w:sz w:val="22"/>
                <w:szCs w:val="22"/>
              </w:rPr>
              <w:t>wy z dnia 29 czerwca 1995 r.  o </w:t>
            </w:r>
            <w:r w:rsidRPr="00BB0E53">
              <w:rPr>
                <w:sz w:val="22"/>
                <w:szCs w:val="22"/>
              </w:rPr>
              <w:t>statystyce publicznej (</w:t>
            </w:r>
            <w:r w:rsidRPr="00BB0E53">
              <w:rPr>
                <w:i/>
                <w:sz w:val="22"/>
                <w:szCs w:val="22"/>
              </w:rPr>
              <w:t>vide</w:t>
            </w:r>
            <w:r w:rsidRPr="00BB0E53">
              <w:rPr>
                <w:sz w:val="22"/>
                <w:szCs w:val="22"/>
              </w:rPr>
              <w:t xml:space="preserve"> pkt </w:t>
            </w:r>
            <w:r w:rsidR="00071FAB" w:rsidRPr="00BB0E53">
              <w:rPr>
                <w:sz w:val="22"/>
                <w:szCs w:val="22"/>
              </w:rPr>
              <w:t>9</w:t>
            </w:r>
            <w:r w:rsidRPr="00BB0E53">
              <w:rPr>
                <w:sz w:val="22"/>
                <w:szCs w:val="22"/>
              </w:rPr>
              <w:t xml:space="preserve"> niniejszej tabeli).</w:t>
            </w:r>
          </w:p>
          <w:p w14:paraId="3BFD2503" w14:textId="09BCC1DE" w:rsidR="002467A2" w:rsidRPr="00BB0E53" w:rsidRDefault="002467A2" w:rsidP="00BB0E53">
            <w:pPr>
              <w:jc w:val="both"/>
              <w:rPr>
                <w:sz w:val="22"/>
                <w:szCs w:val="22"/>
              </w:rPr>
            </w:pPr>
            <w:r w:rsidRPr="00BB0E53">
              <w:rPr>
                <w:sz w:val="22"/>
                <w:szCs w:val="22"/>
              </w:rPr>
              <w:t>P</w:t>
            </w:r>
            <w:r w:rsidR="00071FAB" w:rsidRPr="00BB0E53">
              <w:rPr>
                <w:sz w:val="22"/>
                <w:szCs w:val="22"/>
              </w:rPr>
              <w:t>roponowane rozwiązanie wynika z </w:t>
            </w:r>
            <w:r w:rsidRPr="00BB0E53">
              <w:rPr>
                <w:sz w:val="22"/>
                <w:szCs w:val="22"/>
              </w:rPr>
              <w:t>konieczności zapewnienia spójności projektowanej ustawy z przepisami usta</w:t>
            </w:r>
            <w:r w:rsidR="00071FAB" w:rsidRPr="00BB0E53">
              <w:rPr>
                <w:sz w:val="22"/>
                <w:szCs w:val="22"/>
              </w:rPr>
              <w:t>wy z dnia 29 czerwca 1995 r.  o </w:t>
            </w:r>
            <w:r w:rsidRPr="00BB0E53">
              <w:rPr>
                <w:sz w:val="22"/>
                <w:szCs w:val="22"/>
              </w:rPr>
              <w:t>stat</w:t>
            </w:r>
            <w:r w:rsidR="00071FAB" w:rsidRPr="00BB0E53">
              <w:rPr>
                <w:sz w:val="22"/>
                <w:szCs w:val="22"/>
              </w:rPr>
              <w:t>ystyce publicznej regulującej w </w:t>
            </w:r>
            <w:r w:rsidRPr="00BB0E53">
              <w:rPr>
                <w:sz w:val="22"/>
                <w:szCs w:val="22"/>
              </w:rPr>
              <w:t>szczególności kwestie dotyczące programu badań statys</w:t>
            </w:r>
            <w:r w:rsidR="00071FAB" w:rsidRPr="00BB0E53">
              <w:rPr>
                <w:sz w:val="22"/>
                <w:szCs w:val="22"/>
              </w:rPr>
              <w:t xml:space="preserve">tycznych statystyki publicznej </w:t>
            </w:r>
            <w:r w:rsidRPr="00BB0E53">
              <w:rPr>
                <w:sz w:val="22"/>
                <w:szCs w:val="22"/>
              </w:rPr>
              <w:t>w oparciu</w:t>
            </w:r>
            <w:r w:rsidR="00071FAB" w:rsidRPr="00BB0E53">
              <w:rPr>
                <w:sz w:val="22"/>
                <w:szCs w:val="22"/>
              </w:rPr>
              <w:t>,</w:t>
            </w:r>
            <w:r w:rsidRPr="00BB0E53">
              <w:rPr>
                <w:sz w:val="22"/>
                <w:szCs w:val="22"/>
              </w:rPr>
              <w:t xml:space="preserve"> o </w:t>
            </w:r>
            <w:r w:rsidR="00071FAB" w:rsidRPr="00BB0E53">
              <w:rPr>
                <w:sz w:val="22"/>
                <w:szCs w:val="22"/>
              </w:rPr>
              <w:t>który pozyskiwane, gromadzone i </w:t>
            </w:r>
            <w:r w:rsidRPr="00BB0E53">
              <w:rPr>
                <w:sz w:val="22"/>
                <w:szCs w:val="22"/>
              </w:rPr>
              <w:t>udostępniane są dane statystyczne.</w:t>
            </w:r>
          </w:p>
          <w:p w14:paraId="7981AE91" w14:textId="77777777" w:rsidR="002467A2" w:rsidRPr="00BB0E53" w:rsidRDefault="002467A2" w:rsidP="00BB0E53">
            <w:pPr>
              <w:jc w:val="both"/>
              <w:rPr>
                <w:sz w:val="22"/>
                <w:szCs w:val="22"/>
              </w:rPr>
            </w:pPr>
            <w:r w:rsidRPr="00BB0E53">
              <w:rPr>
                <w:sz w:val="22"/>
                <w:szCs w:val="22"/>
              </w:rPr>
              <w:t xml:space="preserve">Po wejściu w życie proponowanej zmiany w art. 18 ustawy z dnia 29 czerwca 1995 r.  o statystyce publicznej </w:t>
            </w:r>
            <w:r w:rsidRPr="00BB0E53">
              <w:rPr>
                <w:sz w:val="22"/>
                <w:szCs w:val="22"/>
              </w:rPr>
              <w:lastRenderedPageBreak/>
              <w:t>program badań statystycznych statystyki publicznej będzie określać również:</w:t>
            </w:r>
          </w:p>
          <w:p w14:paraId="7F12DFA4" w14:textId="06FE99D9" w:rsidR="002467A2" w:rsidRPr="00BB0E53" w:rsidRDefault="002467A2" w:rsidP="00BB0E53">
            <w:pPr>
              <w:numPr>
                <w:ilvl w:val="0"/>
                <w:numId w:val="24"/>
              </w:numPr>
              <w:jc w:val="both"/>
              <w:rPr>
                <w:bCs/>
                <w:sz w:val="22"/>
                <w:szCs w:val="22"/>
              </w:rPr>
            </w:pPr>
            <w:r w:rsidRPr="00BB0E53">
              <w:rPr>
                <w:bCs/>
                <w:sz w:val="22"/>
                <w:szCs w:val="22"/>
              </w:rPr>
              <w:t>lis</w:t>
            </w:r>
            <w:r w:rsidR="00071FAB" w:rsidRPr="00BB0E53">
              <w:rPr>
                <w:bCs/>
                <w:sz w:val="22"/>
                <w:szCs w:val="22"/>
              </w:rPr>
              <w:t>tę danych o wysokiej wartości w </w:t>
            </w:r>
            <w:r w:rsidRPr="00BB0E53">
              <w:rPr>
                <w:bCs/>
                <w:sz w:val="22"/>
                <w:szCs w:val="22"/>
              </w:rPr>
              <w:t xml:space="preserve">rozumieniu w art. 2 pkt 4 ustawy </w:t>
            </w:r>
            <w:r w:rsidR="00071FAB" w:rsidRPr="00BB0E53">
              <w:rPr>
                <w:bCs/>
                <w:sz w:val="22"/>
                <w:szCs w:val="22"/>
              </w:rPr>
              <w:t>z dnia ……. o otwartych danych i </w:t>
            </w:r>
            <w:r w:rsidRPr="00BB0E53">
              <w:rPr>
                <w:bCs/>
                <w:sz w:val="22"/>
                <w:szCs w:val="22"/>
              </w:rPr>
              <w:t>ponownym wykorzystywaniu informacji sektora publicznego z kategorii tematycznej: dane statyst</w:t>
            </w:r>
            <w:r w:rsidR="00071FAB" w:rsidRPr="00BB0E53">
              <w:rPr>
                <w:bCs/>
                <w:sz w:val="22"/>
                <w:szCs w:val="22"/>
              </w:rPr>
              <w:t>yczne, będących w </w:t>
            </w:r>
            <w:r w:rsidRPr="00BB0E53">
              <w:rPr>
                <w:bCs/>
                <w:sz w:val="22"/>
                <w:szCs w:val="22"/>
              </w:rPr>
              <w:t>posiadaniu organów lub podmiotów prowadzących badania statystyczne, jeżeli są podmiotam</w:t>
            </w:r>
            <w:r w:rsidR="00071FAB" w:rsidRPr="00BB0E53">
              <w:rPr>
                <w:bCs/>
                <w:sz w:val="22"/>
                <w:szCs w:val="22"/>
              </w:rPr>
              <w:t>i zobowiązanymi, w rozumieniu w </w:t>
            </w:r>
            <w:r w:rsidRPr="00BB0E53">
              <w:rPr>
                <w:bCs/>
                <w:sz w:val="22"/>
                <w:szCs w:val="22"/>
              </w:rPr>
              <w:t>art. 3 ustawy z dnia ……. o otwartych danych i ponownym wykorzystywaniu informacji sektora publicznego;</w:t>
            </w:r>
          </w:p>
          <w:p w14:paraId="121A973C" w14:textId="77777777" w:rsidR="002467A2" w:rsidRPr="00BB0E53" w:rsidRDefault="002467A2" w:rsidP="00BB0E53">
            <w:pPr>
              <w:numPr>
                <w:ilvl w:val="0"/>
                <w:numId w:val="24"/>
              </w:numPr>
              <w:jc w:val="both"/>
              <w:rPr>
                <w:bCs/>
                <w:sz w:val="22"/>
                <w:szCs w:val="22"/>
              </w:rPr>
            </w:pPr>
            <w:r w:rsidRPr="00BB0E53">
              <w:rPr>
                <w:bCs/>
                <w:sz w:val="22"/>
                <w:szCs w:val="22"/>
              </w:rPr>
              <w:t>harmonogram udostępniania przez podmioty zobowiązane na portalu danych, o którym mowa w art. 2 pkt 13 ustawy z dnia ……. o otwartych danych i ponownym wykorzystywaniu informacji sektora publicznego:</w:t>
            </w:r>
          </w:p>
          <w:p w14:paraId="212887A1" w14:textId="77777777" w:rsidR="002467A2" w:rsidRPr="00BB0E53" w:rsidRDefault="002467A2" w:rsidP="00BB0E53">
            <w:pPr>
              <w:numPr>
                <w:ilvl w:val="0"/>
                <w:numId w:val="26"/>
              </w:numPr>
              <w:jc w:val="both"/>
              <w:rPr>
                <w:bCs/>
                <w:sz w:val="22"/>
                <w:szCs w:val="22"/>
              </w:rPr>
            </w:pPr>
            <w:r w:rsidRPr="00BB0E53">
              <w:rPr>
                <w:bCs/>
                <w:sz w:val="22"/>
                <w:szCs w:val="22"/>
              </w:rPr>
              <w:t>danych, o których mowa w pkt 1, oraz metadanych albo</w:t>
            </w:r>
          </w:p>
          <w:p w14:paraId="2AE7F31F" w14:textId="20D873E4" w:rsidR="002467A2" w:rsidRPr="00BB0E53" w:rsidRDefault="002467A2" w:rsidP="00BB0E53">
            <w:pPr>
              <w:numPr>
                <w:ilvl w:val="0"/>
                <w:numId w:val="26"/>
              </w:numPr>
              <w:jc w:val="both"/>
              <w:rPr>
                <w:bCs/>
                <w:sz w:val="22"/>
                <w:szCs w:val="22"/>
              </w:rPr>
            </w:pPr>
            <w:r w:rsidRPr="00BB0E53">
              <w:rPr>
                <w:bCs/>
                <w:sz w:val="22"/>
                <w:szCs w:val="22"/>
              </w:rPr>
              <w:t>metadanych, w przypadku gdy dane, o których mowa w pkt 1, przechowywane są w publicznie dostępnym systemie teleinformat</w:t>
            </w:r>
            <w:r w:rsidR="00071FAB" w:rsidRPr="00BB0E53">
              <w:rPr>
                <w:bCs/>
                <w:sz w:val="22"/>
                <w:szCs w:val="22"/>
              </w:rPr>
              <w:t xml:space="preserve">ycznym podmiotu zobowiązanego i </w:t>
            </w:r>
            <w:r w:rsidRPr="00BB0E53">
              <w:rPr>
                <w:bCs/>
                <w:sz w:val="22"/>
                <w:szCs w:val="22"/>
              </w:rPr>
              <w:t>udostępniane w celu ich ponown</w:t>
            </w:r>
            <w:r w:rsidR="00071FAB" w:rsidRPr="00BB0E53">
              <w:rPr>
                <w:bCs/>
                <w:sz w:val="22"/>
                <w:szCs w:val="22"/>
              </w:rPr>
              <w:t xml:space="preserve">ego wykorzystywania w sposób, </w:t>
            </w:r>
            <w:r w:rsidR="00071FAB" w:rsidRPr="00BB0E53">
              <w:rPr>
                <w:bCs/>
                <w:sz w:val="22"/>
                <w:szCs w:val="22"/>
              </w:rPr>
              <w:lastRenderedPageBreak/>
              <w:t>o </w:t>
            </w:r>
            <w:r w:rsidRPr="00BB0E53">
              <w:rPr>
                <w:bCs/>
                <w:sz w:val="22"/>
                <w:szCs w:val="22"/>
              </w:rPr>
              <w:t>którym mowa w art. 25 ust. 1 ustawy z dnia ……. o otwartych danych i ponownym wykorzystywaniu informacji sektora publicznego;</w:t>
            </w:r>
          </w:p>
          <w:p w14:paraId="1F66B89E" w14:textId="77777777" w:rsidR="002467A2" w:rsidRPr="00BB0E53" w:rsidRDefault="002467A2" w:rsidP="00BB0E53">
            <w:pPr>
              <w:numPr>
                <w:ilvl w:val="0"/>
                <w:numId w:val="25"/>
              </w:numPr>
              <w:jc w:val="both"/>
              <w:rPr>
                <w:bCs/>
                <w:sz w:val="22"/>
                <w:szCs w:val="22"/>
              </w:rPr>
            </w:pPr>
            <w:r w:rsidRPr="00BB0E53">
              <w:rPr>
                <w:bCs/>
                <w:sz w:val="22"/>
                <w:szCs w:val="22"/>
              </w:rPr>
              <w:t>sposób udostępniania, o którym mowa w pkt 2;</w:t>
            </w:r>
          </w:p>
          <w:p w14:paraId="42C53C65" w14:textId="0D346995" w:rsidR="002467A2" w:rsidRPr="00BB0E53" w:rsidRDefault="00071FAB" w:rsidP="00BB0E53">
            <w:pPr>
              <w:numPr>
                <w:ilvl w:val="0"/>
                <w:numId w:val="25"/>
              </w:numPr>
              <w:jc w:val="both"/>
              <w:rPr>
                <w:bCs/>
                <w:sz w:val="22"/>
                <w:szCs w:val="22"/>
              </w:rPr>
            </w:pPr>
            <w:r w:rsidRPr="00BB0E53">
              <w:rPr>
                <w:bCs/>
                <w:sz w:val="22"/>
                <w:szCs w:val="22"/>
              </w:rPr>
              <w:t>format danych, o których mowa w </w:t>
            </w:r>
            <w:r w:rsidR="002467A2" w:rsidRPr="00BB0E53">
              <w:rPr>
                <w:bCs/>
                <w:sz w:val="22"/>
                <w:szCs w:val="22"/>
              </w:rPr>
              <w:t>pkt 2;</w:t>
            </w:r>
          </w:p>
          <w:p w14:paraId="23AAD4F8" w14:textId="77777777" w:rsidR="002467A2" w:rsidRPr="00BB0E53" w:rsidRDefault="002467A2" w:rsidP="00BB0E53">
            <w:pPr>
              <w:numPr>
                <w:ilvl w:val="0"/>
                <w:numId w:val="25"/>
              </w:numPr>
              <w:jc w:val="both"/>
              <w:rPr>
                <w:bCs/>
                <w:sz w:val="22"/>
                <w:szCs w:val="22"/>
              </w:rPr>
            </w:pPr>
            <w:r w:rsidRPr="00BB0E53">
              <w:rPr>
                <w:bCs/>
                <w:sz w:val="22"/>
                <w:szCs w:val="22"/>
              </w:rPr>
              <w:t>możliwe warunki ponownego wykorzystywania;</w:t>
            </w:r>
          </w:p>
          <w:p w14:paraId="6BB9059C" w14:textId="77777777" w:rsidR="002467A2" w:rsidRPr="00BB0E53" w:rsidRDefault="002467A2" w:rsidP="00BB0E53">
            <w:pPr>
              <w:numPr>
                <w:ilvl w:val="0"/>
                <w:numId w:val="25"/>
              </w:numPr>
              <w:jc w:val="both"/>
              <w:rPr>
                <w:bCs/>
                <w:sz w:val="22"/>
                <w:szCs w:val="22"/>
              </w:rPr>
            </w:pPr>
            <w:r w:rsidRPr="00BB0E53">
              <w:rPr>
                <w:bCs/>
                <w:sz w:val="22"/>
                <w:szCs w:val="22"/>
              </w:rPr>
              <w:t>częstotliwość aktualizacji danych oraz metadanych, o których mowa w pkt 2.</w:t>
            </w:r>
          </w:p>
          <w:p w14:paraId="34191182" w14:textId="4E7E8BF9" w:rsidR="002467A2" w:rsidRPr="00BB0E53" w:rsidRDefault="002467A2" w:rsidP="00BB0E53">
            <w:pPr>
              <w:jc w:val="both"/>
              <w:rPr>
                <w:sz w:val="22"/>
                <w:szCs w:val="22"/>
              </w:rPr>
            </w:pPr>
            <w:r w:rsidRPr="00BB0E53">
              <w:rPr>
                <w:sz w:val="22"/>
                <w:szCs w:val="22"/>
              </w:rPr>
              <w:t>Rozwiązanie takie umożliwi pełną implementację dyrektywy 2019/1024 Parlamentu Europejskiego i Rady z dnia 20 czerwca 2019 r. w sprawie otwartych danych i ponownego wykorzystywania informacji sektora publicznego (Dz. Urz. UE L 172 z 26.08.1919, z. 15</w:t>
            </w:r>
            <w:r w:rsidR="00071FAB" w:rsidRPr="00BB0E53">
              <w:rPr>
                <w:sz w:val="22"/>
                <w:szCs w:val="22"/>
              </w:rPr>
              <w:t>6) w </w:t>
            </w:r>
            <w:r w:rsidRPr="00BB0E53">
              <w:rPr>
                <w:sz w:val="22"/>
                <w:szCs w:val="22"/>
              </w:rPr>
              <w:t xml:space="preserve">zakresie odnoszącym się do </w:t>
            </w:r>
            <w:r w:rsidRPr="00BB0E53">
              <w:rPr>
                <w:bCs/>
                <w:sz w:val="22"/>
                <w:szCs w:val="22"/>
              </w:rPr>
              <w:t>pon</w:t>
            </w:r>
            <w:r w:rsidR="00071FAB" w:rsidRPr="00BB0E53">
              <w:rPr>
                <w:bCs/>
                <w:sz w:val="22"/>
                <w:szCs w:val="22"/>
              </w:rPr>
              <w:t>ownego wykorzystywania danych o </w:t>
            </w:r>
            <w:r w:rsidRPr="00BB0E53">
              <w:rPr>
                <w:bCs/>
                <w:sz w:val="22"/>
                <w:szCs w:val="22"/>
              </w:rPr>
              <w:t xml:space="preserve">wysokiej wartości z badań statystycznych objętych programem badań statystycznych statystyki publicznej. Program ten ustalany jest corocznie w drodze rozporządzenia Rady Ministrów, wydawanego obecnie na podstawie art. 18 ust. 1 </w:t>
            </w:r>
            <w:r w:rsidR="00071FAB" w:rsidRPr="00BB0E53">
              <w:rPr>
                <w:sz w:val="22"/>
                <w:szCs w:val="22"/>
              </w:rPr>
              <w:t>ustawy o </w:t>
            </w:r>
            <w:r w:rsidRPr="00BB0E53">
              <w:rPr>
                <w:sz w:val="22"/>
                <w:szCs w:val="22"/>
              </w:rPr>
              <w:t>statys</w:t>
            </w:r>
            <w:r w:rsidR="00071FAB" w:rsidRPr="00BB0E53">
              <w:rPr>
                <w:sz w:val="22"/>
                <w:szCs w:val="22"/>
              </w:rPr>
              <w:t>tyce publicznej, a po wejściu w </w:t>
            </w:r>
            <w:r w:rsidRPr="00BB0E53">
              <w:rPr>
                <w:sz w:val="22"/>
                <w:szCs w:val="22"/>
              </w:rPr>
              <w:t xml:space="preserve">życie tej zmiany – będzie wydawany </w:t>
            </w:r>
            <w:r w:rsidRPr="00BB0E53">
              <w:rPr>
                <w:bCs/>
                <w:sz w:val="22"/>
                <w:szCs w:val="22"/>
              </w:rPr>
              <w:t xml:space="preserve">na podstawie art. 18 ust. 1 i 1a </w:t>
            </w:r>
            <w:r w:rsidR="00071FAB" w:rsidRPr="00BB0E53">
              <w:rPr>
                <w:sz w:val="22"/>
                <w:szCs w:val="22"/>
              </w:rPr>
              <w:t>ustawy o </w:t>
            </w:r>
            <w:r w:rsidRPr="00BB0E53">
              <w:rPr>
                <w:sz w:val="22"/>
                <w:szCs w:val="22"/>
              </w:rPr>
              <w:t>statystyce publicznej.</w:t>
            </w:r>
          </w:p>
          <w:p w14:paraId="40C167FE" w14:textId="77777777" w:rsidR="002467A2" w:rsidRPr="00BB0E53" w:rsidRDefault="002467A2" w:rsidP="00BB0E53">
            <w:pPr>
              <w:jc w:val="both"/>
              <w:rPr>
                <w:sz w:val="22"/>
                <w:szCs w:val="22"/>
              </w:rPr>
            </w:pPr>
            <w:r w:rsidRPr="00BB0E53">
              <w:rPr>
                <w:sz w:val="22"/>
                <w:szCs w:val="22"/>
              </w:rPr>
              <w:t xml:space="preserve">Proponowana zmiana zapewni spójność polskiego systemu prawa, a także </w:t>
            </w:r>
            <w:r w:rsidRPr="00BB0E53">
              <w:rPr>
                <w:sz w:val="22"/>
                <w:szCs w:val="22"/>
              </w:rPr>
              <w:lastRenderedPageBreak/>
              <w:t>wpisywać się będzie w już istniejące rozwiązania prawne, nie burząc przy tym utrwalonych i dobrze działających rozwiązań w zakresie dotyczącym badań statystycznych statystyki publicznej.</w:t>
            </w:r>
          </w:p>
          <w:p w14:paraId="56BF44DA" w14:textId="6CAED106" w:rsidR="002467A2" w:rsidRPr="00BB0E53" w:rsidRDefault="002467A2" w:rsidP="00BB0E53">
            <w:pPr>
              <w:jc w:val="both"/>
              <w:rPr>
                <w:sz w:val="22"/>
                <w:szCs w:val="22"/>
              </w:rPr>
            </w:pPr>
            <w:r w:rsidRPr="00BB0E53">
              <w:rPr>
                <w:sz w:val="22"/>
                <w:szCs w:val="22"/>
              </w:rPr>
              <w:t xml:space="preserve">Jednocześnie należy podkreślić, że </w:t>
            </w:r>
            <w:r w:rsidR="00071FAB" w:rsidRPr="00BB0E53">
              <w:rPr>
                <w:bCs/>
                <w:sz w:val="22"/>
                <w:szCs w:val="22"/>
              </w:rPr>
              <w:t>w </w:t>
            </w:r>
            <w:r w:rsidRPr="00BB0E53">
              <w:rPr>
                <w:bCs/>
                <w:sz w:val="22"/>
                <w:szCs w:val="22"/>
              </w:rPr>
              <w:t>toku uzgodnień międzyresortowych projektu rozporządzenia Rady Ministrów</w:t>
            </w:r>
            <w:r w:rsidRPr="00BB0E53">
              <w:rPr>
                <w:sz w:val="22"/>
                <w:szCs w:val="22"/>
              </w:rPr>
              <w:t xml:space="preserve"> w sprawie </w:t>
            </w:r>
            <w:r w:rsidRPr="00BB0E53">
              <w:rPr>
                <w:bCs/>
                <w:sz w:val="22"/>
                <w:szCs w:val="22"/>
              </w:rPr>
              <w:t xml:space="preserve">programu badań statystycznych statystyki publicznej, wydawanego po wejściu w życie proponowanej zmiany na podstawie 18 ust. 1 i 1a </w:t>
            </w:r>
            <w:r w:rsidRPr="00BB0E53">
              <w:rPr>
                <w:sz w:val="22"/>
                <w:szCs w:val="22"/>
              </w:rPr>
              <w:t>ustawy o statystyce publicznej, minister właściwy do spraw informatyzacji będzie miał w dalszym ciągu zapewniony (podobnie, jak ma to miejsce obecnie) wpływ na ostateczny</w:t>
            </w:r>
            <w:r w:rsidR="00071FAB" w:rsidRPr="00BB0E53">
              <w:rPr>
                <w:sz w:val="22"/>
                <w:szCs w:val="22"/>
              </w:rPr>
              <w:t xml:space="preserve"> kształt rozwiązań przyjętych w </w:t>
            </w:r>
            <w:r w:rsidRPr="00BB0E53">
              <w:rPr>
                <w:bCs/>
                <w:sz w:val="22"/>
                <w:szCs w:val="22"/>
              </w:rPr>
              <w:t xml:space="preserve">programie badań statystycznych statystyki publicznej, w tym </w:t>
            </w:r>
            <w:r w:rsidRPr="00BB0E53">
              <w:rPr>
                <w:sz w:val="22"/>
                <w:szCs w:val="22"/>
              </w:rPr>
              <w:t>zaproponowanych przez GUS nowych ele</w:t>
            </w:r>
            <w:r w:rsidR="00071FAB" w:rsidRPr="00BB0E53">
              <w:rPr>
                <w:sz w:val="22"/>
                <w:szCs w:val="22"/>
              </w:rPr>
              <w:t>mentów programu: listy danych o </w:t>
            </w:r>
            <w:r w:rsidRPr="00BB0E53">
              <w:rPr>
                <w:sz w:val="22"/>
                <w:szCs w:val="22"/>
              </w:rPr>
              <w:t>wysokiej wartości z kategorii tematycznej: dane statystyczne, harmonogramu udostępniania tych danych przez podmioty zobowiązane na portalu otwartych danych, sposobu udostępniania, formatu danych, możliwych warunków ponownego wykorzystywania oraz częstotliwości aktualizacji danych oraz metadanych.</w:t>
            </w:r>
          </w:p>
          <w:p w14:paraId="6BE4D903" w14:textId="17C40A91" w:rsidR="002467A2" w:rsidRPr="00BB0E53" w:rsidRDefault="002467A2" w:rsidP="00BB0E53">
            <w:pPr>
              <w:pStyle w:val="Akapitzlist"/>
              <w:spacing w:line="240" w:lineRule="auto"/>
              <w:ind w:left="0"/>
              <w:contextualSpacing w:val="0"/>
              <w:jc w:val="both"/>
              <w:rPr>
                <w:rFonts w:ascii="Times New Roman" w:hAnsi="Times New Roman"/>
              </w:rPr>
            </w:pPr>
            <w:r w:rsidRPr="00BB0E53">
              <w:rPr>
                <w:rFonts w:ascii="Times New Roman" w:eastAsia="Times New Roman" w:hAnsi="Times New Roman"/>
                <w:lang w:eastAsia="pl-PL"/>
              </w:rPr>
              <w:t xml:space="preserve">Jednocześnie, mając na uwadze czas potrzebny na wprowadzenie koniecznych zmian dotyczących sposobu opracowywania znacznie poszerzonego programu badań </w:t>
            </w:r>
            <w:r w:rsidRPr="00BB0E53">
              <w:rPr>
                <w:rFonts w:ascii="Times New Roman" w:eastAsia="Times New Roman" w:hAnsi="Times New Roman"/>
                <w:lang w:eastAsia="pl-PL"/>
              </w:rPr>
              <w:lastRenderedPageBreak/>
              <w:t xml:space="preserve">statystycznych statystyki publicznej, GUS proponuje wydłużenie </w:t>
            </w:r>
            <w:r w:rsidRPr="00BB0E53">
              <w:rPr>
                <w:rFonts w:ascii="Times New Roman" w:eastAsia="Times New Roman" w:hAnsi="Times New Roman"/>
                <w:i/>
                <w:lang w:eastAsia="pl-PL"/>
              </w:rPr>
              <w:t>vacatio legis</w:t>
            </w:r>
            <w:r w:rsidRPr="00BB0E53">
              <w:rPr>
                <w:rFonts w:ascii="Times New Roman" w:eastAsia="Times New Roman" w:hAnsi="Times New Roman"/>
                <w:lang w:eastAsia="pl-PL"/>
              </w:rPr>
              <w:t xml:space="preserve"> projektowanej ustawy – w zakresie dotyczącym art. 28 oraz art. 49 projektowanej ustawy w zakresie dotyczącym dodania ust. 1a w art. 18 usta</w:t>
            </w:r>
            <w:r w:rsidR="00071FAB" w:rsidRPr="00BB0E53">
              <w:rPr>
                <w:rFonts w:ascii="Times New Roman" w:eastAsia="Times New Roman" w:hAnsi="Times New Roman"/>
                <w:lang w:eastAsia="pl-PL"/>
              </w:rPr>
              <w:t>wy z dnia 29 czerwca 1995 r.  o </w:t>
            </w:r>
            <w:r w:rsidRPr="00BB0E53">
              <w:rPr>
                <w:rFonts w:ascii="Times New Roman" w:eastAsia="Times New Roman" w:hAnsi="Times New Roman"/>
                <w:lang w:eastAsia="pl-PL"/>
              </w:rPr>
              <w:t>statystyce publicznej. Omawiane p</w:t>
            </w:r>
            <w:r w:rsidR="00071FAB" w:rsidRPr="00BB0E53">
              <w:rPr>
                <w:rFonts w:ascii="Times New Roman" w:eastAsia="Times New Roman" w:hAnsi="Times New Roman"/>
                <w:lang w:eastAsia="pl-PL"/>
              </w:rPr>
              <w:t>rzepisy powinny wejść w życie z </w:t>
            </w:r>
            <w:r w:rsidRPr="00BB0E53">
              <w:rPr>
                <w:rFonts w:ascii="Times New Roman" w:eastAsia="Times New Roman" w:hAnsi="Times New Roman"/>
                <w:lang w:eastAsia="pl-PL"/>
              </w:rPr>
              <w:t>dniem 1 stycznia 2023 r.</w:t>
            </w:r>
          </w:p>
        </w:tc>
        <w:tc>
          <w:tcPr>
            <w:tcW w:w="3467" w:type="dxa"/>
            <w:shd w:val="clear" w:color="auto" w:fill="auto"/>
          </w:tcPr>
          <w:p w14:paraId="66A653B6" w14:textId="3C90FDE5" w:rsidR="002467A2" w:rsidRPr="00BB0E53" w:rsidRDefault="002467A2" w:rsidP="00BB0E53">
            <w:pPr>
              <w:jc w:val="both"/>
              <w:rPr>
                <w:sz w:val="22"/>
                <w:szCs w:val="22"/>
              </w:rPr>
            </w:pPr>
            <w:r w:rsidRPr="00BB0E53">
              <w:rPr>
                <w:sz w:val="22"/>
                <w:szCs w:val="22"/>
              </w:rPr>
              <w:lastRenderedPageBreak/>
              <w:t>„Art. 28. Lis</w:t>
            </w:r>
            <w:r w:rsidR="00071FAB" w:rsidRPr="00BB0E53">
              <w:rPr>
                <w:sz w:val="22"/>
                <w:szCs w:val="22"/>
              </w:rPr>
              <w:t xml:space="preserve">tę danych o wysokiej wartości z </w:t>
            </w:r>
            <w:r w:rsidRPr="00BB0E53">
              <w:rPr>
                <w:sz w:val="22"/>
                <w:szCs w:val="22"/>
              </w:rPr>
              <w:t>kategorii tematycznej</w:t>
            </w:r>
            <w:r w:rsidR="00071FAB" w:rsidRPr="00BB0E53">
              <w:rPr>
                <w:sz w:val="22"/>
                <w:szCs w:val="22"/>
              </w:rPr>
              <w:t>: dane statystyczne, będących w </w:t>
            </w:r>
            <w:r w:rsidRPr="00BB0E53">
              <w:rPr>
                <w:sz w:val="22"/>
                <w:szCs w:val="22"/>
              </w:rPr>
              <w:t>posiadaniu organów lub podmiotów prowadzących badania statystyczne, jeżeli są podmiotami zobowiązanymi, oraz:</w:t>
            </w:r>
          </w:p>
          <w:p w14:paraId="15E66528" w14:textId="77777777" w:rsidR="002467A2" w:rsidRPr="00BB0E53" w:rsidRDefault="002467A2" w:rsidP="00BB0E53">
            <w:pPr>
              <w:numPr>
                <w:ilvl w:val="0"/>
                <w:numId w:val="27"/>
              </w:numPr>
              <w:ind w:left="357" w:hanging="357"/>
              <w:jc w:val="both"/>
              <w:rPr>
                <w:bCs/>
                <w:sz w:val="22"/>
                <w:szCs w:val="22"/>
              </w:rPr>
            </w:pPr>
            <w:r w:rsidRPr="00BB0E53">
              <w:rPr>
                <w:bCs/>
                <w:sz w:val="22"/>
                <w:szCs w:val="22"/>
              </w:rPr>
              <w:t>harmonogram udostępniania przez te podmioty zobowiązane na portalu danych:</w:t>
            </w:r>
          </w:p>
          <w:p w14:paraId="42C3628F" w14:textId="3188B87F" w:rsidR="002467A2" w:rsidRPr="00BB0E53" w:rsidRDefault="00071FAB" w:rsidP="00BB0E53">
            <w:pPr>
              <w:numPr>
                <w:ilvl w:val="0"/>
                <w:numId w:val="29"/>
              </w:numPr>
              <w:jc w:val="both"/>
              <w:rPr>
                <w:bCs/>
                <w:sz w:val="22"/>
                <w:szCs w:val="22"/>
              </w:rPr>
            </w:pPr>
            <w:r w:rsidRPr="00BB0E53">
              <w:rPr>
                <w:bCs/>
                <w:sz w:val="22"/>
                <w:szCs w:val="22"/>
              </w:rPr>
              <w:t>danych, o których mowa w </w:t>
            </w:r>
            <w:r w:rsidR="002467A2" w:rsidRPr="00BB0E53">
              <w:rPr>
                <w:bCs/>
                <w:sz w:val="22"/>
                <w:szCs w:val="22"/>
              </w:rPr>
              <w:t>pkt 1, oraz metadanych albo</w:t>
            </w:r>
          </w:p>
          <w:p w14:paraId="5CA8D62C" w14:textId="1B0D7DD4" w:rsidR="002467A2" w:rsidRPr="00BB0E53" w:rsidRDefault="002467A2" w:rsidP="00BB0E53">
            <w:pPr>
              <w:numPr>
                <w:ilvl w:val="0"/>
                <w:numId w:val="29"/>
              </w:numPr>
              <w:jc w:val="both"/>
              <w:rPr>
                <w:bCs/>
                <w:sz w:val="22"/>
                <w:szCs w:val="22"/>
              </w:rPr>
            </w:pPr>
            <w:r w:rsidRPr="00BB0E53">
              <w:rPr>
                <w:bCs/>
                <w:sz w:val="22"/>
                <w:szCs w:val="22"/>
              </w:rPr>
              <w:t>metadanych, w przyp</w:t>
            </w:r>
            <w:r w:rsidR="00071FAB" w:rsidRPr="00BB0E53">
              <w:rPr>
                <w:bCs/>
                <w:sz w:val="22"/>
                <w:szCs w:val="22"/>
              </w:rPr>
              <w:t>adku gdy dane, o których mowa w </w:t>
            </w:r>
            <w:r w:rsidRPr="00BB0E53">
              <w:rPr>
                <w:bCs/>
                <w:sz w:val="22"/>
                <w:szCs w:val="22"/>
              </w:rPr>
              <w:t xml:space="preserve">pkt 1, przechowywane są w publicznie dostępnym systemie teleinformatycznym podmiotu zobowiązanego i udostępniane w celu ich ponownego wykorzystywania w sposób, </w:t>
            </w:r>
            <w:r w:rsidRPr="00BB0E53">
              <w:rPr>
                <w:bCs/>
                <w:sz w:val="22"/>
                <w:szCs w:val="22"/>
              </w:rPr>
              <w:lastRenderedPageBreak/>
              <w:t>o którym mowa w art. 25 ust. 1;</w:t>
            </w:r>
          </w:p>
          <w:p w14:paraId="542D4819" w14:textId="77777777" w:rsidR="002467A2" w:rsidRPr="00BB0E53" w:rsidRDefault="002467A2" w:rsidP="00BB0E53">
            <w:pPr>
              <w:numPr>
                <w:ilvl w:val="0"/>
                <w:numId w:val="28"/>
              </w:numPr>
              <w:jc w:val="both"/>
              <w:rPr>
                <w:bCs/>
                <w:sz w:val="22"/>
                <w:szCs w:val="22"/>
              </w:rPr>
            </w:pPr>
            <w:r w:rsidRPr="00BB0E53">
              <w:rPr>
                <w:bCs/>
                <w:sz w:val="22"/>
                <w:szCs w:val="22"/>
              </w:rPr>
              <w:t xml:space="preserve">sposób udostępniania, o którym mowa w pkt 2, </w:t>
            </w:r>
          </w:p>
          <w:p w14:paraId="6833D96C" w14:textId="77777777" w:rsidR="002467A2" w:rsidRPr="00BB0E53" w:rsidRDefault="002467A2" w:rsidP="00BB0E53">
            <w:pPr>
              <w:numPr>
                <w:ilvl w:val="0"/>
                <w:numId w:val="28"/>
              </w:numPr>
              <w:jc w:val="both"/>
              <w:rPr>
                <w:bCs/>
                <w:sz w:val="22"/>
                <w:szCs w:val="22"/>
              </w:rPr>
            </w:pPr>
            <w:r w:rsidRPr="00BB0E53">
              <w:rPr>
                <w:bCs/>
                <w:sz w:val="22"/>
                <w:szCs w:val="22"/>
              </w:rPr>
              <w:t>format danych, o których mowa w pkt 2;</w:t>
            </w:r>
          </w:p>
          <w:p w14:paraId="2828E51E" w14:textId="77777777" w:rsidR="002467A2" w:rsidRPr="00BB0E53" w:rsidRDefault="002467A2" w:rsidP="00BB0E53">
            <w:pPr>
              <w:numPr>
                <w:ilvl w:val="0"/>
                <w:numId w:val="28"/>
              </w:numPr>
              <w:jc w:val="both"/>
              <w:rPr>
                <w:bCs/>
                <w:sz w:val="22"/>
                <w:szCs w:val="22"/>
              </w:rPr>
            </w:pPr>
            <w:r w:rsidRPr="00BB0E53">
              <w:rPr>
                <w:bCs/>
                <w:sz w:val="22"/>
                <w:szCs w:val="22"/>
              </w:rPr>
              <w:t>możliwe warunki ponownego wykorzystywania, o których mowa w rozdziale 3;</w:t>
            </w:r>
          </w:p>
          <w:p w14:paraId="43EA846B" w14:textId="77777777" w:rsidR="002467A2" w:rsidRPr="00BB0E53" w:rsidRDefault="002467A2" w:rsidP="00BB0E53">
            <w:pPr>
              <w:numPr>
                <w:ilvl w:val="0"/>
                <w:numId w:val="28"/>
              </w:numPr>
              <w:jc w:val="both"/>
              <w:rPr>
                <w:bCs/>
                <w:sz w:val="22"/>
                <w:szCs w:val="22"/>
              </w:rPr>
            </w:pPr>
            <w:r w:rsidRPr="00BB0E53">
              <w:rPr>
                <w:bCs/>
                <w:sz w:val="22"/>
                <w:szCs w:val="22"/>
              </w:rPr>
              <w:t xml:space="preserve">częstotliwość aktualizacji danych oraz metadanych, o których mowa w pkt 2, </w:t>
            </w:r>
          </w:p>
          <w:p w14:paraId="16E6D284" w14:textId="717DF005" w:rsidR="002467A2" w:rsidRPr="00BB0E53" w:rsidRDefault="002467A2" w:rsidP="00BB0E53">
            <w:pPr>
              <w:jc w:val="both"/>
              <w:rPr>
                <w:bCs/>
                <w:sz w:val="22"/>
                <w:szCs w:val="22"/>
              </w:rPr>
            </w:pPr>
            <w:r w:rsidRPr="00BB0E53">
              <w:rPr>
                <w:bCs/>
                <w:sz w:val="22"/>
                <w:szCs w:val="22"/>
              </w:rPr>
              <w:t>- określają przepisy wydane na podstaw</w:t>
            </w:r>
            <w:r w:rsidR="00071FAB" w:rsidRPr="00BB0E53">
              <w:rPr>
                <w:bCs/>
                <w:sz w:val="22"/>
                <w:szCs w:val="22"/>
              </w:rPr>
              <w:t>ie art. 18 ust. 1 i 1a ustawy z dnia 29 czerwca 1995 r. o </w:t>
            </w:r>
            <w:r w:rsidRPr="00BB0E53">
              <w:rPr>
                <w:bCs/>
                <w:sz w:val="22"/>
                <w:szCs w:val="22"/>
              </w:rPr>
              <w:t>statystyce publicznej.”.</w:t>
            </w:r>
          </w:p>
          <w:p w14:paraId="4566291F" w14:textId="77777777" w:rsidR="002467A2" w:rsidRPr="00BB0E53" w:rsidRDefault="002467A2" w:rsidP="00BB0E53">
            <w:pPr>
              <w:jc w:val="both"/>
              <w:rPr>
                <w:sz w:val="22"/>
                <w:szCs w:val="22"/>
              </w:rPr>
            </w:pPr>
          </w:p>
        </w:tc>
        <w:tc>
          <w:tcPr>
            <w:tcW w:w="3478" w:type="dxa"/>
          </w:tcPr>
          <w:p w14:paraId="1DF95B7C" w14:textId="219F6C61" w:rsidR="0015485F" w:rsidRPr="00BB0E53" w:rsidRDefault="009F71E0" w:rsidP="00BB0E53">
            <w:pPr>
              <w:jc w:val="both"/>
              <w:rPr>
                <w:b/>
                <w:sz w:val="22"/>
                <w:szCs w:val="22"/>
              </w:rPr>
            </w:pPr>
            <w:r w:rsidRPr="00BB0E53">
              <w:rPr>
                <w:b/>
                <w:sz w:val="22"/>
                <w:szCs w:val="22"/>
              </w:rPr>
              <w:lastRenderedPageBreak/>
              <w:t xml:space="preserve">Uwaga nieuwzględniona </w:t>
            </w:r>
          </w:p>
          <w:p w14:paraId="3B3CA498" w14:textId="0F0A4712" w:rsidR="0015485F" w:rsidRPr="00BB0E53" w:rsidRDefault="0015485F" w:rsidP="00BB0E53">
            <w:pPr>
              <w:jc w:val="both"/>
              <w:rPr>
                <w:sz w:val="22"/>
                <w:szCs w:val="22"/>
              </w:rPr>
            </w:pPr>
            <w:r w:rsidRPr="00BB0E53">
              <w:rPr>
                <w:sz w:val="22"/>
                <w:szCs w:val="22"/>
              </w:rPr>
              <w:t>O</w:t>
            </w:r>
            <w:r w:rsidR="00845377" w:rsidRPr="00BB0E53">
              <w:rPr>
                <w:sz w:val="22"/>
                <w:szCs w:val="22"/>
              </w:rPr>
              <w:t>stateczne brzmienie przepisów w </w:t>
            </w:r>
            <w:r w:rsidRPr="00BB0E53">
              <w:rPr>
                <w:sz w:val="22"/>
                <w:szCs w:val="22"/>
              </w:rPr>
              <w:t xml:space="preserve">sprawie listy danych o wysokiej wartości jest uzależnione od zakresu oraz stopnia szczegółowości aktu wykonawczego Komisji Europejskiej zapowiedzianego na I kwartał 2021. Termin wejścia przepisów w sprawie danych o wysokiej wartości będzie zdeterminowany terminem rozpoczęcia obowiązywania aktu wykonawczego. </w:t>
            </w:r>
          </w:p>
          <w:p w14:paraId="11E0E152" w14:textId="0177B91D" w:rsidR="0015485F" w:rsidRPr="00BB0E53" w:rsidRDefault="0015485F" w:rsidP="00BB0E53">
            <w:pPr>
              <w:jc w:val="both"/>
              <w:rPr>
                <w:sz w:val="22"/>
                <w:szCs w:val="22"/>
              </w:rPr>
            </w:pPr>
            <w:r w:rsidRPr="00BB0E53">
              <w:rPr>
                <w:sz w:val="22"/>
                <w:szCs w:val="22"/>
              </w:rPr>
              <w:t>Postulowana zmiana przepisów ustawy o statystyce publi</w:t>
            </w:r>
            <w:r w:rsidR="00690741" w:rsidRPr="00BB0E53">
              <w:rPr>
                <w:sz w:val="22"/>
                <w:szCs w:val="22"/>
              </w:rPr>
              <w:t>cznej oraz proponowane zmiany w </w:t>
            </w:r>
            <w:r w:rsidRPr="00BB0E53">
              <w:rPr>
                <w:sz w:val="22"/>
                <w:szCs w:val="22"/>
              </w:rPr>
              <w:t>zakresie programu badań statystycznych nie m</w:t>
            </w:r>
            <w:r w:rsidR="00690741" w:rsidRPr="00BB0E53">
              <w:rPr>
                <w:sz w:val="22"/>
                <w:szCs w:val="22"/>
              </w:rPr>
              <w:t>ogą pozostawać w sprzeczności z </w:t>
            </w:r>
            <w:r w:rsidR="00C36353" w:rsidRPr="00BB0E53">
              <w:rPr>
                <w:sz w:val="22"/>
                <w:szCs w:val="22"/>
              </w:rPr>
              <w:t>aktem wykonawczym Komisji, w </w:t>
            </w:r>
            <w:r w:rsidRPr="00BB0E53">
              <w:rPr>
                <w:sz w:val="22"/>
                <w:szCs w:val="22"/>
              </w:rPr>
              <w:t>związku z powyższym na obecnym etapie nie jest możliwe uwzględnienie uwagi.</w:t>
            </w:r>
          </w:p>
          <w:p w14:paraId="7B30B6F7" w14:textId="77777777" w:rsidR="00F8366B" w:rsidRPr="00BB0E53" w:rsidRDefault="00F8366B" w:rsidP="00BB0E53">
            <w:pPr>
              <w:jc w:val="both"/>
              <w:rPr>
                <w:sz w:val="22"/>
                <w:szCs w:val="22"/>
              </w:rPr>
            </w:pPr>
          </w:p>
          <w:p w14:paraId="5ADC85B4" w14:textId="4197B5AF" w:rsidR="00F8366B" w:rsidRPr="00BB0E53" w:rsidRDefault="00F8366B" w:rsidP="00BB0E53">
            <w:pPr>
              <w:jc w:val="both"/>
              <w:rPr>
                <w:sz w:val="22"/>
                <w:szCs w:val="22"/>
              </w:rPr>
            </w:pPr>
            <w:r w:rsidRPr="00BB0E53">
              <w:rPr>
                <w:sz w:val="22"/>
                <w:szCs w:val="22"/>
              </w:rPr>
              <w:lastRenderedPageBreak/>
              <w:t xml:space="preserve">Niezależnie </w:t>
            </w:r>
            <w:r w:rsidR="00690741" w:rsidRPr="00BB0E53">
              <w:rPr>
                <w:sz w:val="22"/>
                <w:szCs w:val="22"/>
              </w:rPr>
              <w:t>od powyższego należy wskazać</w:t>
            </w:r>
            <w:r w:rsidR="0060231A" w:rsidRPr="00BB0E53">
              <w:rPr>
                <w:sz w:val="22"/>
                <w:szCs w:val="22"/>
              </w:rPr>
              <w:t xml:space="preserve"> na inne kwestie p</w:t>
            </w:r>
            <w:r w:rsidR="006052E6" w:rsidRPr="00BB0E53">
              <w:rPr>
                <w:sz w:val="22"/>
                <w:szCs w:val="22"/>
              </w:rPr>
              <w:t>rawno-legislacyjne</w:t>
            </w:r>
            <w:r w:rsidRPr="00BB0E53">
              <w:rPr>
                <w:sz w:val="22"/>
                <w:szCs w:val="22"/>
              </w:rPr>
              <w:t>:</w:t>
            </w:r>
          </w:p>
          <w:p w14:paraId="2C375D57" w14:textId="4279E0B3" w:rsidR="00690741" w:rsidRPr="00BB0E53" w:rsidRDefault="00690741" w:rsidP="00BB0E53">
            <w:pPr>
              <w:pStyle w:val="Akapitzlist"/>
              <w:numPr>
                <w:ilvl w:val="0"/>
                <w:numId w:val="45"/>
              </w:numPr>
              <w:spacing w:line="240" w:lineRule="auto"/>
              <w:ind w:left="256" w:hanging="256"/>
              <w:contextualSpacing w:val="0"/>
              <w:jc w:val="both"/>
              <w:rPr>
                <w:rFonts w:ascii="Times New Roman" w:hAnsi="Times New Roman"/>
              </w:rPr>
            </w:pPr>
            <w:r w:rsidRPr="00BB0E53">
              <w:rPr>
                <w:rFonts w:ascii="Times New Roman" w:hAnsi="Times New Roman"/>
              </w:rPr>
              <w:t>Program badań statystycznych statystyki publicznej (rozporządzenie, o którym mowa w art.</w:t>
            </w:r>
            <w:r w:rsidR="00B9543D" w:rsidRPr="00BB0E53">
              <w:rPr>
                <w:rFonts w:ascii="Times New Roman" w:hAnsi="Times New Roman"/>
              </w:rPr>
              <w:t xml:space="preserve"> 18 ust. 1 ustawy o </w:t>
            </w:r>
            <w:r w:rsidRPr="00BB0E53">
              <w:rPr>
                <w:rFonts w:ascii="Times New Roman" w:hAnsi="Times New Roman"/>
              </w:rPr>
              <w:t>statystyce publicznej</w:t>
            </w:r>
            <w:r w:rsidRPr="00BB0E53">
              <w:rPr>
                <w:rStyle w:val="Odwoanieprzypisudolnego"/>
                <w:rFonts w:ascii="Times New Roman" w:hAnsi="Times New Roman"/>
              </w:rPr>
              <w:footnoteReference w:id="4"/>
            </w:r>
            <w:r w:rsidRPr="00BB0E53">
              <w:rPr>
                <w:rFonts w:ascii="Times New Roman" w:hAnsi="Times New Roman"/>
              </w:rPr>
              <w:t xml:space="preserve">) </w:t>
            </w:r>
            <w:r w:rsidR="00B9543D" w:rsidRPr="00BB0E53">
              <w:rPr>
                <w:rFonts w:ascii="Times New Roman" w:hAnsi="Times New Roman"/>
              </w:rPr>
              <w:t xml:space="preserve">określa </w:t>
            </w:r>
            <w:r w:rsidRPr="00BB0E53">
              <w:rPr>
                <w:rFonts w:ascii="Times New Roman" w:hAnsi="Times New Roman"/>
              </w:rPr>
              <w:t xml:space="preserve">szczegółowy zakres </w:t>
            </w:r>
            <w:r w:rsidR="00B9543D" w:rsidRPr="00BB0E53">
              <w:rPr>
                <w:rFonts w:ascii="Times New Roman" w:hAnsi="Times New Roman"/>
              </w:rPr>
              <w:t>podmiotowy i </w:t>
            </w:r>
            <w:r w:rsidRPr="00BB0E53">
              <w:rPr>
                <w:rFonts w:ascii="Times New Roman" w:hAnsi="Times New Roman"/>
              </w:rPr>
              <w:t>przedmiotowy badań statystycznych</w:t>
            </w:r>
            <w:r w:rsidR="00B9543D" w:rsidRPr="00BB0E53">
              <w:rPr>
                <w:rFonts w:ascii="Times New Roman" w:hAnsi="Times New Roman"/>
              </w:rPr>
              <w:t xml:space="preserve"> na dany rok</w:t>
            </w:r>
            <w:r w:rsidR="0060231A" w:rsidRPr="00BB0E53">
              <w:rPr>
                <w:rFonts w:ascii="Times New Roman" w:hAnsi="Times New Roman"/>
              </w:rPr>
              <w:t xml:space="preserve">. Rozporządzenie to nie reguluje kwestii udostępniania danych oraz zasad i warunków ponownego wykorzystywania ISP, </w:t>
            </w:r>
            <w:r w:rsidR="006052E6" w:rsidRPr="00BB0E53">
              <w:rPr>
                <w:rFonts w:ascii="Times New Roman" w:hAnsi="Times New Roman"/>
              </w:rPr>
              <w:t>inny jest jego cel i przedmiot regulacji,</w:t>
            </w:r>
          </w:p>
          <w:p w14:paraId="08C83077" w14:textId="48BE581F" w:rsidR="00F8366B" w:rsidRPr="00BB0E53" w:rsidRDefault="00B9543D" w:rsidP="00BB0E53">
            <w:pPr>
              <w:pStyle w:val="Akapitzlist"/>
              <w:numPr>
                <w:ilvl w:val="0"/>
                <w:numId w:val="45"/>
              </w:numPr>
              <w:spacing w:line="240" w:lineRule="auto"/>
              <w:ind w:left="260" w:hanging="260"/>
              <w:contextualSpacing w:val="0"/>
              <w:jc w:val="both"/>
              <w:rPr>
                <w:rFonts w:ascii="Times New Roman" w:hAnsi="Times New Roman"/>
              </w:rPr>
            </w:pPr>
            <w:r w:rsidRPr="00BB0E53">
              <w:rPr>
                <w:rFonts w:ascii="Times New Roman" w:hAnsi="Times New Roman"/>
              </w:rPr>
              <w:t xml:space="preserve">Program badań statystycznych statystyki publicznej </w:t>
            </w:r>
            <w:r w:rsidR="00F8366B" w:rsidRPr="00BB0E53">
              <w:rPr>
                <w:rFonts w:ascii="Times New Roman" w:hAnsi="Times New Roman"/>
              </w:rPr>
              <w:t>nie kreuj</w:t>
            </w:r>
            <w:r w:rsidRPr="00BB0E53">
              <w:rPr>
                <w:rFonts w:ascii="Times New Roman" w:hAnsi="Times New Roman"/>
              </w:rPr>
              <w:t>e</w:t>
            </w:r>
            <w:r w:rsidR="00F8366B" w:rsidRPr="00BB0E53">
              <w:rPr>
                <w:rFonts w:ascii="Times New Roman" w:hAnsi="Times New Roman"/>
              </w:rPr>
              <w:t xml:space="preserve"> </w:t>
            </w:r>
            <w:r w:rsidR="0060231A" w:rsidRPr="00BB0E53">
              <w:rPr>
                <w:rFonts w:ascii="Times New Roman" w:hAnsi="Times New Roman"/>
              </w:rPr>
              <w:t xml:space="preserve">po stronie użytkowników </w:t>
            </w:r>
            <w:r w:rsidR="00F8366B" w:rsidRPr="00BB0E53">
              <w:rPr>
                <w:rFonts w:ascii="Times New Roman" w:hAnsi="Times New Roman"/>
              </w:rPr>
              <w:t xml:space="preserve">uprawnienia </w:t>
            </w:r>
            <w:r w:rsidR="0060231A" w:rsidRPr="00BB0E53">
              <w:rPr>
                <w:rFonts w:ascii="Times New Roman" w:hAnsi="Times New Roman"/>
              </w:rPr>
              <w:t>do ponownego wykorzystywania ISP,</w:t>
            </w:r>
          </w:p>
          <w:p w14:paraId="6CA8B0EF" w14:textId="4F776858" w:rsidR="00B9543D" w:rsidRPr="00BB0E53" w:rsidRDefault="00B9543D" w:rsidP="00BB0E53">
            <w:pPr>
              <w:pStyle w:val="Akapitzlist"/>
              <w:numPr>
                <w:ilvl w:val="0"/>
                <w:numId w:val="45"/>
              </w:numPr>
              <w:spacing w:line="240" w:lineRule="auto"/>
              <w:ind w:left="260" w:hanging="260"/>
              <w:contextualSpacing w:val="0"/>
              <w:jc w:val="both"/>
              <w:rPr>
                <w:rFonts w:ascii="Times New Roman" w:hAnsi="Times New Roman"/>
              </w:rPr>
            </w:pPr>
            <w:r w:rsidRPr="00BB0E53">
              <w:rPr>
                <w:rFonts w:ascii="Times New Roman" w:hAnsi="Times New Roman"/>
              </w:rPr>
              <w:t>lista danych o wysokiej wartoś</w:t>
            </w:r>
            <w:r w:rsidR="0060231A" w:rsidRPr="00BB0E53">
              <w:rPr>
                <w:rFonts w:ascii="Times New Roman" w:hAnsi="Times New Roman"/>
              </w:rPr>
              <w:t>ci ustalona</w:t>
            </w:r>
            <w:r w:rsidRPr="00BB0E53">
              <w:rPr>
                <w:rFonts w:ascii="Times New Roman" w:hAnsi="Times New Roman"/>
              </w:rPr>
              <w:t xml:space="preserve"> zostanie jednorazow</w:t>
            </w:r>
            <w:r w:rsidR="00845377" w:rsidRPr="00BB0E53">
              <w:rPr>
                <w:rFonts w:ascii="Times New Roman" w:hAnsi="Times New Roman"/>
              </w:rPr>
              <w:t>o w </w:t>
            </w:r>
            <w:r w:rsidRPr="00BB0E53">
              <w:rPr>
                <w:rFonts w:ascii="Times New Roman" w:hAnsi="Times New Roman"/>
              </w:rPr>
              <w:t>akcie wykonawczym KE</w:t>
            </w:r>
            <w:r w:rsidR="0060231A" w:rsidRPr="00BB0E53">
              <w:rPr>
                <w:rFonts w:ascii="Times New Roman" w:hAnsi="Times New Roman"/>
              </w:rPr>
              <w:t>.</w:t>
            </w:r>
            <w:r w:rsidRPr="00BB0E53">
              <w:rPr>
                <w:rFonts w:ascii="Times New Roman" w:hAnsi="Times New Roman"/>
              </w:rPr>
              <w:t xml:space="preserve"> Program badań statystycznych statystyki publicznej jest natomiast </w:t>
            </w:r>
            <w:r w:rsidR="0060231A" w:rsidRPr="00BB0E53">
              <w:rPr>
                <w:rFonts w:ascii="Times New Roman" w:hAnsi="Times New Roman"/>
              </w:rPr>
              <w:t>ustalan</w:t>
            </w:r>
            <w:r w:rsidR="00845377" w:rsidRPr="00BB0E53">
              <w:rPr>
                <w:rFonts w:ascii="Times New Roman" w:hAnsi="Times New Roman"/>
              </w:rPr>
              <w:t>y</w:t>
            </w:r>
            <w:r w:rsidR="0060231A" w:rsidRPr="00BB0E53">
              <w:rPr>
                <w:rFonts w:ascii="Times New Roman" w:hAnsi="Times New Roman"/>
              </w:rPr>
              <w:t xml:space="preserve"> corocznie</w:t>
            </w:r>
            <w:r w:rsidR="006052E6" w:rsidRPr="00BB0E53">
              <w:rPr>
                <w:rFonts w:ascii="Times New Roman" w:hAnsi="Times New Roman"/>
              </w:rPr>
              <w:t>, ze swej natury ma charakter epizodyczny</w:t>
            </w:r>
            <w:r w:rsidR="001761C3" w:rsidRPr="00BB0E53">
              <w:rPr>
                <w:rFonts w:ascii="Times New Roman" w:hAnsi="Times New Roman"/>
              </w:rPr>
              <w:t>.</w:t>
            </w:r>
          </w:p>
          <w:p w14:paraId="1F458967" w14:textId="2BAA7372" w:rsidR="00B9543D" w:rsidRPr="00BB0E53" w:rsidRDefault="00B9543D" w:rsidP="00BB0E53">
            <w:pPr>
              <w:pStyle w:val="Akapitzlist"/>
              <w:numPr>
                <w:ilvl w:val="0"/>
                <w:numId w:val="45"/>
              </w:numPr>
              <w:spacing w:line="240" w:lineRule="auto"/>
              <w:ind w:left="260" w:hanging="260"/>
              <w:contextualSpacing w:val="0"/>
              <w:jc w:val="both"/>
              <w:rPr>
                <w:rFonts w:ascii="Times New Roman" w:hAnsi="Times New Roman"/>
              </w:rPr>
            </w:pPr>
            <w:r w:rsidRPr="00BB0E53">
              <w:rPr>
                <w:rFonts w:ascii="Times New Roman" w:hAnsi="Times New Roman"/>
              </w:rPr>
              <w:t>w ramach zaproponowanej przez GUS redakcji przepisów można mówić o swoistej subdelegacji</w:t>
            </w:r>
            <w:r w:rsidR="00845377" w:rsidRPr="00BB0E53">
              <w:rPr>
                <w:rFonts w:ascii="Times New Roman" w:hAnsi="Times New Roman"/>
              </w:rPr>
              <w:t xml:space="preserve"> i </w:t>
            </w:r>
            <w:r w:rsidRPr="00BB0E53">
              <w:rPr>
                <w:rFonts w:ascii="Times New Roman" w:hAnsi="Times New Roman"/>
              </w:rPr>
              <w:t xml:space="preserve">kaskadowości przepisów. Art. 28 projektowanej ustawy  </w:t>
            </w:r>
            <w:r w:rsidRPr="00BB0E53">
              <w:rPr>
                <w:rFonts w:ascii="Times New Roman" w:hAnsi="Times New Roman"/>
              </w:rPr>
              <w:lastRenderedPageBreak/>
              <w:t>w brzmieniu zaproponowanym</w:t>
            </w:r>
            <w:r w:rsidR="00845377" w:rsidRPr="00BB0E53">
              <w:rPr>
                <w:rFonts w:ascii="Times New Roman" w:hAnsi="Times New Roman"/>
              </w:rPr>
              <w:t xml:space="preserve"> w </w:t>
            </w:r>
            <w:r w:rsidRPr="00BB0E53">
              <w:rPr>
                <w:rFonts w:ascii="Times New Roman" w:hAnsi="Times New Roman"/>
              </w:rPr>
              <w:t xml:space="preserve">uwadze stanowić będzie delegacje ustawową do uregulowania kwestii danych o wysokiej wartości </w:t>
            </w:r>
            <w:r w:rsidR="0060231A" w:rsidRPr="00BB0E53">
              <w:rPr>
                <w:rFonts w:ascii="Times New Roman" w:hAnsi="Times New Roman"/>
              </w:rPr>
              <w:t>w </w:t>
            </w:r>
            <w:r w:rsidRPr="00BB0E53">
              <w:rPr>
                <w:rFonts w:ascii="Times New Roman" w:hAnsi="Times New Roman"/>
              </w:rPr>
              <w:t>przepisach wykonawczych wydanych na podstawie ustawy o statystce publicznej</w:t>
            </w:r>
            <w:r w:rsidR="0060231A" w:rsidRPr="00BB0E53">
              <w:rPr>
                <w:rFonts w:ascii="Times New Roman" w:hAnsi="Times New Roman"/>
              </w:rPr>
              <w:t>.</w:t>
            </w:r>
          </w:p>
          <w:p w14:paraId="48577821" w14:textId="17D022F2" w:rsidR="00B9543D" w:rsidRPr="00BB0E53" w:rsidRDefault="0060231A" w:rsidP="00BB0E53">
            <w:pPr>
              <w:pStyle w:val="Akapitzlist"/>
              <w:numPr>
                <w:ilvl w:val="0"/>
                <w:numId w:val="45"/>
              </w:numPr>
              <w:spacing w:line="240" w:lineRule="auto"/>
              <w:ind w:left="260" w:hanging="260"/>
              <w:contextualSpacing w:val="0"/>
              <w:jc w:val="both"/>
              <w:rPr>
                <w:rFonts w:ascii="Times New Roman" w:hAnsi="Times New Roman"/>
              </w:rPr>
            </w:pPr>
            <w:r w:rsidRPr="00BB0E53">
              <w:rPr>
                <w:rFonts w:ascii="Times New Roman" w:hAnsi="Times New Roman"/>
              </w:rPr>
              <w:t>w ustawie o statystyce publicznej brak jest przepisów</w:t>
            </w:r>
            <w:r w:rsidR="00845377" w:rsidRPr="00BB0E53">
              <w:rPr>
                <w:rFonts w:ascii="Times New Roman" w:hAnsi="Times New Roman"/>
              </w:rPr>
              <w:t xml:space="preserve"> dot. zasad i </w:t>
            </w:r>
            <w:r w:rsidRPr="00BB0E53">
              <w:rPr>
                <w:rFonts w:ascii="Times New Roman" w:hAnsi="Times New Roman"/>
              </w:rPr>
              <w:t xml:space="preserve">warunków ponownego wykorzystywania, do których rozporządzenia dotyczące danych o wysokiej wartości się odwołują. </w:t>
            </w:r>
          </w:p>
          <w:p w14:paraId="40293026" w14:textId="77777777" w:rsidR="00B9543D" w:rsidRPr="00BB0E53" w:rsidRDefault="00B9543D" w:rsidP="00BB0E53">
            <w:pPr>
              <w:jc w:val="both"/>
              <w:rPr>
                <w:sz w:val="22"/>
                <w:szCs w:val="22"/>
                <w:highlight w:val="yellow"/>
              </w:rPr>
            </w:pPr>
          </w:p>
          <w:p w14:paraId="7B446CCA" w14:textId="08DE62D0" w:rsidR="00F8366B" w:rsidRPr="00BB0E53" w:rsidRDefault="00F8366B" w:rsidP="00BB0E53">
            <w:pPr>
              <w:jc w:val="both"/>
              <w:rPr>
                <w:sz w:val="22"/>
                <w:szCs w:val="22"/>
              </w:rPr>
            </w:pPr>
          </w:p>
        </w:tc>
      </w:tr>
      <w:tr w:rsidR="00940D7B" w:rsidRPr="00BB0E53" w14:paraId="0A83C00C" w14:textId="77777777" w:rsidTr="001C649B">
        <w:trPr>
          <w:jc w:val="center"/>
        </w:trPr>
        <w:tc>
          <w:tcPr>
            <w:tcW w:w="568" w:type="dxa"/>
            <w:shd w:val="clear" w:color="auto" w:fill="auto"/>
            <w:vAlign w:val="center"/>
          </w:tcPr>
          <w:p w14:paraId="1BCF49A3" w14:textId="5EA85DAE" w:rsidR="002467A2" w:rsidRPr="00BB0E53" w:rsidRDefault="002467A2" w:rsidP="00BB0E53">
            <w:pPr>
              <w:numPr>
                <w:ilvl w:val="0"/>
                <w:numId w:val="3"/>
              </w:numPr>
              <w:jc w:val="center"/>
              <w:rPr>
                <w:sz w:val="22"/>
                <w:szCs w:val="22"/>
              </w:rPr>
            </w:pPr>
          </w:p>
        </w:tc>
        <w:tc>
          <w:tcPr>
            <w:tcW w:w="1227" w:type="dxa"/>
            <w:shd w:val="clear" w:color="auto" w:fill="auto"/>
            <w:vAlign w:val="center"/>
          </w:tcPr>
          <w:p w14:paraId="7A48A65D" w14:textId="3026DD08" w:rsidR="002467A2" w:rsidRPr="00BB0E53" w:rsidRDefault="002467A2" w:rsidP="00BB0E53">
            <w:pPr>
              <w:jc w:val="center"/>
              <w:rPr>
                <w:sz w:val="22"/>
                <w:szCs w:val="22"/>
              </w:rPr>
            </w:pPr>
            <w:r w:rsidRPr="00BB0E53">
              <w:rPr>
                <w:sz w:val="22"/>
                <w:szCs w:val="22"/>
              </w:rPr>
              <w:t>GUS</w:t>
            </w:r>
          </w:p>
        </w:tc>
        <w:tc>
          <w:tcPr>
            <w:tcW w:w="1475" w:type="dxa"/>
            <w:shd w:val="clear" w:color="auto" w:fill="auto"/>
            <w:vAlign w:val="center"/>
          </w:tcPr>
          <w:p w14:paraId="502327CF" w14:textId="5678D377" w:rsidR="002467A2" w:rsidRPr="00BB0E53" w:rsidRDefault="002467A2" w:rsidP="00BB0E53">
            <w:pPr>
              <w:jc w:val="center"/>
              <w:rPr>
                <w:sz w:val="22"/>
                <w:szCs w:val="22"/>
              </w:rPr>
            </w:pPr>
            <w:r w:rsidRPr="00BB0E53">
              <w:rPr>
                <w:sz w:val="22"/>
                <w:szCs w:val="22"/>
              </w:rPr>
              <w:t>Art. 49</w:t>
            </w:r>
          </w:p>
        </w:tc>
        <w:tc>
          <w:tcPr>
            <w:tcW w:w="3777" w:type="dxa"/>
            <w:shd w:val="clear" w:color="auto" w:fill="auto"/>
          </w:tcPr>
          <w:p w14:paraId="26DC41AA" w14:textId="274D7899" w:rsidR="002467A2" w:rsidRPr="00BB0E53" w:rsidRDefault="002467A2" w:rsidP="00BB0E53">
            <w:pPr>
              <w:jc w:val="both"/>
              <w:rPr>
                <w:sz w:val="22"/>
                <w:szCs w:val="22"/>
              </w:rPr>
            </w:pPr>
            <w:r w:rsidRPr="00BB0E53">
              <w:rPr>
                <w:sz w:val="22"/>
                <w:szCs w:val="22"/>
              </w:rPr>
              <w:t xml:space="preserve">GUS proponuje rozszerzenie zmian wprowadzanych w art. 49 projektowanej ustawy w ustawie z dnia </w:t>
            </w:r>
            <w:r w:rsidRPr="00BB0E53">
              <w:rPr>
                <w:sz w:val="22"/>
                <w:szCs w:val="22"/>
              </w:rPr>
              <w:br/>
              <w:t>29 czerwca 1995 r. o statystyce publiczn</w:t>
            </w:r>
            <w:r w:rsidR="009F71E0" w:rsidRPr="00BB0E53">
              <w:rPr>
                <w:sz w:val="22"/>
                <w:szCs w:val="22"/>
              </w:rPr>
              <w:t>ej (Dz. U. z 2020 r. poz. 443 i </w:t>
            </w:r>
            <w:r w:rsidRPr="00BB0E53">
              <w:rPr>
                <w:sz w:val="22"/>
                <w:szCs w:val="22"/>
              </w:rPr>
              <w:t xml:space="preserve">1486). GUS proponuje dodanie w art. 49 projektowanej ustawy zmiany dotyczącej art. 18 ustawy o statystyce publicznej. </w:t>
            </w:r>
          </w:p>
          <w:p w14:paraId="6ACFD3F9" w14:textId="77E42A11" w:rsidR="002467A2" w:rsidRPr="00BB0E53" w:rsidRDefault="002467A2" w:rsidP="00BB0E53">
            <w:pPr>
              <w:jc w:val="both"/>
              <w:rPr>
                <w:sz w:val="22"/>
                <w:szCs w:val="22"/>
              </w:rPr>
            </w:pPr>
            <w:r w:rsidRPr="00BB0E53">
              <w:rPr>
                <w:sz w:val="22"/>
                <w:szCs w:val="22"/>
              </w:rPr>
              <w:t>Proponowane dodanie w art. 49 projektowanej ustawy ust. 1a w art. 18 ustawy z dnia 29 czerwca 1995 r.  o statyst</w:t>
            </w:r>
            <w:r w:rsidR="009F71E0" w:rsidRPr="00BB0E53">
              <w:rPr>
                <w:sz w:val="22"/>
                <w:szCs w:val="22"/>
              </w:rPr>
              <w:t>yce publicznej ściśle powiązane </w:t>
            </w:r>
            <w:r w:rsidRPr="00BB0E53">
              <w:rPr>
                <w:sz w:val="22"/>
                <w:szCs w:val="22"/>
              </w:rPr>
              <w:t>jest z proponowanym brzmieniem art. 28 projektowanej ustawy (</w:t>
            </w:r>
            <w:r w:rsidRPr="00BB0E53">
              <w:rPr>
                <w:i/>
                <w:sz w:val="22"/>
                <w:szCs w:val="22"/>
              </w:rPr>
              <w:t>vide</w:t>
            </w:r>
            <w:r w:rsidRPr="00BB0E53">
              <w:rPr>
                <w:sz w:val="22"/>
                <w:szCs w:val="22"/>
              </w:rPr>
              <w:t xml:space="preserve"> pkt </w:t>
            </w:r>
            <w:r w:rsidR="009F71E0" w:rsidRPr="00BB0E53">
              <w:rPr>
                <w:sz w:val="22"/>
                <w:szCs w:val="22"/>
              </w:rPr>
              <w:t>8</w:t>
            </w:r>
            <w:r w:rsidRPr="00BB0E53">
              <w:rPr>
                <w:sz w:val="22"/>
                <w:szCs w:val="22"/>
              </w:rPr>
              <w:t xml:space="preserve"> niniejszej tabeli).</w:t>
            </w:r>
          </w:p>
          <w:p w14:paraId="4203E0A8" w14:textId="73873E68" w:rsidR="002467A2" w:rsidRPr="00BB0E53" w:rsidRDefault="002467A2" w:rsidP="00BB0E53">
            <w:pPr>
              <w:jc w:val="both"/>
              <w:rPr>
                <w:sz w:val="22"/>
                <w:szCs w:val="22"/>
              </w:rPr>
            </w:pPr>
            <w:r w:rsidRPr="00BB0E53">
              <w:rPr>
                <w:sz w:val="22"/>
                <w:szCs w:val="22"/>
              </w:rPr>
              <w:t>P</w:t>
            </w:r>
            <w:r w:rsidR="009F71E0" w:rsidRPr="00BB0E53">
              <w:rPr>
                <w:sz w:val="22"/>
                <w:szCs w:val="22"/>
              </w:rPr>
              <w:t>roponowane rozwiązanie wynika z </w:t>
            </w:r>
            <w:r w:rsidRPr="00BB0E53">
              <w:rPr>
                <w:sz w:val="22"/>
                <w:szCs w:val="22"/>
              </w:rPr>
              <w:t>konieczności zapewnienia spójności projektowanej ustawy z przepisami usta</w:t>
            </w:r>
            <w:r w:rsidR="009F71E0" w:rsidRPr="00BB0E53">
              <w:rPr>
                <w:sz w:val="22"/>
                <w:szCs w:val="22"/>
              </w:rPr>
              <w:t>wy z dnia 29 czerwca 1995 r.  o </w:t>
            </w:r>
            <w:r w:rsidRPr="00BB0E53">
              <w:rPr>
                <w:sz w:val="22"/>
                <w:szCs w:val="22"/>
              </w:rPr>
              <w:t>stat</w:t>
            </w:r>
            <w:r w:rsidR="009F71E0" w:rsidRPr="00BB0E53">
              <w:rPr>
                <w:sz w:val="22"/>
                <w:szCs w:val="22"/>
              </w:rPr>
              <w:t>ystyce publicznej regulującej w </w:t>
            </w:r>
            <w:r w:rsidRPr="00BB0E53">
              <w:rPr>
                <w:sz w:val="22"/>
                <w:szCs w:val="22"/>
              </w:rPr>
              <w:t xml:space="preserve">szczególności kwestie dotyczące programu badań statystycznych </w:t>
            </w:r>
            <w:r w:rsidR="009F71E0" w:rsidRPr="00BB0E53">
              <w:rPr>
                <w:sz w:val="22"/>
                <w:szCs w:val="22"/>
              </w:rPr>
              <w:t>statystyki publicznej</w:t>
            </w:r>
            <w:r w:rsidRPr="00BB0E53">
              <w:rPr>
                <w:sz w:val="22"/>
                <w:szCs w:val="22"/>
              </w:rPr>
              <w:t xml:space="preserve"> w oparciu o </w:t>
            </w:r>
            <w:r w:rsidR="009F71E0" w:rsidRPr="00BB0E53">
              <w:rPr>
                <w:sz w:val="22"/>
                <w:szCs w:val="22"/>
              </w:rPr>
              <w:t>który pozyskiwane, gromadzone i </w:t>
            </w:r>
            <w:r w:rsidRPr="00BB0E53">
              <w:rPr>
                <w:sz w:val="22"/>
                <w:szCs w:val="22"/>
              </w:rPr>
              <w:t>udostępniane są dane statystyczne.</w:t>
            </w:r>
          </w:p>
          <w:p w14:paraId="29CE67C5" w14:textId="77777777" w:rsidR="002467A2" w:rsidRPr="00BB0E53" w:rsidRDefault="002467A2" w:rsidP="00BB0E53">
            <w:pPr>
              <w:jc w:val="both"/>
              <w:rPr>
                <w:sz w:val="22"/>
                <w:szCs w:val="22"/>
              </w:rPr>
            </w:pPr>
            <w:r w:rsidRPr="00BB0E53">
              <w:rPr>
                <w:sz w:val="22"/>
                <w:szCs w:val="22"/>
              </w:rPr>
              <w:lastRenderedPageBreak/>
              <w:t>Po wejściu w życie proponowanej zmiany w art. 18 ustawy z dnia 29 czerwca 1995 r.  o statystyce publicznej program badań statystycznych statystyki publicznej będzie określać również:</w:t>
            </w:r>
          </w:p>
          <w:p w14:paraId="6E6FC921" w14:textId="41A9F199" w:rsidR="002467A2" w:rsidRPr="00BB0E53" w:rsidRDefault="002467A2" w:rsidP="00BB0E53">
            <w:pPr>
              <w:numPr>
                <w:ilvl w:val="0"/>
                <w:numId w:val="30"/>
              </w:numPr>
              <w:jc w:val="both"/>
              <w:rPr>
                <w:bCs/>
                <w:sz w:val="22"/>
                <w:szCs w:val="22"/>
              </w:rPr>
            </w:pPr>
            <w:r w:rsidRPr="00BB0E53">
              <w:rPr>
                <w:bCs/>
                <w:sz w:val="22"/>
                <w:szCs w:val="22"/>
              </w:rPr>
              <w:t>lis</w:t>
            </w:r>
            <w:r w:rsidR="009F71E0" w:rsidRPr="00BB0E53">
              <w:rPr>
                <w:bCs/>
                <w:sz w:val="22"/>
                <w:szCs w:val="22"/>
              </w:rPr>
              <w:t>tę danych o wysokiej wartości w </w:t>
            </w:r>
            <w:r w:rsidRPr="00BB0E53">
              <w:rPr>
                <w:bCs/>
                <w:sz w:val="22"/>
                <w:szCs w:val="22"/>
              </w:rPr>
              <w:t xml:space="preserve">rozumieniu w art. 2 pkt 4 ustawy </w:t>
            </w:r>
            <w:r w:rsidR="009F71E0" w:rsidRPr="00BB0E53">
              <w:rPr>
                <w:bCs/>
                <w:sz w:val="22"/>
                <w:szCs w:val="22"/>
              </w:rPr>
              <w:t>z dnia ……. o otwartych danych i </w:t>
            </w:r>
            <w:r w:rsidRPr="00BB0E53">
              <w:rPr>
                <w:bCs/>
                <w:sz w:val="22"/>
                <w:szCs w:val="22"/>
              </w:rPr>
              <w:t>ponownym wykorzystywaniu informacji sektora publicznego z kategorii tematycznej</w:t>
            </w:r>
            <w:r w:rsidR="009F71E0" w:rsidRPr="00BB0E53">
              <w:rPr>
                <w:bCs/>
                <w:sz w:val="22"/>
                <w:szCs w:val="22"/>
              </w:rPr>
              <w:t>: dane statystyczne, będących w </w:t>
            </w:r>
            <w:r w:rsidRPr="00BB0E53">
              <w:rPr>
                <w:bCs/>
                <w:sz w:val="22"/>
                <w:szCs w:val="22"/>
              </w:rPr>
              <w:t>posiadaniu organów lub podmiotów prowadzących badania statystyczne, jeżeli są podmiotam</w:t>
            </w:r>
            <w:r w:rsidR="009F71E0" w:rsidRPr="00BB0E53">
              <w:rPr>
                <w:bCs/>
                <w:sz w:val="22"/>
                <w:szCs w:val="22"/>
              </w:rPr>
              <w:t>i zobowiązanymi, w rozumieniu w </w:t>
            </w:r>
            <w:r w:rsidRPr="00BB0E53">
              <w:rPr>
                <w:bCs/>
                <w:sz w:val="22"/>
                <w:szCs w:val="22"/>
              </w:rPr>
              <w:t>art. 3 ustawy z dnia ……. o otwartych danych i ponownym wykorzystywaniu informacji sektora publicznego;</w:t>
            </w:r>
          </w:p>
          <w:p w14:paraId="5183EBA7" w14:textId="77777777" w:rsidR="002467A2" w:rsidRPr="00BB0E53" w:rsidRDefault="002467A2" w:rsidP="00BB0E53">
            <w:pPr>
              <w:numPr>
                <w:ilvl w:val="0"/>
                <w:numId w:val="30"/>
              </w:numPr>
              <w:jc w:val="both"/>
              <w:rPr>
                <w:bCs/>
                <w:sz w:val="22"/>
                <w:szCs w:val="22"/>
              </w:rPr>
            </w:pPr>
            <w:r w:rsidRPr="00BB0E53">
              <w:rPr>
                <w:bCs/>
                <w:sz w:val="22"/>
                <w:szCs w:val="22"/>
              </w:rPr>
              <w:t>harmonogram udostępniania przez podmioty zobowiązane na portalu danych, o którym mowa w art. 2 pkt 13 ustawy z dnia ……. o otwartych danych i ponownym wykorzystywaniu informacji sektora publicznego:</w:t>
            </w:r>
          </w:p>
          <w:p w14:paraId="4CF43877" w14:textId="77777777" w:rsidR="002467A2" w:rsidRPr="00BB0E53" w:rsidRDefault="002467A2" w:rsidP="00BB0E53">
            <w:pPr>
              <w:numPr>
                <w:ilvl w:val="0"/>
                <w:numId w:val="36"/>
              </w:numPr>
              <w:jc w:val="both"/>
              <w:rPr>
                <w:bCs/>
                <w:sz w:val="22"/>
                <w:szCs w:val="22"/>
              </w:rPr>
            </w:pPr>
            <w:r w:rsidRPr="00BB0E53">
              <w:rPr>
                <w:bCs/>
                <w:sz w:val="22"/>
                <w:szCs w:val="22"/>
              </w:rPr>
              <w:t>danych, o których mowa w pkt 1, oraz metadanych albo</w:t>
            </w:r>
          </w:p>
          <w:p w14:paraId="5026FC0E" w14:textId="77777777" w:rsidR="002467A2" w:rsidRPr="00BB0E53" w:rsidRDefault="002467A2" w:rsidP="00BB0E53">
            <w:pPr>
              <w:numPr>
                <w:ilvl w:val="0"/>
                <w:numId w:val="36"/>
              </w:numPr>
              <w:jc w:val="both"/>
              <w:rPr>
                <w:bCs/>
                <w:sz w:val="22"/>
                <w:szCs w:val="22"/>
              </w:rPr>
            </w:pPr>
            <w:r w:rsidRPr="00BB0E53">
              <w:rPr>
                <w:bCs/>
                <w:sz w:val="22"/>
                <w:szCs w:val="22"/>
              </w:rPr>
              <w:t xml:space="preserve">metadanych, w przypadku gdy dane, o których mowa w pkt 1, przechowywane są w publicznie dostępnym systemie teleinformatycznym podmiotu zobowiązanego i udostępniane w celu ich ponownego </w:t>
            </w:r>
            <w:r w:rsidRPr="00BB0E53">
              <w:rPr>
                <w:bCs/>
                <w:sz w:val="22"/>
                <w:szCs w:val="22"/>
              </w:rPr>
              <w:lastRenderedPageBreak/>
              <w:t>wykorzystywania w sposób, o którym mowa w art. 25 ust. 1 ustawy z dnia ……. o otwartych danych i ponownym wykorzystywaniu informacji sektora publicznego;</w:t>
            </w:r>
          </w:p>
          <w:p w14:paraId="02A0823A" w14:textId="77777777" w:rsidR="002467A2" w:rsidRPr="00BB0E53" w:rsidRDefault="002467A2" w:rsidP="00BB0E53">
            <w:pPr>
              <w:numPr>
                <w:ilvl w:val="0"/>
                <w:numId w:val="31"/>
              </w:numPr>
              <w:jc w:val="both"/>
              <w:rPr>
                <w:bCs/>
                <w:sz w:val="22"/>
                <w:szCs w:val="22"/>
              </w:rPr>
            </w:pPr>
            <w:r w:rsidRPr="00BB0E53">
              <w:rPr>
                <w:bCs/>
                <w:sz w:val="22"/>
                <w:szCs w:val="22"/>
              </w:rPr>
              <w:t>sposób udostępniania, o którym mowa w pkt 2;</w:t>
            </w:r>
          </w:p>
          <w:p w14:paraId="62B09614" w14:textId="12BA18AC" w:rsidR="002467A2" w:rsidRPr="00BB0E53" w:rsidRDefault="009F71E0" w:rsidP="00BB0E53">
            <w:pPr>
              <w:numPr>
                <w:ilvl w:val="0"/>
                <w:numId w:val="31"/>
              </w:numPr>
              <w:jc w:val="both"/>
              <w:rPr>
                <w:bCs/>
                <w:sz w:val="22"/>
                <w:szCs w:val="22"/>
              </w:rPr>
            </w:pPr>
            <w:r w:rsidRPr="00BB0E53">
              <w:rPr>
                <w:bCs/>
                <w:sz w:val="22"/>
                <w:szCs w:val="22"/>
              </w:rPr>
              <w:t>format danych, o których mowa w </w:t>
            </w:r>
            <w:r w:rsidR="002467A2" w:rsidRPr="00BB0E53">
              <w:rPr>
                <w:bCs/>
                <w:sz w:val="22"/>
                <w:szCs w:val="22"/>
              </w:rPr>
              <w:t>pkt 2;</w:t>
            </w:r>
          </w:p>
          <w:p w14:paraId="2B7A6126" w14:textId="77777777" w:rsidR="002467A2" w:rsidRPr="00BB0E53" w:rsidRDefault="002467A2" w:rsidP="00BB0E53">
            <w:pPr>
              <w:numPr>
                <w:ilvl w:val="0"/>
                <w:numId w:val="31"/>
              </w:numPr>
              <w:jc w:val="both"/>
              <w:rPr>
                <w:bCs/>
                <w:sz w:val="22"/>
                <w:szCs w:val="22"/>
              </w:rPr>
            </w:pPr>
            <w:r w:rsidRPr="00BB0E53">
              <w:rPr>
                <w:bCs/>
                <w:sz w:val="22"/>
                <w:szCs w:val="22"/>
              </w:rPr>
              <w:t>możliwe warunki ponownego wykorzystywania;</w:t>
            </w:r>
          </w:p>
          <w:p w14:paraId="10EDBE28" w14:textId="77777777" w:rsidR="002467A2" w:rsidRPr="00BB0E53" w:rsidRDefault="002467A2" w:rsidP="00BB0E53">
            <w:pPr>
              <w:numPr>
                <w:ilvl w:val="0"/>
                <w:numId w:val="31"/>
              </w:numPr>
              <w:jc w:val="both"/>
              <w:rPr>
                <w:bCs/>
                <w:sz w:val="22"/>
                <w:szCs w:val="22"/>
              </w:rPr>
            </w:pPr>
            <w:r w:rsidRPr="00BB0E53">
              <w:rPr>
                <w:bCs/>
                <w:sz w:val="22"/>
                <w:szCs w:val="22"/>
              </w:rPr>
              <w:t>częstotliwość aktualizacji danych oraz metadanych, o których mowa w pkt 2.</w:t>
            </w:r>
          </w:p>
          <w:p w14:paraId="0BA4C5B9" w14:textId="2B6C104C" w:rsidR="002467A2" w:rsidRPr="00BB0E53" w:rsidRDefault="002467A2" w:rsidP="00BB0E53">
            <w:pPr>
              <w:jc w:val="both"/>
              <w:rPr>
                <w:sz w:val="22"/>
                <w:szCs w:val="22"/>
              </w:rPr>
            </w:pPr>
            <w:r w:rsidRPr="00BB0E53">
              <w:rPr>
                <w:sz w:val="22"/>
                <w:szCs w:val="22"/>
              </w:rPr>
              <w:t>Rozwiązanie takie umożliwi pełną implementację dyrektywy 2019/1024 Parlamentu Europejskiego i Rady z dnia 20 czerwca 2019 r. w sprawie otwartych danych i ponownego wykorzystywania informacji sektora publicznego (Dz. Urz. U</w:t>
            </w:r>
            <w:r w:rsidR="009F71E0" w:rsidRPr="00BB0E53">
              <w:rPr>
                <w:sz w:val="22"/>
                <w:szCs w:val="22"/>
              </w:rPr>
              <w:t>E L 172 z 26.08.1919, z. 156) w </w:t>
            </w:r>
            <w:r w:rsidRPr="00BB0E53">
              <w:rPr>
                <w:sz w:val="22"/>
                <w:szCs w:val="22"/>
              </w:rPr>
              <w:t xml:space="preserve">zakresie odnoszącym się do </w:t>
            </w:r>
            <w:r w:rsidRPr="00BB0E53">
              <w:rPr>
                <w:bCs/>
                <w:sz w:val="22"/>
                <w:szCs w:val="22"/>
              </w:rPr>
              <w:t>pon</w:t>
            </w:r>
            <w:r w:rsidR="009F71E0" w:rsidRPr="00BB0E53">
              <w:rPr>
                <w:bCs/>
                <w:sz w:val="22"/>
                <w:szCs w:val="22"/>
              </w:rPr>
              <w:t>ownego wykorzystywania danych o </w:t>
            </w:r>
            <w:r w:rsidRPr="00BB0E53">
              <w:rPr>
                <w:bCs/>
                <w:sz w:val="22"/>
                <w:szCs w:val="22"/>
              </w:rPr>
              <w:t xml:space="preserve">wysokiej wartości z badań statystycznych objętych programem badań statystycznych statystyki publicznej. Program ten ustalany jest corocznie w drodze rozporządzenia Rady Ministrów, wydawanego obecnie na podstawie art. 18 ust. 1 </w:t>
            </w:r>
            <w:r w:rsidR="009F71E0" w:rsidRPr="00BB0E53">
              <w:rPr>
                <w:sz w:val="22"/>
                <w:szCs w:val="22"/>
              </w:rPr>
              <w:t>ustawy o </w:t>
            </w:r>
            <w:r w:rsidRPr="00BB0E53">
              <w:rPr>
                <w:sz w:val="22"/>
                <w:szCs w:val="22"/>
              </w:rPr>
              <w:t>statys</w:t>
            </w:r>
            <w:r w:rsidR="009F71E0" w:rsidRPr="00BB0E53">
              <w:rPr>
                <w:sz w:val="22"/>
                <w:szCs w:val="22"/>
              </w:rPr>
              <w:t>tyce publicznej, a po wejściu w </w:t>
            </w:r>
            <w:r w:rsidRPr="00BB0E53">
              <w:rPr>
                <w:sz w:val="22"/>
                <w:szCs w:val="22"/>
              </w:rPr>
              <w:t xml:space="preserve">życie tej zmiany – będzie wydawany </w:t>
            </w:r>
            <w:r w:rsidRPr="00BB0E53">
              <w:rPr>
                <w:bCs/>
                <w:sz w:val="22"/>
                <w:szCs w:val="22"/>
              </w:rPr>
              <w:t xml:space="preserve">na podstawie art. 18 ust. 1 i 1a </w:t>
            </w:r>
            <w:r w:rsidR="009F71E0" w:rsidRPr="00BB0E53">
              <w:rPr>
                <w:sz w:val="22"/>
                <w:szCs w:val="22"/>
              </w:rPr>
              <w:t>ustawy o </w:t>
            </w:r>
            <w:r w:rsidRPr="00BB0E53">
              <w:rPr>
                <w:sz w:val="22"/>
                <w:szCs w:val="22"/>
              </w:rPr>
              <w:t>statystyce publicznej.</w:t>
            </w:r>
          </w:p>
          <w:p w14:paraId="4B41FEBB" w14:textId="77777777" w:rsidR="002467A2" w:rsidRPr="00BB0E53" w:rsidRDefault="002467A2" w:rsidP="00BB0E53">
            <w:pPr>
              <w:jc w:val="both"/>
              <w:rPr>
                <w:sz w:val="22"/>
                <w:szCs w:val="22"/>
              </w:rPr>
            </w:pPr>
            <w:r w:rsidRPr="00BB0E53">
              <w:rPr>
                <w:sz w:val="22"/>
                <w:szCs w:val="22"/>
              </w:rPr>
              <w:lastRenderedPageBreak/>
              <w:t>Proponowana zmiana zapewni spójność polskiego systemu prawa, a także wpisywać się będzie w już istniejące rozwiązania prawne, nie burząc przy tym utrwalonych i dobrze działających rozwiązań w zakresie dotyczącym badań statystycznych statystyki publicznej.</w:t>
            </w:r>
          </w:p>
          <w:p w14:paraId="3DD63270" w14:textId="42E2FC92" w:rsidR="002467A2" w:rsidRPr="00BB0E53" w:rsidRDefault="002467A2" w:rsidP="00BB0E53">
            <w:pPr>
              <w:jc w:val="both"/>
              <w:rPr>
                <w:sz w:val="22"/>
                <w:szCs w:val="22"/>
              </w:rPr>
            </w:pPr>
            <w:r w:rsidRPr="00BB0E53">
              <w:rPr>
                <w:sz w:val="22"/>
                <w:szCs w:val="22"/>
              </w:rPr>
              <w:t xml:space="preserve">Jednocześnie należy podkreślić, że </w:t>
            </w:r>
            <w:r w:rsidR="009F71E0" w:rsidRPr="00BB0E53">
              <w:rPr>
                <w:bCs/>
                <w:sz w:val="22"/>
                <w:szCs w:val="22"/>
              </w:rPr>
              <w:t>w </w:t>
            </w:r>
            <w:r w:rsidRPr="00BB0E53">
              <w:rPr>
                <w:bCs/>
                <w:sz w:val="22"/>
                <w:szCs w:val="22"/>
              </w:rPr>
              <w:t>toku uzgodnień międzyresortowych projektu rozporządzenia Rady Ministrów</w:t>
            </w:r>
            <w:r w:rsidRPr="00BB0E53">
              <w:rPr>
                <w:sz w:val="22"/>
                <w:szCs w:val="22"/>
              </w:rPr>
              <w:t xml:space="preserve"> w sprawie </w:t>
            </w:r>
            <w:r w:rsidRPr="00BB0E53">
              <w:rPr>
                <w:bCs/>
                <w:sz w:val="22"/>
                <w:szCs w:val="22"/>
              </w:rPr>
              <w:t xml:space="preserve">programu badań statystycznych statystyki publicznej, wydawanego po wejściu w życie proponowanej zmiany na podstawie 18 ust. 1 i 1a </w:t>
            </w:r>
            <w:r w:rsidRPr="00BB0E53">
              <w:rPr>
                <w:sz w:val="22"/>
                <w:szCs w:val="22"/>
              </w:rPr>
              <w:t>ustawy o statystyce publicznej, minister właściwy do spraw informatyzacji będzie miał w dalszym ciągu zapewniony (podobnie, jak ma to miejsce obecnie) wpływ na ostateczny</w:t>
            </w:r>
            <w:r w:rsidR="009F71E0" w:rsidRPr="00BB0E53">
              <w:rPr>
                <w:sz w:val="22"/>
                <w:szCs w:val="22"/>
              </w:rPr>
              <w:t xml:space="preserve"> kształt rozwiązań przyjętych w </w:t>
            </w:r>
            <w:r w:rsidRPr="00BB0E53">
              <w:rPr>
                <w:bCs/>
                <w:sz w:val="22"/>
                <w:szCs w:val="22"/>
              </w:rPr>
              <w:t xml:space="preserve">programie badań statystycznych statystyki publicznej, w tym </w:t>
            </w:r>
            <w:r w:rsidRPr="00BB0E53">
              <w:rPr>
                <w:sz w:val="22"/>
                <w:szCs w:val="22"/>
              </w:rPr>
              <w:t>zaproponowanych przez GUS nowych ele</w:t>
            </w:r>
            <w:r w:rsidR="009F71E0" w:rsidRPr="00BB0E53">
              <w:rPr>
                <w:sz w:val="22"/>
                <w:szCs w:val="22"/>
              </w:rPr>
              <w:t>mentów programu: listy danych o </w:t>
            </w:r>
            <w:r w:rsidRPr="00BB0E53">
              <w:rPr>
                <w:sz w:val="22"/>
                <w:szCs w:val="22"/>
              </w:rPr>
              <w:t>wysokiej wartości z kategorii tematycznej: dane statystyczne, harmonogramu udostępniania tych danych przez podmioty zobowiązane na portalu otwartych danych, sposobu udostępniania, formatu danych, możliwych warunków ponownego wykorzystywania oraz częstotliwości aktualizacji danych oraz metadanych.</w:t>
            </w:r>
          </w:p>
          <w:p w14:paraId="6FBB0AEF" w14:textId="38ED2620" w:rsidR="002467A2" w:rsidRPr="00BB0E53" w:rsidRDefault="002467A2" w:rsidP="00BB0E53">
            <w:pPr>
              <w:pStyle w:val="Akapitzlist"/>
              <w:spacing w:line="240" w:lineRule="auto"/>
              <w:ind w:left="0"/>
              <w:contextualSpacing w:val="0"/>
              <w:jc w:val="both"/>
              <w:rPr>
                <w:rFonts w:ascii="Times New Roman" w:hAnsi="Times New Roman"/>
              </w:rPr>
            </w:pPr>
            <w:r w:rsidRPr="00BB0E53">
              <w:rPr>
                <w:rFonts w:ascii="Times New Roman" w:eastAsia="Times New Roman" w:hAnsi="Times New Roman"/>
                <w:lang w:eastAsia="pl-PL"/>
              </w:rPr>
              <w:t xml:space="preserve">Jednocześnie, mając na uwadze czas potrzebny na wprowadzenie koniecznych zmian dotyczących </w:t>
            </w:r>
            <w:r w:rsidRPr="00BB0E53">
              <w:rPr>
                <w:rFonts w:ascii="Times New Roman" w:eastAsia="Times New Roman" w:hAnsi="Times New Roman"/>
                <w:lang w:eastAsia="pl-PL"/>
              </w:rPr>
              <w:lastRenderedPageBreak/>
              <w:t xml:space="preserve">sposobu opracowywania znacznie poszerzonego programu badań statystycznych statystyki publicznej, GUS proponuje wydłużenie </w:t>
            </w:r>
            <w:r w:rsidRPr="00BB0E53">
              <w:rPr>
                <w:rFonts w:ascii="Times New Roman" w:eastAsia="Times New Roman" w:hAnsi="Times New Roman"/>
                <w:i/>
                <w:lang w:eastAsia="pl-PL"/>
              </w:rPr>
              <w:t>vacatio legis</w:t>
            </w:r>
            <w:r w:rsidRPr="00BB0E53">
              <w:rPr>
                <w:rFonts w:ascii="Times New Roman" w:eastAsia="Times New Roman" w:hAnsi="Times New Roman"/>
                <w:lang w:eastAsia="pl-PL"/>
              </w:rPr>
              <w:t xml:space="preserve"> projektowanej ustawy – w zakresie dotyczącym art. 28 oraz art. 49 projektowanej ustawy w zakresie dotyczącym dodania ust. 1a w art. 18 usta</w:t>
            </w:r>
            <w:r w:rsidR="009F71E0" w:rsidRPr="00BB0E53">
              <w:rPr>
                <w:rFonts w:ascii="Times New Roman" w:eastAsia="Times New Roman" w:hAnsi="Times New Roman"/>
                <w:lang w:eastAsia="pl-PL"/>
              </w:rPr>
              <w:t>wy z dnia 29 czerwca 1995 r.  o </w:t>
            </w:r>
            <w:r w:rsidRPr="00BB0E53">
              <w:rPr>
                <w:rFonts w:ascii="Times New Roman" w:eastAsia="Times New Roman" w:hAnsi="Times New Roman"/>
                <w:lang w:eastAsia="pl-PL"/>
              </w:rPr>
              <w:t>statystyce publicznej. Omawiane p</w:t>
            </w:r>
            <w:r w:rsidR="009F71E0" w:rsidRPr="00BB0E53">
              <w:rPr>
                <w:rFonts w:ascii="Times New Roman" w:eastAsia="Times New Roman" w:hAnsi="Times New Roman"/>
                <w:lang w:eastAsia="pl-PL"/>
              </w:rPr>
              <w:t>rzepisy powinny wejść w życie z </w:t>
            </w:r>
            <w:r w:rsidRPr="00BB0E53">
              <w:rPr>
                <w:rFonts w:ascii="Times New Roman" w:eastAsia="Times New Roman" w:hAnsi="Times New Roman"/>
                <w:lang w:eastAsia="pl-PL"/>
              </w:rPr>
              <w:t>dniem 1 stycznia 2023 r.</w:t>
            </w:r>
          </w:p>
        </w:tc>
        <w:tc>
          <w:tcPr>
            <w:tcW w:w="3467" w:type="dxa"/>
            <w:shd w:val="clear" w:color="auto" w:fill="auto"/>
          </w:tcPr>
          <w:p w14:paraId="002450C0" w14:textId="77777777" w:rsidR="002467A2" w:rsidRPr="00BB0E53" w:rsidRDefault="002467A2" w:rsidP="00BB0E53">
            <w:pPr>
              <w:jc w:val="both"/>
              <w:rPr>
                <w:sz w:val="22"/>
                <w:szCs w:val="22"/>
              </w:rPr>
            </w:pPr>
            <w:r w:rsidRPr="00BB0E53">
              <w:rPr>
                <w:sz w:val="22"/>
                <w:szCs w:val="22"/>
              </w:rPr>
              <w:lastRenderedPageBreak/>
              <w:t>W art. 18 ustawy z dnia 29 czerwca 1995 r. o statystyce publicznej po ust. 1 dodaje się ust. 1a w brzmieniu:</w:t>
            </w:r>
          </w:p>
          <w:p w14:paraId="0C3A803D" w14:textId="75EDCCC8" w:rsidR="002467A2" w:rsidRPr="00BB0E53" w:rsidRDefault="009F71E0" w:rsidP="00BB0E53">
            <w:pPr>
              <w:jc w:val="both"/>
              <w:rPr>
                <w:sz w:val="22"/>
                <w:szCs w:val="22"/>
              </w:rPr>
            </w:pPr>
            <w:r w:rsidRPr="00BB0E53">
              <w:rPr>
                <w:sz w:val="22"/>
                <w:szCs w:val="22"/>
              </w:rPr>
              <w:t>„1a. Rada Ministrów określa w </w:t>
            </w:r>
            <w:r w:rsidR="002467A2" w:rsidRPr="00BB0E53">
              <w:rPr>
                <w:sz w:val="22"/>
                <w:szCs w:val="22"/>
              </w:rPr>
              <w:t>programie badan statystycznych statystyki publicznej również:</w:t>
            </w:r>
          </w:p>
          <w:p w14:paraId="3B565743" w14:textId="359B62FE" w:rsidR="002467A2" w:rsidRPr="00BB0E53" w:rsidRDefault="002467A2" w:rsidP="00BB0E53">
            <w:pPr>
              <w:numPr>
                <w:ilvl w:val="0"/>
                <w:numId w:val="34"/>
              </w:numPr>
              <w:jc w:val="both"/>
              <w:rPr>
                <w:bCs/>
                <w:sz w:val="22"/>
                <w:szCs w:val="22"/>
              </w:rPr>
            </w:pPr>
            <w:r w:rsidRPr="00BB0E53">
              <w:rPr>
                <w:bCs/>
                <w:sz w:val="22"/>
                <w:szCs w:val="22"/>
              </w:rPr>
              <w:t>listę danych o wysokiej wartości w rozumieniu w art. 2 pkt 4 ustawy z dnia ……. o otwartych danych i ponownym wykorzystywaniu informacji sektora publicznego z kategorii tematycznej: dane statystyczne, będących w posiadaniu organów lub podmiotów prowadzących badania statystyczne, jeżeli</w:t>
            </w:r>
            <w:r w:rsidR="009F71E0" w:rsidRPr="00BB0E53">
              <w:rPr>
                <w:bCs/>
                <w:sz w:val="22"/>
                <w:szCs w:val="22"/>
              </w:rPr>
              <w:t xml:space="preserve"> są podmiotami zobowiązanymi, w rozumieniu w art. 3 ustawy z </w:t>
            </w:r>
            <w:r w:rsidRPr="00BB0E53">
              <w:rPr>
                <w:bCs/>
                <w:sz w:val="22"/>
                <w:szCs w:val="22"/>
              </w:rPr>
              <w:t>dnia ……. o otwartych danych i ponownym wykorzystywaniu informacji sektora publicznego, zwanymi dalej „podmiotami zobowiązanymi”;</w:t>
            </w:r>
          </w:p>
          <w:p w14:paraId="7A5E88E8" w14:textId="11F81273" w:rsidR="002467A2" w:rsidRPr="00BB0E53" w:rsidRDefault="002467A2" w:rsidP="00BB0E53">
            <w:pPr>
              <w:numPr>
                <w:ilvl w:val="0"/>
                <w:numId w:val="34"/>
              </w:numPr>
              <w:jc w:val="both"/>
              <w:rPr>
                <w:bCs/>
                <w:sz w:val="22"/>
                <w:szCs w:val="22"/>
              </w:rPr>
            </w:pPr>
            <w:r w:rsidRPr="00BB0E53">
              <w:rPr>
                <w:bCs/>
                <w:sz w:val="22"/>
                <w:szCs w:val="22"/>
              </w:rPr>
              <w:t xml:space="preserve">harmonogram udostępniania przez podmioty zobowiązane na portalu danych, o którym mowa </w:t>
            </w:r>
            <w:r w:rsidRPr="00BB0E53">
              <w:rPr>
                <w:bCs/>
                <w:sz w:val="22"/>
                <w:szCs w:val="22"/>
              </w:rPr>
              <w:lastRenderedPageBreak/>
              <w:t xml:space="preserve">w art. 2 pkt 13 ustawy </w:t>
            </w:r>
            <w:r w:rsidR="009F71E0" w:rsidRPr="00BB0E53">
              <w:rPr>
                <w:bCs/>
                <w:sz w:val="22"/>
                <w:szCs w:val="22"/>
              </w:rPr>
              <w:t>z dnia ……. o otwartych danych i </w:t>
            </w:r>
            <w:r w:rsidRPr="00BB0E53">
              <w:rPr>
                <w:bCs/>
                <w:sz w:val="22"/>
                <w:szCs w:val="22"/>
              </w:rPr>
              <w:t>ponownym wykorzystywaniu informacji sektora publicznego:</w:t>
            </w:r>
          </w:p>
          <w:p w14:paraId="17B72C90" w14:textId="01EF4BD4" w:rsidR="002467A2" w:rsidRPr="00BB0E53" w:rsidRDefault="009F71E0" w:rsidP="00BB0E53">
            <w:pPr>
              <w:numPr>
                <w:ilvl w:val="0"/>
                <w:numId w:val="33"/>
              </w:numPr>
              <w:jc w:val="both"/>
              <w:rPr>
                <w:bCs/>
                <w:sz w:val="22"/>
                <w:szCs w:val="22"/>
              </w:rPr>
            </w:pPr>
            <w:r w:rsidRPr="00BB0E53">
              <w:rPr>
                <w:bCs/>
                <w:sz w:val="22"/>
                <w:szCs w:val="22"/>
              </w:rPr>
              <w:t>danych, o których mowa w </w:t>
            </w:r>
            <w:r w:rsidR="002467A2" w:rsidRPr="00BB0E53">
              <w:rPr>
                <w:bCs/>
                <w:sz w:val="22"/>
                <w:szCs w:val="22"/>
              </w:rPr>
              <w:t>pkt 1, oraz metadanych albo</w:t>
            </w:r>
          </w:p>
          <w:p w14:paraId="69354296" w14:textId="4EF85FB7" w:rsidR="002467A2" w:rsidRPr="00BB0E53" w:rsidRDefault="002467A2" w:rsidP="00BB0E53">
            <w:pPr>
              <w:numPr>
                <w:ilvl w:val="0"/>
                <w:numId w:val="33"/>
              </w:numPr>
              <w:jc w:val="both"/>
              <w:rPr>
                <w:bCs/>
                <w:sz w:val="22"/>
                <w:szCs w:val="22"/>
              </w:rPr>
            </w:pPr>
            <w:r w:rsidRPr="00BB0E53">
              <w:rPr>
                <w:bCs/>
                <w:sz w:val="22"/>
                <w:szCs w:val="22"/>
              </w:rPr>
              <w:t>metadanych, w przypadku gdy dane, o k</w:t>
            </w:r>
            <w:r w:rsidR="009F71E0" w:rsidRPr="00BB0E53">
              <w:rPr>
                <w:bCs/>
                <w:sz w:val="22"/>
                <w:szCs w:val="22"/>
              </w:rPr>
              <w:t>tórych mowa w </w:t>
            </w:r>
            <w:r w:rsidRPr="00BB0E53">
              <w:rPr>
                <w:bCs/>
                <w:sz w:val="22"/>
                <w:szCs w:val="22"/>
              </w:rPr>
              <w:t xml:space="preserve">pkt 1, przechowywane są w publicznie dostępnym systemie teleinformatycznym podmiotu zobowiązanego i udostępniane w celu ich ponownego wykorzystywania w sposób, o którym mowa w art. 25 ust. 1 ustawy </w:t>
            </w:r>
            <w:r w:rsidR="009F71E0" w:rsidRPr="00BB0E53">
              <w:rPr>
                <w:bCs/>
                <w:sz w:val="22"/>
                <w:szCs w:val="22"/>
              </w:rPr>
              <w:t>z dnia ……. o otwartych danych i </w:t>
            </w:r>
            <w:r w:rsidRPr="00BB0E53">
              <w:rPr>
                <w:bCs/>
                <w:sz w:val="22"/>
                <w:szCs w:val="22"/>
              </w:rPr>
              <w:t>ponownym wykorzystywaniu informacji sektora publicznego;</w:t>
            </w:r>
          </w:p>
          <w:p w14:paraId="3B487020" w14:textId="77777777" w:rsidR="002467A2" w:rsidRPr="00BB0E53" w:rsidRDefault="002467A2" w:rsidP="00BB0E53">
            <w:pPr>
              <w:numPr>
                <w:ilvl w:val="0"/>
                <w:numId w:val="35"/>
              </w:numPr>
              <w:jc w:val="both"/>
              <w:rPr>
                <w:bCs/>
                <w:sz w:val="22"/>
                <w:szCs w:val="22"/>
              </w:rPr>
            </w:pPr>
            <w:r w:rsidRPr="00BB0E53">
              <w:rPr>
                <w:bCs/>
                <w:sz w:val="22"/>
                <w:szCs w:val="22"/>
              </w:rPr>
              <w:t>sposób udostępniania, o którym mowa w pkt 2, mając na względzie posiadaną przez podmiot zobowiązany infrastrukturę teleinformatyczną umożliwiającą gromadzenie w niej danych o wysokiej wartości oraz ich udostępnianie w celu ponownego wykorzystywania, a także możliwości techniczne przechowywania tych danych na portalu danych;</w:t>
            </w:r>
          </w:p>
          <w:p w14:paraId="65024A39" w14:textId="77777777" w:rsidR="002467A2" w:rsidRPr="00BB0E53" w:rsidRDefault="002467A2" w:rsidP="00BB0E53">
            <w:pPr>
              <w:numPr>
                <w:ilvl w:val="0"/>
                <w:numId w:val="35"/>
              </w:numPr>
              <w:jc w:val="both"/>
              <w:rPr>
                <w:bCs/>
                <w:sz w:val="22"/>
                <w:szCs w:val="22"/>
              </w:rPr>
            </w:pPr>
            <w:r w:rsidRPr="00BB0E53">
              <w:rPr>
                <w:bCs/>
                <w:sz w:val="22"/>
                <w:szCs w:val="22"/>
              </w:rPr>
              <w:lastRenderedPageBreak/>
              <w:t>format danych, o których mowa w pkt 2;</w:t>
            </w:r>
          </w:p>
          <w:p w14:paraId="23E65B4E" w14:textId="106B1783" w:rsidR="002467A2" w:rsidRPr="00BB0E53" w:rsidRDefault="002467A2" w:rsidP="00BB0E53">
            <w:pPr>
              <w:numPr>
                <w:ilvl w:val="0"/>
                <w:numId w:val="35"/>
              </w:numPr>
              <w:jc w:val="both"/>
              <w:rPr>
                <w:bCs/>
                <w:sz w:val="22"/>
                <w:szCs w:val="22"/>
              </w:rPr>
            </w:pPr>
            <w:r w:rsidRPr="00BB0E53">
              <w:rPr>
                <w:bCs/>
                <w:sz w:val="22"/>
                <w:szCs w:val="22"/>
              </w:rPr>
              <w:t>możliwe warunki ponownego wykorzystywania, o któr</w:t>
            </w:r>
            <w:r w:rsidR="00927359" w:rsidRPr="00BB0E53">
              <w:rPr>
                <w:bCs/>
                <w:sz w:val="22"/>
                <w:szCs w:val="22"/>
              </w:rPr>
              <w:t>ych mowa w rozdziale 3 ustawy z </w:t>
            </w:r>
            <w:r w:rsidRPr="00BB0E53">
              <w:rPr>
                <w:bCs/>
                <w:sz w:val="22"/>
                <w:szCs w:val="22"/>
              </w:rPr>
              <w:t>dnia ……. o otwartych danych i ponownym wykorzystywaniu informacji sektora publicznego;</w:t>
            </w:r>
          </w:p>
          <w:p w14:paraId="574976B5" w14:textId="466E68E4" w:rsidR="002467A2" w:rsidRPr="00BB0E53" w:rsidRDefault="002467A2" w:rsidP="00BB0E53">
            <w:pPr>
              <w:numPr>
                <w:ilvl w:val="0"/>
                <w:numId w:val="35"/>
              </w:numPr>
              <w:jc w:val="both"/>
              <w:rPr>
                <w:bCs/>
                <w:sz w:val="22"/>
                <w:szCs w:val="22"/>
              </w:rPr>
            </w:pPr>
            <w:r w:rsidRPr="00BB0E53">
              <w:rPr>
                <w:bCs/>
                <w:sz w:val="22"/>
                <w:szCs w:val="22"/>
              </w:rPr>
              <w:t>częstotliwość aktuali</w:t>
            </w:r>
            <w:r w:rsidR="0060231A" w:rsidRPr="00BB0E53">
              <w:rPr>
                <w:bCs/>
                <w:sz w:val="22"/>
                <w:szCs w:val="22"/>
              </w:rPr>
              <w:t>zacji danych oraz metadanych, o </w:t>
            </w:r>
            <w:r w:rsidRPr="00BB0E53">
              <w:rPr>
                <w:bCs/>
                <w:sz w:val="22"/>
                <w:szCs w:val="22"/>
              </w:rPr>
              <w:t>których mowa w pkt 2, mając na względzie konieczność zagwarantowania ich aktualności</w:t>
            </w:r>
          </w:p>
          <w:p w14:paraId="759F71C0" w14:textId="34C46EA0" w:rsidR="002467A2" w:rsidRPr="00BB0E53" w:rsidRDefault="002467A2" w:rsidP="00BB0E53">
            <w:pPr>
              <w:jc w:val="both"/>
              <w:rPr>
                <w:sz w:val="22"/>
                <w:szCs w:val="22"/>
              </w:rPr>
            </w:pPr>
            <w:r w:rsidRPr="00BB0E53">
              <w:rPr>
                <w:sz w:val="22"/>
                <w:szCs w:val="22"/>
              </w:rPr>
              <w:t xml:space="preserve">- mając na względzie wykaz ustanowiony przez Komisję Europejską na podstawie art. 14 ust. 1 dyrektywy Parlamentu Europejskiego i Rady (UE) 2019/1024 z dnia 20 czerwca 2019 </w:t>
            </w:r>
            <w:r w:rsidR="00927359" w:rsidRPr="00BB0E53">
              <w:rPr>
                <w:sz w:val="22"/>
                <w:szCs w:val="22"/>
              </w:rPr>
              <w:t>r. w sprawie otwartych danych i </w:t>
            </w:r>
            <w:r w:rsidRPr="00BB0E53">
              <w:rPr>
                <w:sz w:val="22"/>
                <w:szCs w:val="22"/>
              </w:rPr>
              <w:t>ponownego wykorzystywania informacji sektora publicznego.”.</w:t>
            </w:r>
          </w:p>
        </w:tc>
        <w:tc>
          <w:tcPr>
            <w:tcW w:w="3478" w:type="dxa"/>
          </w:tcPr>
          <w:p w14:paraId="59694DFE" w14:textId="77777777" w:rsidR="009F71E0" w:rsidRPr="00BB0E53" w:rsidRDefault="009F71E0" w:rsidP="00BB0E53">
            <w:pPr>
              <w:jc w:val="both"/>
              <w:rPr>
                <w:b/>
                <w:sz w:val="22"/>
                <w:szCs w:val="22"/>
              </w:rPr>
            </w:pPr>
            <w:r w:rsidRPr="00BB0E53">
              <w:rPr>
                <w:b/>
                <w:sz w:val="22"/>
                <w:szCs w:val="22"/>
              </w:rPr>
              <w:lastRenderedPageBreak/>
              <w:t>Uwaga nieuwzględniona</w:t>
            </w:r>
          </w:p>
          <w:p w14:paraId="13921E43" w14:textId="7C0D7976" w:rsidR="002467A2" w:rsidRPr="00BB0E53" w:rsidRDefault="009F71E0" w:rsidP="00BB0E53">
            <w:pPr>
              <w:jc w:val="both"/>
              <w:rPr>
                <w:sz w:val="22"/>
                <w:szCs w:val="22"/>
              </w:rPr>
            </w:pPr>
            <w:r w:rsidRPr="00BB0E53">
              <w:rPr>
                <w:sz w:val="22"/>
                <w:szCs w:val="22"/>
              </w:rPr>
              <w:t>Uwaga powiązana z uwagą nr 8</w:t>
            </w:r>
            <w:r w:rsidR="0039118E" w:rsidRPr="00BB0E53">
              <w:rPr>
                <w:sz w:val="22"/>
                <w:szCs w:val="22"/>
              </w:rPr>
              <w:t>.</w:t>
            </w:r>
            <w:r w:rsidRPr="00BB0E53">
              <w:rPr>
                <w:sz w:val="22"/>
                <w:szCs w:val="22"/>
              </w:rPr>
              <w:t xml:space="preserve"> </w:t>
            </w:r>
          </w:p>
          <w:p w14:paraId="00DBC791" w14:textId="53C04E8B" w:rsidR="009F71E0" w:rsidRPr="00BB0E53" w:rsidRDefault="009F71E0" w:rsidP="00BB0E53">
            <w:pPr>
              <w:jc w:val="both"/>
              <w:rPr>
                <w:b/>
                <w:sz w:val="22"/>
                <w:szCs w:val="22"/>
              </w:rPr>
            </w:pPr>
          </w:p>
        </w:tc>
      </w:tr>
      <w:tr w:rsidR="00940D7B" w:rsidRPr="00BB0E53" w14:paraId="233404DD" w14:textId="77777777" w:rsidTr="001C649B">
        <w:trPr>
          <w:jc w:val="center"/>
        </w:trPr>
        <w:tc>
          <w:tcPr>
            <w:tcW w:w="568" w:type="dxa"/>
            <w:shd w:val="clear" w:color="auto" w:fill="auto"/>
            <w:vAlign w:val="center"/>
          </w:tcPr>
          <w:p w14:paraId="1C45ECE0" w14:textId="679FBC2A" w:rsidR="002467A2" w:rsidRPr="00BB0E53" w:rsidRDefault="002467A2" w:rsidP="00BB0E53">
            <w:pPr>
              <w:numPr>
                <w:ilvl w:val="0"/>
                <w:numId w:val="3"/>
              </w:numPr>
              <w:jc w:val="center"/>
              <w:rPr>
                <w:sz w:val="22"/>
                <w:szCs w:val="22"/>
              </w:rPr>
            </w:pPr>
          </w:p>
        </w:tc>
        <w:tc>
          <w:tcPr>
            <w:tcW w:w="1227" w:type="dxa"/>
            <w:shd w:val="clear" w:color="auto" w:fill="auto"/>
            <w:vAlign w:val="center"/>
          </w:tcPr>
          <w:p w14:paraId="419D0F3D" w14:textId="37C0C480" w:rsidR="002467A2" w:rsidRPr="00BB0E53" w:rsidRDefault="002467A2" w:rsidP="00BB0E53">
            <w:pPr>
              <w:jc w:val="center"/>
              <w:rPr>
                <w:sz w:val="22"/>
                <w:szCs w:val="22"/>
              </w:rPr>
            </w:pPr>
            <w:r w:rsidRPr="00BB0E53">
              <w:rPr>
                <w:sz w:val="22"/>
                <w:szCs w:val="22"/>
              </w:rPr>
              <w:t>GUS</w:t>
            </w:r>
          </w:p>
        </w:tc>
        <w:tc>
          <w:tcPr>
            <w:tcW w:w="1475" w:type="dxa"/>
            <w:shd w:val="clear" w:color="auto" w:fill="auto"/>
            <w:vAlign w:val="center"/>
          </w:tcPr>
          <w:p w14:paraId="415E6409" w14:textId="7C13295F" w:rsidR="002467A2" w:rsidRPr="00BB0E53" w:rsidRDefault="002467A2" w:rsidP="00BB0E53">
            <w:pPr>
              <w:jc w:val="center"/>
              <w:rPr>
                <w:sz w:val="22"/>
                <w:szCs w:val="22"/>
              </w:rPr>
            </w:pPr>
            <w:r w:rsidRPr="00BB0E53">
              <w:rPr>
                <w:sz w:val="22"/>
                <w:szCs w:val="22"/>
              </w:rPr>
              <w:t>Art. 64</w:t>
            </w:r>
          </w:p>
        </w:tc>
        <w:tc>
          <w:tcPr>
            <w:tcW w:w="3777" w:type="dxa"/>
            <w:shd w:val="clear" w:color="auto" w:fill="auto"/>
          </w:tcPr>
          <w:p w14:paraId="5D30950B" w14:textId="009FCFEF" w:rsidR="002467A2" w:rsidRPr="00BB0E53" w:rsidRDefault="002467A2" w:rsidP="00BB0E53">
            <w:pPr>
              <w:pStyle w:val="Akapitzlist"/>
              <w:spacing w:line="240" w:lineRule="auto"/>
              <w:ind w:left="0"/>
              <w:contextualSpacing w:val="0"/>
              <w:jc w:val="both"/>
              <w:rPr>
                <w:rFonts w:ascii="Times New Roman" w:hAnsi="Times New Roman"/>
              </w:rPr>
            </w:pPr>
            <w:r w:rsidRPr="00BB0E53">
              <w:rPr>
                <w:rFonts w:ascii="Times New Roman" w:eastAsia="Times New Roman" w:hAnsi="Times New Roman"/>
                <w:lang w:eastAsia="pl-PL"/>
              </w:rPr>
              <w:t xml:space="preserve">Mając na uwadze czas potrzebny na wprowadzenie koniecznych zmian dotyczących sposobu opracowywania znacznie poszerzonego programu badań statystycznych statystyki publicznej, GUS proponuje wydłużenie </w:t>
            </w:r>
            <w:r w:rsidRPr="00BB0E53">
              <w:rPr>
                <w:rFonts w:ascii="Times New Roman" w:eastAsia="Times New Roman" w:hAnsi="Times New Roman"/>
                <w:i/>
                <w:lang w:eastAsia="pl-PL"/>
              </w:rPr>
              <w:t>vacatio legis</w:t>
            </w:r>
            <w:r w:rsidRPr="00BB0E53">
              <w:rPr>
                <w:rFonts w:ascii="Times New Roman" w:eastAsia="Times New Roman" w:hAnsi="Times New Roman"/>
                <w:lang w:eastAsia="pl-PL"/>
              </w:rPr>
              <w:t xml:space="preserve"> projektowanej ustawy – w zakresie dotyczącym art. 28 oraz art. 49 projektowanej ustawy w zakresie dotyczącym dodania ust. 1a w art. 18 usta</w:t>
            </w:r>
            <w:r w:rsidR="00927359" w:rsidRPr="00BB0E53">
              <w:rPr>
                <w:rFonts w:ascii="Times New Roman" w:eastAsia="Times New Roman" w:hAnsi="Times New Roman"/>
                <w:lang w:eastAsia="pl-PL"/>
              </w:rPr>
              <w:t>wy z dnia 29 czerwca 1995 r.  o </w:t>
            </w:r>
            <w:r w:rsidRPr="00BB0E53">
              <w:rPr>
                <w:rFonts w:ascii="Times New Roman" w:eastAsia="Times New Roman" w:hAnsi="Times New Roman"/>
                <w:lang w:eastAsia="pl-PL"/>
              </w:rPr>
              <w:t>statystyce publicznej. Omawiane p</w:t>
            </w:r>
            <w:r w:rsidR="00927359" w:rsidRPr="00BB0E53">
              <w:rPr>
                <w:rFonts w:ascii="Times New Roman" w:eastAsia="Times New Roman" w:hAnsi="Times New Roman"/>
                <w:lang w:eastAsia="pl-PL"/>
              </w:rPr>
              <w:t>rzepisy powinny wejść w życie z </w:t>
            </w:r>
            <w:r w:rsidRPr="00BB0E53">
              <w:rPr>
                <w:rFonts w:ascii="Times New Roman" w:eastAsia="Times New Roman" w:hAnsi="Times New Roman"/>
                <w:lang w:eastAsia="pl-PL"/>
              </w:rPr>
              <w:t>dniem 1 stycznia 2023 r.</w:t>
            </w:r>
          </w:p>
        </w:tc>
        <w:tc>
          <w:tcPr>
            <w:tcW w:w="3467" w:type="dxa"/>
            <w:shd w:val="clear" w:color="auto" w:fill="auto"/>
          </w:tcPr>
          <w:p w14:paraId="3BC24243" w14:textId="77777777" w:rsidR="002467A2" w:rsidRPr="00BB0E53" w:rsidRDefault="002467A2" w:rsidP="00BB0E53">
            <w:pPr>
              <w:jc w:val="both"/>
              <w:rPr>
                <w:sz w:val="22"/>
                <w:szCs w:val="22"/>
              </w:rPr>
            </w:pPr>
            <w:r w:rsidRPr="00BB0E53">
              <w:rPr>
                <w:sz w:val="22"/>
                <w:szCs w:val="22"/>
              </w:rPr>
              <w:t>„</w:t>
            </w:r>
            <w:r w:rsidRPr="00BB0E53">
              <w:rPr>
                <w:b/>
                <w:sz w:val="22"/>
                <w:szCs w:val="22"/>
              </w:rPr>
              <w:t>Art. 64.</w:t>
            </w:r>
            <w:r w:rsidRPr="00BB0E53">
              <w:rPr>
                <w:sz w:val="22"/>
                <w:szCs w:val="22"/>
              </w:rPr>
              <w:t xml:space="preserve"> Ustawa wchodzi w życie po upływie 3 miesięcy od dnia ogłoszenia z wyjątkiem:</w:t>
            </w:r>
          </w:p>
          <w:p w14:paraId="2674D09E" w14:textId="26739AA8" w:rsidR="002467A2" w:rsidRPr="00BB0E53" w:rsidRDefault="00927359" w:rsidP="00BB0E53">
            <w:pPr>
              <w:numPr>
                <w:ilvl w:val="0"/>
                <w:numId w:val="32"/>
              </w:numPr>
              <w:jc w:val="both"/>
              <w:rPr>
                <w:color w:val="000000"/>
                <w:sz w:val="22"/>
                <w:szCs w:val="22"/>
                <w:lang w:eastAsia="en-US"/>
              </w:rPr>
            </w:pPr>
            <w:r w:rsidRPr="00BB0E53">
              <w:rPr>
                <w:color w:val="000000"/>
                <w:sz w:val="22"/>
                <w:szCs w:val="22"/>
                <w:lang w:eastAsia="en-US"/>
              </w:rPr>
              <w:t>art. 24, który wchodzi w </w:t>
            </w:r>
            <w:r w:rsidR="002467A2" w:rsidRPr="00BB0E53">
              <w:rPr>
                <w:color w:val="000000"/>
                <w:sz w:val="22"/>
                <w:szCs w:val="22"/>
                <w:lang w:eastAsia="en-US"/>
              </w:rPr>
              <w:t>życie po upływie 3 miesięcy od dnia ogłoszenia;</w:t>
            </w:r>
          </w:p>
          <w:p w14:paraId="6A7413CA" w14:textId="77777777" w:rsidR="002467A2" w:rsidRPr="00BB0E53" w:rsidRDefault="002467A2" w:rsidP="00BB0E53">
            <w:pPr>
              <w:numPr>
                <w:ilvl w:val="0"/>
                <w:numId w:val="32"/>
              </w:numPr>
              <w:jc w:val="both"/>
              <w:rPr>
                <w:color w:val="000000"/>
                <w:sz w:val="22"/>
                <w:szCs w:val="22"/>
                <w:lang w:eastAsia="en-US"/>
              </w:rPr>
            </w:pPr>
            <w:r w:rsidRPr="00BB0E53">
              <w:rPr>
                <w:color w:val="000000"/>
                <w:sz w:val="22"/>
                <w:szCs w:val="22"/>
                <w:lang w:eastAsia="en-US"/>
              </w:rPr>
              <w:t>art. 28 i art. 49 pkt 3, które wchodzą w życie z dniem 1 stycznia 2023 r.”.</w:t>
            </w:r>
          </w:p>
          <w:p w14:paraId="022816C9" w14:textId="77777777" w:rsidR="002467A2" w:rsidRPr="00BB0E53" w:rsidRDefault="002467A2" w:rsidP="00BB0E53">
            <w:pPr>
              <w:jc w:val="both"/>
              <w:rPr>
                <w:sz w:val="22"/>
                <w:szCs w:val="22"/>
              </w:rPr>
            </w:pPr>
          </w:p>
          <w:p w14:paraId="2BD2B6CA" w14:textId="20919138" w:rsidR="002467A2" w:rsidRPr="00BB0E53" w:rsidRDefault="002467A2" w:rsidP="00BB0E53">
            <w:pPr>
              <w:jc w:val="both"/>
              <w:rPr>
                <w:sz w:val="22"/>
                <w:szCs w:val="22"/>
              </w:rPr>
            </w:pPr>
            <w:r w:rsidRPr="00BB0E53">
              <w:rPr>
                <w:sz w:val="22"/>
                <w:szCs w:val="22"/>
              </w:rPr>
              <w:t>Art. 49 pkt 3 projektowanej ustawy dot</w:t>
            </w:r>
            <w:r w:rsidR="00927359" w:rsidRPr="00BB0E53">
              <w:rPr>
                <w:sz w:val="22"/>
                <w:szCs w:val="22"/>
              </w:rPr>
              <w:t>yczyć będzie zmiany w ustawie z dnia 29 czerwca 1995 r.  o </w:t>
            </w:r>
            <w:r w:rsidRPr="00BB0E53">
              <w:rPr>
                <w:sz w:val="22"/>
                <w:szCs w:val="22"/>
              </w:rPr>
              <w:t>statystyce publicznej polegającej na dodaniu ust. 1a w art. 18 ustawy.</w:t>
            </w:r>
          </w:p>
        </w:tc>
        <w:tc>
          <w:tcPr>
            <w:tcW w:w="3478" w:type="dxa"/>
          </w:tcPr>
          <w:p w14:paraId="21106DC6" w14:textId="77777777" w:rsidR="00927359" w:rsidRPr="00BB0E53" w:rsidRDefault="00927359" w:rsidP="00BB0E53">
            <w:pPr>
              <w:jc w:val="both"/>
              <w:rPr>
                <w:b/>
                <w:sz w:val="22"/>
                <w:szCs w:val="22"/>
              </w:rPr>
            </w:pPr>
            <w:r w:rsidRPr="00BB0E53">
              <w:rPr>
                <w:b/>
                <w:sz w:val="22"/>
                <w:szCs w:val="22"/>
              </w:rPr>
              <w:t>Uwaga nieuwzględniona</w:t>
            </w:r>
          </w:p>
          <w:p w14:paraId="5333AB6D" w14:textId="20D09277" w:rsidR="00B76B29" w:rsidRPr="00BB0E53" w:rsidRDefault="00927359" w:rsidP="00BB0E53">
            <w:pPr>
              <w:jc w:val="both"/>
              <w:rPr>
                <w:sz w:val="22"/>
                <w:szCs w:val="22"/>
              </w:rPr>
            </w:pPr>
            <w:r w:rsidRPr="00BB0E53">
              <w:rPr>
                <w:sz w:val="22"/>
                <w:szCs w:val="22"/>
              </w:rPr>
              <w:t>Uwaga powiązana z uwagami nr 8 i</w:t>
            </w:r>
            <w:r w:rsidR="0039118E" w:rsidRPr="00BB0E53">
              <w:rPr>
                <w:sz w:val="22"/>
                <w:szCs w:val="22"/>
              </w:rPr>
              <w:t> </w:t>
            </w:r>
            <w:r w:rsidRPr="00BB0E53">
              <w:rPr>
                <w:sz w:val="22"/>
                <w:szCs w:val="22"/>
              </w:rPr>
              <w:t>9.</w:t>
            </w:r>
          </w:p>
          <w:p w14:paraId="4DBB3D85" w14:textId="00445170" w:rsidR="002467A2" w:rsidRPr="00BB0E53" w:rsidRDefault="00927359" w:rsidP="00BB0E53">
            <w:pPr>
              <w:jc w:val="both"/>
              <w:rPr>
                <w:sz w:val="22"/>
                <w:szCs w:val="22"/>
              </w:rPr>
            </w:pPr>
            <w:r w:rsidRPr="00BB0E53">
              <w:rPr>
                <w:sz w:val="22"/>
                <w:szCs w:val="22"/>
              </w:rPr>
              <w:t xml:space="preserve">  </w:t>
            </w:r>
          </w:p>
        </w:tc>
      </w:tr>
      <w:tr w:rsidR="00940D7B" w:rsidRPr="00BB0E53" w14:paraId="6FCAB820" w14:textId="77777777" w:rsidTr="001C649B">
        <w:trPr>
          <w:jc w:val="center"/>
        </w:trPr>
        <w:tc>
          <w:tcPr>
            <w:tcW w:w="568" w:type="dxa"/>
            <w:shd w:val="clear" w:color="auto" w:fill="auto"/>
            <w:vAlign w:val="center"/>
          </w:tcPr>
          <w:p w14:paraId="5DB8F476" w14:textId="77777777" w:rsidR="002467A2" w:rsidRPr="00BB0E53" w:rsidRDefault="002467A2" w:rsidP="00BB0E53">
            <w:pPr>
              <w:numPr>
                <w:ilvl w:val="0"/>
                <w:numId w:val="3"/>
              </w:numPr>
              <w:jc w:val="center"/>
              <w:rPr>
                <w:sz w:val="22"/>
                <w:szCs w:val="22"/>
              </w:rPr>
            </w:pPr>
          </w:p>
        </w:tc>
        <w:tc>
          <w:tcPr>
            <w:tcW w:w="1227" w:type="dxa"/>
            <w:shd w:val="clear" w:color="auto" w:fill="auto"/>
            <w:vAlign w:val="center"/>
          </w:tcPr>
          <w:p w14:paraId="1B87437D" w14:textId="7BE4C313" w:rsidR="002467A2" w:rsidRPr="00BB0E53" w:rsidRDefault="002467A2" w:rsidP="00BB0E53">
            <w:pPr>
              <w:jc w:val="center"/>
              <w:rPr>
                <w:sz w:val="22"/>
                <w:szCs w:val="22"/>
              </w:rPr>
            </w:pPr>
            <w:proofErr w:type="spellStart"/>
            <w:r w:rsidRPr="00BB0E53">
              <w:rPr>
                <w:sz w:val="22"/>
                <w:szCs w:val="22"/>
              </w:rPr>
              <w:t>MEiN</w:t>
            </w:r>
            <w:proofErr w:type="spellEnd"/>
          </w:p>
        </w:tc>
        <w:tc>
          <w:tcPr>
            <w:tcW w:w="1475" w:type="dxa"/>
            <w:shd w:val="clear" w:color="auto" w:fill="auto"/>
            <w:vAlign w:val="center"/>
          </w:tcPr>
          <w:p w14:paraId="2F34C61D" w14:textId="7129ACF1" w:rsidR="002467A2" w:rsidRPr="00BB0E53" w:rsidRDefault="002467A2" w:rsidP="00BB0E53">
            <w:pPr>
              <w:jc w:val="center"/>
              <w:rPr>
                <w:sz w:val="22"/>
                <w:szCs w:val="22"/>
              </w:rPr>
            </w:pPr>
            <w:r w:rsidRPr="00BB0E53">
              <w:rPr>
                <w:sz w:val="22"/>
                <w:szCs w:val="22"/>
              </w:rPr>
              <w:t>Art. 4 ust. 1 pkt 5</w:t>
            </w:r>
          </w:p>
        </w:tc>
        <w:tc>
          <w:tcPr>
            <w:tcW w:w="3777" w:type="dxa"/>
            <w:shd w:val="clear" w:color="auto" w:fill="auto"/>
          </w:tcPr>
          <w:p w14:paraId="16A106C0" w14:textId="720E632A" w:rsidR="002467A2" w:rsidRPr="00BB0E53" w:rsidRDefault="002467A2" w:rsidP="00BB0E53">
            <w:pPr>
              <w:pStyle w:val="Akapitzlist"/>
              <w:spacing w:line="240" w:lineRule="auto"/>
              <w:ind w:left="0"/>
              <w:contextualSpacing w:val="0"/>
              <w:jc w:val="both"/>
              <w:rPr>
                <w:rFonts w:ascii="Times New Roman" w:hAnsi="Times New Roman"/>
              </w:rPr>
            </w:pPr>
            <w:r w:rsidRPr="00BB0E53">
              <w:rPr>
                <w:rFonts w:ascii="Times New Roman" w:hAnsi="Times New Roman"/>
              </w:rPr>
              <w:t>Dezaktualizacji uległ publikator dziennika ustaw dla ustawy z dnia 14 grudnia 2016 r. - Prawo oświatowe.</w:t>
            </w:r>
          </w:p>
        </w:tc>
        <w:tc>
          <w:tcPr>
            <w:tcW w:w="3467" w:type="dxa"/>
            <w:shd w:val="clear" w:color="auto" w:fill="auto"/>
          </w:tcPr>
          <w:p w14:paraId="3A8CC0C7" w14:textId="27EC60B6" w:rsidR="002467A2" w:rsidRPr="00BB0E53" w:rsidRDefault="002467A2" w:rsidP="00BB0E53">
            <w:pPr>
              <w:jc w:val="both"/>
              <w:rPr>
                <w:sz w:val="22"/>
                <w:szCs w:val="22"/>
              </w:rPr>
            </w:pPr>
            <w:proofErr w:type="spellStart"/>
            <w:r w:rsidRPr="00BB0E53">
              <w:rPr>
                <w:sz w:val="22"/>
                <w:szCs w:val="22"/>
              </w:rPr>
              <w:t>t.j</w:t>
            </w:r>
            <w:proofErr w:type="spellEnd"/>
            <w:r w:rsidRPr="00BB0E53">
              <w:rPr>
                <w:sz w:val="22"/>
                <w:szCs w:val="22"/>
              </w:rPr>
              <w:t>. Dz. U. z 2020 r. poz. 910, 1378, z 2021 r. poz. 4.</w:t>
            </w:r>
          </w:p>
        </w:tc>
        <w:tc>
          <w:tcPr>
            <w:tcW w:w="3478" w:type="dxa"/>
          </w:tcPr>
          <w:p w14:paraId="6B2BC839" w14:textId="77777777" w:rsidR="002467A2" w:rsidRPr="00BB0E53" w:rsidRDefault="00040423" w:rsidP="00BB0E53">
            <w:pPr>
              <w:jc w:val="both"/>
              <w:rPr>
                <w:b/>
                <w:sz w:val="22"/>
                <w:szCs w:val="22"/>
              </w:rPr>
            </w:pPr>
            <w:r w:rsidRPr="00BB0E53">
              <w:rPr>
                <w:b/>
                <w:sz w:val="22"/>
                <w:szCs w:val="22"/>
              </w:rPr>
              <w:t xml:space="preserve">Uwaga uwzględniona </w:t>
            </w:r>
          </w:p>
          <w:p w14:paraId="514011BA" w14:textId="100A65E6" w:rsidR="00D135A2" w:rsidRPr="00BB0E53" w:rsidRDefault="00D135A2" w:rsidP="00BB0E53">
            <w:pPr>
              <w:jc w:val="both"/>
              <w:rPr>
                <w:sz w:val="22"/>
                <w:szCs w:val="22"/>
              </w:rPr>
            </w:pPr>
            <w:r w:rsidRPr="00BB0E53">
              <w:rPr>
                <w:sz w:val="22"/>
                <w:szCs w:val="22"/>
              </w:rPr>
              <w:t>Uwaga wniesiona po terminie.</w:t>
            </w:r>
          </w:p>
          <w:p w14:paraId="44CC61A4" w14:textId="46506F31" w:rsidR="00040423" w:rsidRPr="00BB0E53" w:rsidRDefault="000B74E2" w:rsidP="00BB0E53">
            <w:pPr>
              <w:jc w:val="both"/>
              <w:rPr>
                <w:sz w:val="22"/>
                <w:szCs w:val="22"/>
              </w:rPr>
            </w:pPr>
            <w:r w:rsidRPr="00BB0E53">
              <w:rPr>
                <w:sz w:val="22"/>
                <w:szCs w:val="22"/>
              </w:rPr>
              <w:t>P</w:t>
            </w:r>
            <w:r w:rsidR="00FA735B" w:rsidRPr="00BB0E53">
              <w:rPr>
                <w:sz w:val="22"/>
                <w:szCs w:val="22"/>
              </w:rPr>
              <w:t>ublikator</w:t>
            </w:r>
            <w:r w:rsidRPr="00BB0E53">
              <w:rPr>
                <w:sz w:val="22"/>
                <w:szCs w:val="22"/>
              </w:rPr>
              <w:t xml:space="preserve"> zostanie zmieniony</w:t>
            </w:r>
            <w:r w:rsidR="00040423" w:rsidRPr="00BB0E53">
              <w:rPr>
                <w:sz w:val="22"/>
                <w:szCs w:val="22"/>
              </w:rPr>
              <w:t xml:space="preserve">. </w:t>
            </w:r>
          </w:p>
        </w:tc>
      </w:tr>
      <w:tr w:rsidR="00940D7B" w:rsidRPr="00BB0E53" w14:paraId="729D9B63" w14:textId="77777777" w:rsidTr="001C649B">
        <w:trPr>
          <w:jc w:val="center"/>
        </w:trPr>
        <w:tc>
          <w:tcPr>
            <w:tcW w:w="568" w:type="dxa"/>
            <w:shd w:val="clear" w:color="auto" w:fill="auto"/>
            <w:vAlign w:val="center"/>
          </w:tcPr>
          <w:p w14:paraId="59420D17" w14:textId="09AD32C3" w:rsidR="002467A2" w:rsidRPr="00BB0E53" w:rsidRDefault="002467A2" w:rsidP="00BB0E53">
            <w:pPr>
              <w:numPr>
                <w:ilvl w:val="0"/>
                <w:numId w:val="3"/>
              </w:numPr>
              <w:jc w:val="center"/>
              <w:rPr>
                <w:sz w:val="22"/>
                <w:szCs w:val="22"/>
              </w:rPr>
            </w:pPr>
          </w:p>
        </w:tc>
        <w:tc>
          <w:tcPr>
            <w:tcW w:w="1227" w:type="dxa"/>
            <w:shd w:val="clear" w:color="auto" w:fill="auto"/>
            <w:vAlign w:val="center"/>
          </w:tcPr>
          <w:p w14:paraId="55FD1EBE" w14:textId="71F06986" w:rsidR="002467A2" w:rsidRPr="00BB0E53" w:rsidRDefault="002467A2" w:rsidP="00BB0E53">
            <w:pPr>
              <w:jc w:val="center"/>
              <w:rPr>
                <w:sz w:val="22"/>
                <w:szCs w:val="22"/>
              </w:rPr>
            </w:pPr>
            <w:proofErr w:type="spellStart"/>
            <w:r w:rsidRPr="00BB0E53">
              <w:rPr>
                <w:sz w:val="22"/>
                <w:szCs w:val="22"/>
              </w:rPr>
              <w:t>MEiN</w:t>
            </w:r>
            <w:proofErr w:type="spellEnd"/>
          </w:p>
        </w:tc>
        <w:tc>
          <w:tcPr>
            <w:tcW w:w="1475" w:type="dxa"/>
            <w:shd w:val="clear" w:color="auto" w:fill="auto"/>
            <w:vAlign w:val="center"/>
          </w:tcPr>
          <w:p w14:paraId="74200C87" w14:textId="77777777" w:rsidR="002467A2" w:rsidRPr="00BB0E53" w:rsidRDefault="002467A2" w:rsidP="00BB0E53">
            <w:pPr>
              <w:rPr>
                <w:sz w:val="22"/>
                <w:szCs w:val="22"/>
              </w:rPr>
            </w:pPr>
            <w:r w:rsidRPr="00BB0E53">
              <w:rPr>
                <w:sz w:val="22"/>
                <w:szCs w:val="22"/>
              </w:rPr>
              <w:t>OSR, pkt. 4.</w:t>
            </w:r>
          </w:p>
          <w:p w14:paraId="6A9154BC" w14:textId="0C8D87F7" w:rsidR="002467A2" w:rsidRPr="00BB0E53" w:rsidRDefault="002467A2" w:rsidP="00BB0E53">
            <w:pPr>
              <w:rPr>
                <w:sz w:val="22"/>
                <w:szCs w:val="22"/>
              </w:rPr>
            </w:pPr>
            <w:r w:rsidRPr="00BB0E53">
              <w:rPr>
                <w:sz w:val="22"/>
                <w:szCs w:val="22"/>
              </w:rPr>
              <w:t xml:space="preserve">Jednostki sektora nauki (podmioty wymienione w art. 7 ust. 1 </w:t>
            </w:r>
            <w:r w:rsidRPr="00BB0E53">
              <w:rPr>
                <w:sz w:val="22"/>
                <w:szCs w:val="22"/>
              </w:rPr>
              <w:lastRenderedPageBreak/>
              <w:t>ustawy z dnia 20 lipca 2018 r. – Prawo o szkolnictwie wyższym i nauce)</w:t>
            </w:r>
          </w:p>
        </w:tc>
        <w:tc>
          <w:tcPr>
            <w:tcW w:w="3777" w:type="dxa"/>
            <w:shd w:val="clear" w:color="auto" w:fill="auto"/>
          </w:tcPr>
          <w:p w14:paraId="646C97D9" w14:textId="0353362A" w:rsidR="002467A2" w:rsidRPr="00BB0E53" w:rsidRDefault="002467A2" w:rsidP="00BB0E53">
            <w:pPr>
              <w:pStyle w:val="Akapitzlist"/>
              <w:spacing w:line="240" w:lineRule="auto"/>
              <w:ind w:left="0"/>
              <w:contextualSpacing w:val="0"/>
              <w:jc w:val="both"/>
              <w:rPr>
                <w:rFonts w:ascii="Times New Roman" w:hAnsi="Times New Roman"/>
              </w:rPr>
            </w:pPr>
            <w:r w:rsidRPr="00BB0E53">
              <w:rPr>
                <w:rFonts w:ascii="Times New Roman" w:hAnsi="Times New Roman"/>
              </w:rPr>
              <w:lastRenderedPageBreak/>
              <w:t xml:space="preserve">W kolumnie źródło danych, znajduje się zapis MNiSW. Zgodnie z aktualnym wykazem ministerstw powinno być </w:t>
            </w:r>
            <w:proofErr w:type="spellStart"/>
            <w:r w:rsidRPr="00BB0E53">
              <w:rPr>
                <w:rFonts w:ascii="Times New Roman" w:hAnsi="Times New Roman"/>
              </w:rPr>
              <w:t>MEiN</w:t>
            </w:r>
            <w:proofErr w:type="spellEnd"/>
            <w:r w:rsidRPr="00BB0E53">
              <w:rPr>
                <w:rFonts w:ascii="Times New Roman" w:hAnsi="Times New Roman"/>
              </w:rPr>
              <w:t>.</w:t>
            </w:r>
          </w:p>
        </w:tc>
        <w:tc>
          <w:tcPr>
            <w:tcW w:w="3467" w:type="dxa"/>
            <w:shd w:val="clear" w:color="auto" w:fill="auto"/>
          </w:tcPr>
          <w:p w14:paraId="350A3AB9" w14:textId="7C38A05C" w:rsidR="002467A2" w:rsidRPr="00BB0E53" w:rsidRDefault="002467A2" w:rsidP="00BB0E53">
            <w:pPr>
              <w:jc w:val="both"/>
              <w:rPr>
                <w:sz w:val="22"/>
                <w:szCs w:val="22"/>
              </w:rPr>
            </w:pPr>
            <w:proofErr w:type="spellStart"/>
            <w:r w:rsidRPr="00BB0E53">
              <w:rPr>
                <w:sz w:val="22"/>
                <w:szCs w:val="22"/>
              </w:rPr>
              <w:t>MEiN</w:t>
            </w:r>
            <w:proofErr w:type="spellEnd"/>
          </w:p>
        </w:tc>
        <w:tc>
          <w:tcPr>
            <w:tcW w:w="3478" w:type="dxa"/>
          </w:tcPr>
          <w:p w14:paraId="74BDC72D" w14:textId="77777777" w:rsidR="002467A2" w:rsidRPr="00BB0E53" w:rsidRDefault="00606BA8" w:rsidP="00BB0E53">
            <w:pPr>
              <w:jc w:val="both"/>
              <w:rPr>
                <w:b/>
                <w:sz w:val="22"/>
                <w:szCs w:val="22"/>
              </w:rPr>
            </w:pPr>
            <w:r w:rsidRPr="00BB0E53">
              <w:rPr>
                <w:b/>
                <w:sz w:val="22"/>
                <w:szCs w:val="22"/>
              </w:rPr>
              <w:t xml:space="preserve">Uwaga uwzględniona </w:t>
            </w:r>
          </w:p>
          <w:p w14:paraId="1DE6EA6B" w14:textId="3FBF0D99" w:rsidR="00D135A2" w:rsidRPr="00BB0E53" w:rsidRDefault="00D135A2" w:rsidP="00BB0E53">
            <w:pPr>
              <w:jc w:val="both"/>
              <w:rPr>
                <w:sz w:val="22"/>
                <w:szCs w:val="22"/>
              </w:rPr>
            </w:pPr>
            <w:r w:rsidRPr="00BB0E53">
              <w:rPr>
                <w:sz w:val="22"/>
                <w:szCs w:val="22"/>
              </w:rPr>
              <w:t>Uwaga wniesiona po terminie.</w:t>
            </w:r>
          </w:p>
          <w:p w14:paraId="647B8B58" w14:textId="14BABBBC" w:rsidR="00606BA8" w:rsidRPr="00BB0E53" w:rsidRDefault="00606BA8" w:rsidP="00BB0E53">
            <w:pPr>
              <w:jc w:val="both"/>
              <w:rPr>
                <w:sz w:val="22"/>
                <w:szCs w:val="22"/>
              </w:rPr>
            </w:pPr>
            <w:r w:rsidRPr="00BB0E53">
              <w:rPr>
                <w:sz w:val="22"/>
                <w:szCs w:val="22"/>
              </w:rPr>
              <w:t>OSR zostanie zmieniony.</w:t>
            </w:r>
          </w:p>
        </w:tc>
      </w:tr>
      <w:tr w:rsidR="00940D7B" w:rsidRPr="00BB0E53" w14:paraId="65BDB194" w14:textId="77777777" w:rsidTr="001C649B">
        <w:trPr>
          <w:jc w:val="center"/>
        </w:trPr>
        <w:tc>
          <w:tcPr>
            <w:tcW w:w="568" w:type="dxa"/>
            <w:shd w:val="clear" w:color="auto" w:fill="auto"/>
            <w:vAlign w:val="center"/>
          </w:tcPr>
          <w:p w14:paraId="34905221" w14:textId="77777777" w:rsidR="002467A2" w:rsidRPr="00BB0E53" w:rsidRDefault="002467A2" w:rsidP="00BB0E53">
            <w:pPr>
              <w:numPr>
                <w:ilvl w:val="0"/>
                <w:numId w:val="3"/>
              </w:numPr>
              <w:jc w:val="center"/>
              <w:rPr>
                <w:sz w:val="22"/>
                <w:szCs w:val="22"/>
              </w:rPr>
            </w:pPr>
          </w:p>
        </w:tc>
        <w:tc>
          <w:tcPr>
            <w:tcW w:w="1227" w:type="dxa"/>
            <w:shd w:val="clear" w:color="auto" w:fill="auto"/>
            <w:vAlign w:val="center"/>
          </w:tcPr>
          <w:p w14:paraId="1FAB94C8" w14:textId="745955D1" w:rsidR="002467A2" w:rsidRPr="00BB0E53" w:rsidRDefault="002467A2" w:rsidP="00BB0E53">
            <w:pPr>
              <w:jc w:val="center"/>
              <w:rPr>
                <w:sz w:val="22"/>
                <w:szCs w:val="22"/>
              </w:rPr>
            </w:pPr>
            <w:proofErr w:type="spellStart"/>
            <w:r w:rsidRPr="00BB0E53">
              <w:rPr>
                <w:sz w:val="22"/>
                <w:szCs w:val="22"/>
              </w:rPr>
              <w:t>MEiN</w:t>
            </w:r>
            <w:proofErr w:type="spellEnd"/>
          </w:p>
        </w:tc>
        <w:tc>
          <w:tcPr>
            <w:tcW w:w="1475" w:type="dxa"/>
            <w:shd w:val="clear" w:color="auto" w:fill="auto"/>
            <w:vAlign w:val="center"/>
          </w:tcPr>
          <w:p w14:paraId="14777980" w14:textId="4A5BB380" w:rsidR="002467A2" w:rsidRPr="00BB0E53" w:rsidRDefault="002467A2" w:rsidP="00BB0E53">
            <w:pPr>
              <w:jc w:val="center"/>
              <w:rPr>
                <w:sz w:val="22"/>
                <w:szCs w:val="22"/>
              </w:rPr>
            </w:pPr>
            <w:r w:rsidRPr="00BB0E53">
              <w:rPr>
                <w:sz w:val="22"/>
                <w:szCs w:val="22"/>
              </w:rPr>
              <w:t>Art. 4 ust. 1 pkt 3 lit. A oraz art. 4 ust. 1 pkt 4</w:t>
            </w:r>
          </w:p>
        </w:tc>
        <w:tc>
          <w:tcPr>
            <w:tcW w:w="3777" w:type="dxa"/>
            <w:shd w:val="clear" w:color="auto" w:fill="auto"/>
          </w:tcPr>
          <w:p w14:paraId="467CE9DC" w14:textId="66A4F54C" w:rsidR="002467A2" w:rsidRPr="00BB0E53" w:rsidRDefault="002467A2" w:rsidP="00BB0E53">
            <w:pPr>
              <w:pStyle w:val="Akapitzlist"/>
              <w:spacing w:line="240" w:lineRule="auto"/>
              <w:ind w:left="0"/>
              <w:contextualSpacing w:val="0"/>
              <w:jc w:val="both"/>
              <w:rPr>
                <w:rFonts w:ascii="Times New Roman" w:hAnsi="Times New Roman"/>
              </w:rPr>
            </w:pPr>
            <w:r w:rsidRPr="00BB0E53">
              <w:rPr>
                <w:rFonts w:ascii="Times New Roman" w:hAnsi="Times New Roman"/>
              </w:rPr>
              <w:t>Art. 4 ust. 1 pkt 3 i 4 dotyczą wyłączenia poszczególnych podmiotów będących w posiadaniu informacji sektora publicznego ze stosowania przepisów ustawy. Konstrukcja tych przepisów, zwłaszcza w odniesieniu do bibliotek naukowych, jest jednak na tyle skomplikowana, że trudno ustalić, jaki jest faktyczny zakres wyłączenia.</w:t>
            </w:r>
          </w:p>
        </w:tc>
        <w:tc>
          <w:tcPr>
            <w:tcW w:w="3467" w:type="dxa"/>
            <w:shd w:val="clear" w:color="auto" w:fill="auto"/>
          </w:tcPr>
          <w:p w14:paraId="7ABA8A7F" w14:textId="7F04E46F" w:rsidR="002467A2" w:rsidRPr="00BB0E53" w:rsidRDefault="002467A2" w:rsidP="00BB0E53">
            <w:pPr>
              <w:jc w:val="both"/>
              <w:rPr>
                <w:sz w:val="22"/>
                <w:szCs w:val="22"/>
              </w:rPr>
            </w:pPr>
            <w:r w:rsidRPr="00BB0E53">
              <w:rPr>
                <w:sz w:val="22"/>
                <w:szCs w:val="22"/>
              </w:rPr>
              <w:t xml:space="preserve">1) nadanie art. 4 ust. 1 pkt 3 lit. a brzmienia: „a) bibliotek naukowych </w:t>
            </w:r>
            <w:r w:rsidR="00606BA8" w:rsidRPr="00BB0E53">
              <w:rPr>
                <w:sz w:val="22"/>
                <w:szCs w:val="22"/>
              </w:rPr>
              <w:t>w rozumieniu przepisów ustawy z dnia 27 czerwca 1997 r. o </w:t>
            </w:r>
            <w:r w:rsidRPr="00BB0E53">
              <w:rPr>
                <w:sz w:val="22"/>
                <w:szCs w:val="22"/>
              </w:rPr>
              <w:t>bibliotekach, których organizatorami są podmioty zobowiązane, o których mowa w art. 3 pkt 1–4,” i usunięcie art. 4 ust. 1 pkt 4 albo</w:t>
            </w:r>
          </w:p>
          <w:p w14:paraId="412465E7" w14:textId="61602A56" w:rsidR="002467A2" w:rsidRPr="00BB0E53" w:rsidRDefault="002467A2" w:rsidP="00BB0E53">
            <w:pPr>
              <w:jc w:val="both"/>
              <w:rPr>
                <w:sz w:val="22"/>
                <w:szCs w:val="22"/>
              </w:rPr>
            </w:pPr>
            <w:r w:rsidRPr="00BB0E53">
              <w:rPr>
                <w:sz w:val="22"/>
                <w:szCs w:val="22"/>
              </w:rPr>
              <w:t>2) usunięcie art. 4 ust.1 pkt 3 lit. a.</w:t>
            </w:r>
          </w:p>
        </w:tc>
        <w:tc>
          <w:tcPr>
            <w:tcW w:w="3478" w:type="dxa"/>
          </w:tcPr>
          <w:p w14:paraId="74FDEF50" w14:textId="77777777" w:rsidR="002467A2" w:rsidRPr="00BB0E53" w:rsidRDefault="00606BA8" w:rsidP="00BB0E53">
            <w:pPr>
              <w:jc w:val="both"/>
              <w:rPr>
                <w:b/>
                <w:sz w:val="22"/>
                <w:szCs w:val="22"/>
              </w:rPr>
            </w:pPr>
            <w:r w:rsidRPr="00BB0E53">
              <w:rPr>
                <w:b/>
                <w:sz w:val="22"/>
                <w:szCs w:val="22"/>
              </w:rPr>
              <w:t xml:space="preserve">Uwaga uwzględniona </w:t>
            </w:r>
          </w:p>
          <w:p w14:paraId="442A5C2D" w14:textId="2938972F" w:rsidR="00D135A2" w:rsidRPr="00BB0E53" w:rsidRDefault="00D135A2" w:rsidP="00BB0E53">
            <w:pPr>
              <w:jc w:val="both"/>
              <w:rPr>
                <w:sz w:val="22"/>
                <w:szCs w:val="22"/>
              </w:rPr>
            </w:pPr>
            <w:r w:rsidRPr="00BB0E53">
              <w:rPr>
                <w:sz w:val="22"/>
                <w:szCs w:val="22"/>
              </w:rPr>
              <w:t>Uwaga wniesiona po terminie.</w:t>
            </w:r>
          </w:p>
          <w:p w14:paraId="75D74A1A" w14:textId="5F1D1CB6" w:rsidR="00C95859" w:rsidRPr="00BB0E53" w:rsidRDefault="00606BA8" w:rsidP="00BB0E53">
            <w:pPr>
              <w:jc w:val="both"/>
              <w:rPr>
                <w:sz w:val="22"/>
                <w:szCs w:val="22"/>
              </w:rPr>
            </w:pPr>
            <w:r w:rsidRPr="00BB0E53">
              <w:rPr>
                <w:sz w:val="22"/>
                <w:szCs w:val="22"/>
              </w:rPr>
              <w:t xml:space="preserve">Przepis </w:t>
            </w:r>
            <w:r w:rsidR="00C95859" w:rsidRPr="00BB0E53">
              <w:rPr>
                <w:sz w:val="22"/>
                <w:szCs w:val="22"/>
              </w:rPr>
              <w:t xml:space="preserve">zostanie zmieniony poprzez dodanie w art. 4 ust. 1 pkt 3 lit. a  zwrotu: „których organizatorami są podmioty zobowiązane, </w:t>
            </w:r>
            <w:r w:rsidR="0060231A" w:rsidRPr="00BB0E53">
              <w:rPr>
                <w:sz w:val="22"/>
                <w:szCs w:val="22"/>
              </w:rPr>
              <w:t>o których mowa w </w:t>
            </w:r>
            <w:r w:rsidR="00C95859" w:rsidRPr="00BB0E53">
              <w:rPr>
                <w:sz w:val="22"/>
                <w:szCs w:val="22"/>
              </w:rPr>
              <w:t>art. 3 pkt 1–4”</w:t>
            </w:r>
            <w:r w:rsidR="00F87B84" w:rsidRPr="00BB0E53">
              <w:rPr>
                <w:sz w:val="22"/>
                <w:szCs w:val="22"/>
              </w:rPr>
              <w:t>.</w:t>
            </w:r>
          </w:p>
          <w:p w14:paraId="2C66259D" w14:textId="16C68312" w:rsidR="00606BA8" w:rsidRPr="00BB0E53" w:rsidRDefault="00C95859" w:rsidP="00BB0E53">
            <w:pPr>
              <w:jc w:val="both"/>
              <w:rPr>
                <w:sz w:val="22"/>
                <w:szCs w:val="22"/>
              </w:rPr>
            </w:pPr>
            <w:r w:rsidRPr="00BB0E53">
              <w:rPr>
                <w:sz w:val="22"/>
                <w:szCs w:val="22"/>
              </w:rPr>
              <w:t xml:space="preserve">Jednocześnie usunięty </w:t>
            </w:r>
            <w:r w:rsidR="00FA735B" w:rsidRPr="00BB0E53">
              <w:rPr>
                <w:sz w:val="22"/>
                <w:szCs w:val="22"/>
              </w:rPr>
              <w:t xml:space="preserve">zostanie </w:t>
            </w:r>
            <w:r w:rsidRPr="00BB0E53">
              <w:rPr>
                <w:sz w:val="22"/>
                <w:szCs w:val="22"/>
              </w:rPr>
              <w:t xml:space="preserve">pkt 4 w art. 4 ust. 1.  </w:t>
            </w:r>
          </w:p>
        </w:tc>
      </w:tr>
      <w:tr w:rsidR="00940D7B" w:rsidRPr="00BB0E53" w14:paraId="2F76E569" w14:textId="77777777" w:rsidTr="001C649B">
        <w:trPr>
          <w:jc w:val="center"/>
        </w:trPr>
        <w:tc>
          <w:tcPr>
            <w:tcW w:w="568" w:type="dxa"/>
            <w:shd w:val="clear" w:color="auto" w:fill="auto"/>
            <w:vAlign w:val="center"/>
          </w:tcPr>
          <w:p w14:paraId="07072E75" w14:textId="77777777" w:rsidR="00E007F3" w:rsidRPr="00BB0E53" w:rsidRDefault="00E007F3" w:rsidP="00BB0E53">
            <w:pPr>
              <w:numPr>
                <w:ilvl w:val="0"/>
                <w:numId w:val="3"/>
              </w:numPr>
              <w:jc w:val="center"/>
              <w:rPr>
                <w:sz w:val="22"/>
                <w:szCs w:val="22"/>
              </w:rPr>
            </w:pPr>
          </w:p>
        </w:tc>
        <w:tc>
          <w:tcPr>
            <w:tcW w:w="1227" w:type="dxa"/>
            <w:shd w:val="clear" w:color="auto" w:fill="auto"/>
            <w:vAlign w:val="center"/>
          </w:tcPr>
          <w:p w14:paraId="398DF50D" w14:textId="62E3D100" w:rsidR="00E007F3" w:rsidRPr="00BB0E53" w:rsidRDefault="00E007F3" w:rsidP="00BB0E53">
            <w:pPr>
              <w:jc w:val="center"/>
              <w:rPr>
                <w:sz w:val="22"/>
                <w:szCs w:val="22"/>
              </w:rPr>
            </w:pPr>
            <w:r w:rsidRPr="00BB0E53">
              <w:rPr>
                <w:sz w:val="22"/>
                <w:szCs w:val="22"/>
              </w:rPr>
              <w:t>MRiRW</w:t>
            </w:r>
          </w:p>
        </w:tc>
        <w:tc>
          <w:tcPr>
            <w:tcW w:w="1475" w:type="dxa"/>
            <w:shd w:val="clear" w:color="auto" w:fill="auto"/>
            <w:vAlign w:val="center"/>
          </w:tcPr>
          <w:p w14:paraId="5439A7F7" w14:textId="77777777" w:rsidR="00E007F3" w:rsidRPr="00BB0E53" w:rsidRDefault="00E007F3" w:rsidP="00BB0E53">
            <w:pPr>
              <w:jc w:val="center"/>
              <w:rPr>
                <w:sz w:val="22"/>
                <w:szCs w:val="22"/>
              </w:rPr>
            </w:pPr>
            <w:r w:rsidRPr="00BB0E53">
              <w:rPr>
                <w:sz w:val="22"/>
                <w:szCs w:val="22"/>
              </w:rPr>
              <w:t>Projekt ustawy</w:t>
            </w:r>
          </w:p>
          <w:p w14:paraId="42ED7F21" w14:textId="77777777" w:rsidR="00E007F3" w:rsidRPr="00BB0E53" w:rsidRDefault="00E007F3" w:rsidP="00BB0E53">
            <w:pPr>
              <w:jc w:val="center"/>
              <w:rPr>
                <w:sz w:val="22"/>
                <w:szCs w:val="22"/>
              </w:rPr>
            </w:pPr>
          </w:p>
          <w:p w14:paraId="2C32EB02" w14:textId="77777777" w:rsidR="00E007F3" w:rsidRPr="00BB0E53" w:rsidRDefault="00E007F3" w:rsidP="00BB0E53">
            <w:pPr>
              <w:jc w:val="center"/>
              <w:rPr>
                <w:sz w:val="22"/>
                <w:szCs w:val="22"/>
              </w:rPr>
            </w:pPr>
            <w:r w:rsidRPr="00BB0E53">
              <w:rPr>
                <w:sz w:val="22"/>
                <w:szCs w:val="22"/>
              </w:rPr>
              <w:t>str. 23</w:t>
            </w:r>
          </w:p>
          <w:p w14:paraId="15FED68E" w14:textId="386E7349" w:rsidR="00E007F3" w:rsidRPr="00BB0E53" w:rsidRDefault="00E007F3" w:rsidP="00BB0E53">
            <w:pPr>
              <w:jc w:val="center"/>
              <w:rPr>
                <w:sz w:val="22"/>
                <w:szCs w:val="22"/>
              </w:rPr>
            </w:pPr>
            <w:r w:rsidRPr="00BB0E53">
              <w:rPr>
                <w:sz w:val="22"/>
                <w:szCs w:val="22"/>
              </w:rPr>
              <w:t>[KPRM - art. 38 ust. 7]</w:t>
            </w:r>
          </w:p>
        </w:tc>
        <w:tc>
          <w:tcPr>
            <w:tcW w:w="3777" w:type="dxa"/>
            <w:shd w:val="clear" w:color="auto" w:fill="auto"/>
          </w:tcPr>
          <w:p w14:paraId="508128E0" w14:textId="77777777" w:rsidR="00E007F3" w:rsidRPr="00BB0E53" w:rsidRDefault="00E007F3" w:rsidP="00BB0E53">
            <w:pPr>
              <w:jc w:val="both"/>
              <w:rPr>
                <w:sz w:val="22"/>
                <w:szCs w:val="22"/>
              </w:rPr>
            </w:pPr>
            <w:r w:rsidRPr="00BB0E53">
              <w:rPr>
                <w:sz w:val="22"/>
                <w:szCs w:val="22"/>
              </w:rPr>
              <w:t xml:space="preserve">Wątpliwości interpretacyjne może budzić zapis art. 38 ust. 7 o treści </w:t>
            </w:r>
            <w:r w:rsidRPr="00BB0E53">
              <w:rPr>
                <w:i/>
                <w:sz w:val="22"/>
                <w:szCs w:val="22"/>
              </w:rPr>
              <w:t xml:space="preserve">"Minister właściwy do spraw informatyzacji </w:t>
            </w:r>
            <w:r w:rsidRPr="00BB0E53">
              <w:rPr>
                <w:i/>
                <w:sz w:val="22"/>
                <w:szCs w:val="22"/>
                <w:u w:val="single"/>
              </w:rPr>
              <w:t>może usunąć</w:t>
            </w:r>
            <w:r w:rsidRPr="00BB0E53">
              <w:rPr>
                <w:i/>
                <w:sz w:val="22"/>
                <w:szCs w:val="22"/>
              </w:rPr>
              <w:t xml:space="preserve"> z portalu otwartych danych informacje sektora publicznego lub dane prywatne, które nie mają szczególnego znaczenia dla rozwoju innowacyjności w państwie i rozwoju społeczeństwa informacyjnego"</w:t>
            </w:r>
            <w:r w:rsidRPr="00BB0E53">
              <w:rPr>
                <w:sz w:val="22"/>
                <w:szCs w:val="22"/>
              </w:rPr>
              <w:t xml:space="preserve">. </w:t>
            </w:r>
          </w:p>
          <w:p w14:paraId="6C79CF76" w14:textId="0609F6BD" w:rsidR="00E007F3" w:rsidRPr="00BB0E53" w:rsidRDefault="00E007F3" w:rsidP="00BB0E53">
            <w:pPr>
              <w:pStyle w:val="Akapitzlist"/>
              <w:spacing w:line="240" w:lineRule="auto"/>
              <w:ind w:left="0"/>
              <w:contextualSpacing w:val="0"/>
              <w:jc w:val="both"/>
              <w:rPr>
                <w:rFonts w:ascii="Times New Roman" w:hAnsi="Times New Roman"/>
              </w:rPr>
            </w:pPr>
            <w:r w:rsidRPr="00BB0E53">
              <w:rPr>
                <w:rFonts w:ascii="Times New Roman" w:eastAsia="Times New Roman" w:hAnsi="Times New Roman"/>
                <w:lang w:eastAsia="pl-PL"/>
              </w:rPr>
              <w:t>W treści ustawy brak jest wskazania jak miałaby odbywać się selekcja danych pod tym kątem. W projekcie ustawy jest tylko informacja odnośnie weryfikacji danych pod kątem ich formatu, odczytu maszynowego oraz prawidłowości metadanych. Czy będą opracowane specjalne kryteria, dzięki którym udostępniane przez podmiot dane będą oceniane?</w:t>
            </w:r>
          </w:p>
        </w:tc>
        <w:tc>
          <w:tcPr>
            <w:tcW w:w="3467" w:type="dxa"/>
            <w:shd w:val="clear" w:color="auto" w:fill="auto"/>
          </w:tcPr>
          <w:p w14:paraId="1818E5D2" w14:textId="46AC9F66" w:rsidR="00E007F3" w:rsidRPr="00BB0E53" w:rsidRDefault="00E007F3" w:rsidP="00BB0E53">
            <w:pPr>
              <w:jc w:val="both"/>
              <w:rPr>
                <w:sz w:val="22"/>
                <w:szCs w:val="22"/>
              </w:rPr>
            </w:pPr>
            <w:r w:rsidRPr="00BB0E53">
              <w:rPr>
                <w:sz w:val="22"/>
                <w:szCs w:val="22"/>
              </w:rPr>
              <w:t>Doprecyzowanie ust. 7, na jakich zasadach dane będą usuwane jako nie mające szczególnego znaczenia dla rozwoju innowacyjności w państwie i rozwoju społeczeństwa informacyjnego.</w:t>
            </w:r>
          </w:p>
        </w:tc>
        <w:tc>
          <w:tcPr>
            <w:tcW w:w="3478" w:type="dxa"/>
          </w:tcPr>
          <w:p w14:paraId="72DB6A08" w14:textId="0F4DC2AC" w:rsidR="00E007F3" w:rsidRPr="00BB0E53" w:rsidRDefault="008839D7" w:rsidP="00BB0E53">
            <w:pPr>
              <w:jc w:val="both"/>
              <w:rPr>
                <w:b/>
                <w:sz w:val="22"/>
                <w:szCs w:val="22"/>
              </w:rPr>
            </w:pPr>
            <w:r w:rsidRPr="00BB0E53">
              <w:rPr>
                <w:b/>
                <w:sz w:val="22"/>
                <w:szCs w:val="22"/>
              </w:rPr>
              <w:t>Uwaga nieuwzględnio</w:t>
            </w:r>
            <w:r w:rsidR="000776BA" w:rsidRPr="00BB0E53">
              <w:rPr>
                <w:b/>
                <w:sz w:val="22"/>
                <w:szCs w:val="22"/>
              </w:rPr>
              <w:t xml:space="preserve">na </w:t>
            </w:r>
          </w:p>
          <w:p w14:paraId="3EEFC410" w14:textId="77777777" w:rsidR="00E007F3" w:rsidRPr="00BB0E53" w:rsidRDefault="00E007F3" w:rsidP="00BB0E53">
            <w:pPr>
              <w:jc w:val="both"/>
              <w:rPr>
                <w:sz w:val="22"/>
                <w:szCs w:val="22"/>
              </w:rPr>
            </w:pPr>
            <w:r w:rsidRPr="00BB0E53">
              <w:rPr>
                <w:sz w:val="22"/>
                <w:szCs w:val="22"/>
              </w:rPr>
              <w:t>Uwaga wniesiona po terminie</w:t>
            </w:r>
            <w:r w:rsidR="000776BA" w:rsidRPr="00BB0E53">
              <w:rPr>
                <w:sz w:val="22"/>
                <w:szCs w:val="22"/>
              </w:rPr>
              <w:t>.</w:t>
            </w:r>
          </w:p>
          <w:p w14:paraId="64C2082A" w14:textId="1F8C29AF" w:rsidR="008839D7" w:rsidRPr="00BB0E53" w:rsidRDefault="008839D7" w:rsidP="00BB0E53">
            <w:pPr>
              <w:jc w:val="both"/>
              <w:rPr>
                <w:sz w:val="22"/>
                <w:szCs w:val="22"/>
              </w:rPr>
            </w:pPr>
            <w:r w:rsidRPr="00BB0E53">
              <w:rPr>
                <w:sz w:val="22"/>
                <w:szCs w:val="22"/>
              </w:rPr>
              <w:t xml:space="preserve">Uwaga wstępna dot. wszystkich uwag </w:t>
            </w:r>
            <w:r w:rsidR="0060231A" w:rsidRPr="00BB0E53">
              <w:rPr>
                <w:sz w:val="22"/>
                <w:szCs w:val="22"/>
              </w:rPr>
              <w:t>MRiRW</w:t>
            </w:r>
            <w:r w:rsidRPr="00BB0E53">
              <w:rPr>
                <w:sz w:val="22"/>
                <w:szCs w:val="22"/>
              </w:rPr>
              <w:t>:</w:t>
            </w:r>
          </w:p>
          <w:p w14:paraId="1E029187" w14:textId="02C01FAF" w:rsidR="00D135A2" w:rsidRPr="00BB0E53" w:rsidRDefault="008839D7" w:rsidP="00BB0E53">
            <w:pPr>
              <w:jc w:val="both"/>
              <w:rPr>
                <w:sz w:val="22"/>
                <w:szCs w:val="22"/>
              </w:rPr>
            </w:pPr>
            <w:r w:rsidRPr="00BB0E53">
              <w:rPr>
                <w:sz w:val="22"/>
                <w:szCs w:val="22"/>
              </w:rPr>
              <w:t xml:space="preserve">MRiRW </w:t>
            </w:r>
            <w:r w:rsidR="0060231A" w:rsidRPr="00BB0E53">
              <w:rPr>
                <w:sz w:val="22"/>
                <w:szCs w:val="22"/>
              </w:rPr>
              <w:t>nie wnosiło uwag w </w:t>
            </w:r>
            <w:r w:rsidR="00D135A2" w:rsidRPr="00BB0E53">
              <w:rPr>
                <w:sz w:val="22"/>
                <w:szCs w:val="22"/>
              </w:rPr>
              <w:t>ramach uzgodnień międzyresort</w:t>
            </w:r>
            <w:r w:rsidR="00EA6742" w:rsidRPr="00BB0E53">
              <w:rPr>
                <w:sz w:val="22"/>
                <w:szCs w:val="22"/>
              </w:rPr>
              <w:t xml:space="preserve">owych  oraz nie uczestniczyło w </w:t>
            </w:r>
            <w:r w:rsidR="00D135A2" w:rsidRPr="00BB0E53">
              <w:rPr>
                <w:sz w:val="22"/>
                <w:szCs w:val="22"/>
              </w:rPr>
              <w:t>konferencji uzgodnieniowej.</w:t>
            </w:r>
          </w:p>
          <w:p w14:paraId="0E3557D3" w14:textId="268285C5" w:rsidR="00DA6FCA" w:rsidRPr="00BB0E53" w:rsidRDefault="000776BA" w:rsidP="00BB0E53">
            <w:pPr>
              <w:jc w:val="both"/>
              <w:rPr>
                <w:b/>
                <w:sz w:val="22"/>
                <w:szCs w:val="22"/>
              </w:rPr>
            </w:pPr>
            <w:r w:rsidRPr="00BB0E53">
              <w:rPr>
                <w:sz w:val="22"/>
                <w:szCs w:val="22"/>
              </w:rPr>
              <w:t xml:space="preserve">Minister dokonuje weryfikacji udostępnianych danych w portalu przez dostawców. Każdy przypadek jest oceniany indywidulanie zatem trudno wskazać wspólne kryteria dla </w:t>
            </w:r>
            <w:r w:rsidR="0060231A" w:rsidRPr="00BB0E53">
              <w:rPr>
                <w:sz w:val="22"/>
                <w:szCs w:val="22"/>
              </w:rPr>
              <w:t>oceny znaczenia danego zasobu w </w:t>
            </w:r>
            <w:r w:rsidRPr="00BB0E53">
              <w:rPr>
                <w:sz w:val="22"/>
                <w:szCs w:val="22"/>
              </w:rPr>
              <w:t>kontekście rozwo</w:t>
            </w:r>
            <w:r w:rsidR="00C36353" w:rsidRPr="00BB0E53">
              <w:rPr>
                <w:sz w:val="22"/>
                <w:szCs w:val="22"/>
              </w:rPr>
              <w:t>ju innowacyjności w państwie i  </w:t>
            </w:r>
            <w:r w:rsidR="0060231A" w:rsidRPr="00BB0E53">
              <w:rPr>
                <w:sz w:val="22"/>
                <w:szCs w:val="22"/>
              </w:rPr>
              <w:t>r</w:t>
            </w:r>
            <w:r w:rsidRPr="00BB0E53">
              <w:rPr>
                <w:sz w:val="22"/>
                <w:szCs w:val="22"/>
              </w:rPr>
              <w:t>ozwoju społeczeństwa informacyjnego.</w:t>
            </w:r>
            <w:r w:rsidR="0060231A" w:rsidRPr="00BB0E53">
              <w:rPr>
                <w:sz w:val="22"/>
                <w:szCs w:val="22"/>
              </w:rPr>
              <w:t xml:space="preserve"> </w:t>
            </w:r>
            <w:r w:rsidR="00C36353" w:rsidRPr="00BB0E53">
              <w:rPr>
                <w:sz w:val="22"/>
                <w:szCs w:val="22"/>
              </w:rPr>
              <w:t>Tożsame przepisy</w:t>
            </w:r>
            <w:r w:rsidR="0060231A" w:rsidRPr="00BB0E53">
              <w:rPr>
                <w:sz w:val="22"/>
                <w:szCs w:val="22"/>
              </w:rPr>
              <w:t xml:space="preserve"> obowiązują </w:t>
            </w:r>
            <w:r w:rsidR="00C36353" w:rsidRPr="00BB0E53">
              <w:rPr>
                <w:sz w:val="22"/>
                <w:szCs w:val="22"/>
              </w:rPr>
              <w:t>już obecnie</w:t>
            </w:r>
            <w:r w:rsidR="0060231A" w:rsidRPr="00BB0E53">
              <w:rPr>
                <w:sz w:val="22"/>
                <w:szCs w:val="22"/>
              </w:rPr>
              <w:t xml:space="preserve"> i </w:t>
            </w:r>
            <w:r w:rsidR="00C36353" w:rsidRPr="00BB0E53">
              <w:rPr>
                <w:sz w:val="22"/>
                <w:szCs w:val="22"/>
              </w:rPr>
              <w:t xml:space="preserve"> </w:t>
            </w:r>
            <w:r w:rsidR="0060231A" w:rsidRPr="00BB0E53">
              <w:rPr>
                <w:sz w:val="22"/>
                <w:szCs w:val="22"/>
              </w:rPr>
              <w:t xml:space="preserve">zostały wprowadzone na podstawie </w:t>
            </w:r>
            <w:r w:rsidR="0060231A" w:rsidRPr="00BB0E53">
              <w:rPr>
                <w:sz w:val="22"/>
                <w:szCs w:val="22"/>
              </w:rPr>
              <w:lastRenderedPageBreak/>
              <w:t>doświadcze</w:t>
            </w:r>
            <w:r w:rsidR="00C36353" w:rsidRPr="00BB0E53">
              <w:rPr>
                <w:sz w:val="22"/>
                <w:szCs w:val="22"/>
              </w:rPr>
              <w:t xml:space="preserve">ń z </w:t>
            </w:r>
            <w:r w:rsidR="0060231A" w:rsidRPr="00BB0E53">
              <w:rPr>
                <w:sz w:val="22"/>
                <w:szCs w:val="22"/>
              </w:rPr>
              <w:t>prowadzeni</w:t>
            </w:r>
            <w:r w:rsidR="00C36353" w:rsidRPr="00BB0E53">
              <w:rPr>
                <w:sz w:val="22"/>
                <w:szCs w:val="22"/>
              </w:rPr>
              <w:t xml:space="preserve">em </w:t>
            </w:r>
            <w:r w:rsidR="0060231A" w:rsidRPr="00BB0E53">
              <w:rPr>
                <w:sz w:val="22"/>
                <w:szCs w:val="22"/>
              </w:rPr>
              <w:t>administrowani</w:t>
            </w:r>
            <w:r w:rsidR="00C36353" w:rsidRPr="00BB0E53">
              <w:rPr>
                <w:sz w:val="22"/>
                <w:szCs w:val="22"/>
              </w:rPr>
              <w:t>em</w:t>
            </w:r>
            <w:r w:rsidR="0060231A" w:rsidRPr="00BB0E53">
              <w:rPr>
                <w:sz w:val="22"/>
                <w:szCs w:val="22"/>
              </w:rPr>
              <w:t xml:space="preserve"> portalem. Ponadto w portalu mogą być udostępnione dane podmiotów prywatnych.</w:t>
            </w:r>
          </w:p>
        </w:tc>
      </w:tr>
      <w:tr w:rsidR="00940D7B" w:rsidRPr="00BB0E53" w14:paraId="7E13EFF7" w14:textId="77777777" w:rsidTr="001C649B">
        <w:trPr>
          <w:jc w:val="center"/>
        </w:trPr>
        <w:tc>
          <w:tcPr>
            <w:tcW w:w="568" w:type="dxa"/>
            <w:shd w:val="clear" w:color="auto" w:fill="auto"/>
            <w:vAlign w:val="center"/>
          </w:tcPr>
          <w:p w14:paraId="36A5D207" w14:textId="77777777" w:rsidR="00E007F3" w:rsidRPr="00BB0E53" w:rsidRDefault="00E007F3" w:rsidP="00BB0E53">
            <w:pPr>
              <w:numPr>
                <w:ilvl w:val="0"/>
                <w:numId w:val="3"/>
              </w:numPr>
              <w:jc w:val="center"/>
              <w:rPr>
                <w:sz w:val="22"/>
                <w:szCs w:val="22"/>
              </w:rPr>
            </w:pPr>
          </w:p>
        </w:tc>
        <w:tc>
          <w:tcPr>
            <w:tcW w:w="1227" w:type="dxa"/>
            <w:shd w:val="clear" w:color="auto" w:fill="auto"/>
            <w:vAlign w:val="center"/>
          </w:tcPr>
          <w:p w14:paraId="12773209" w14:textId="66B56713" w:rsidR="00E007F3" w:rsidRPr="00BB0E53" w:rsidRDefault="00E007F3" w:rsidP="00BB0E53">
            <w:pPr>
              <w:jc w:val="center"/>
              <w:rPr>
                <w:sz w:val="22"/>
                <w:szCs w:val="22"/>
              </w:rPr>
            </w:pPr>
            <w:r w:rsidRPr="00BB0E53">
              <w:rPr>
                <w:sz w:val="22"/>
                <w:szCs w:val="22"/>
              </w:rPr>
              <w:t>MRiRW</w:t>
            </w:r>
          </w:p>
        </w:tc>
        <w:tc>
          <w:tcPr>
            <w:tcW w:w="1475" w:type="dxa"/>
            <w:shd w:val="clear" w:color="auto" w:fill="auto"/>
            <w:vAlign w:val="center"/>
          </w:tcPr>
          <w:p w14:paraId="4E39478F" w14:textId="77777777" w:rsidR="00E007F3" w:rsidRPr="00BB0E53" w:rsidRDefault="00E007F3" w:rsidP="00BB0E53">
            <w:pPr>
              <w:jc w:val="center"/>
              <w:rPr>
                <w:sz w:val="22"/>
                <w:szCs w:val="22"/>
              </w:rPr>
            </w:pPr>
            <w:r w:rsidRPr="00BB0E53">
              <w:rPr>
                <w:sz w:val="22"/>
                <w:szCs w:val="22"/>
              </w:rPr>
              <w:t>Projekt ustawy</w:t>
            </w:r>
          </w:p>
          <w:p w14:paraId="067B193C" w14:textId="77777777" w:rsidR="00E007F3" w:rsidRPr="00BB0E53" w:rsidRDefault="00E007F3" w:rsidP="00BB0E53">
            <w:pPr>
              <w:jc w:val="center"/>
              <w:rPr>
                <w:sz w:val="22"/>
                <w:szCs w:val="22"/>
              </w:rPr>
            </w:pPr>
          </w:p>
          <w:p w14:paraId="3B83D5EF" w14:textId="77777777" w:rsidR="00E007F3" w:rsidRPr="00BB0E53" w:rsidRDefault="00E007F3" w:rsidP="00BB0E53">
            <w:pPr>
              <w:jc w:val="center"/>
              <w:rPr>
                <w:sz w:val="22"/>
                <w:szCs w:val="22"/>
              </w:rPr>
            </w:pPr>
            <w:r w:rsidRPr="00BB0E53">
              <w:rPr>
                <w:sz w:val="22"/>
                <w:szCs w:val="22"/>
              </w:rPr>
              <w:t>str. 24</w:t>
            </w:r>
          </w:p>
          <w:p w14:paraId="4BB30212" w14:textId="77777777" w:rsidR="00E007F3" w:rsidRPr="00BB0E53" w:rsidRDefault="00E007F3" w:rsidP="00BB0E53">
            <w:pPr>
              <w:jc w:val="center"/>
              <w:rPr>
                <w:sz w:val="22"/>
                <w:szCs w:val="22"/>
              </w:rPr>
            </w:pPr>
          </w:p>
          <w:p w14:paraId="01C72E6F" w14:textId="2D635AFC" w:rsidR="00E007F3" w:rsidRPr="00BB0E53" w:rsidRDefault="00E007F3" w:rsidP="00BB0E53">
            <w:pPr>
              <w:jc w:val="center"/>
              <w:rPr>
                <w:sz w:val="22"/>
                <w:szCs w:val="22"/>
              </w:rPr>
            </w:pPr>
            <w:r w:rsidRPr="00BB0E53">
              <w:rPr>
                <w:sz w:val="22"/>
                <w:szCs w:val="22"/>
              </w:rPr>
              <w:t>[KPRM - art. 41]</w:t>
            </w:r>
          </w:p>
        </w:tc>
        <w:tc>
          <w:tcPr>
            <w:tcW w:w="3777" w:type="dxa"/>
            <w:shd w:val="clear" w:color="auto" w:fill="auto"/>
          </w:tcPr>
          <w:p w14:paraId="514CFD6A" w14:textId="61068B41" w:rsidR="00E007F3" w:rsidRPr="00BB0E53" w:rsidRDefault="00E007F3" w:rsidP="00BB0E53">
            <w:pPr>
              <w:jc w:val="both"/>
              <w:rPr>
                <w:sz w:val="22"/>
                <w:szCs w:val="22"/>
              </w:rPr>
            </w:pPr>
            <w:r w:rsidRPr="00BB0E53">
              <w:rPr>
                <w:sz w:val="22"/>
                <w:szCs w:val="22"/>
              </w:rPr>
              <w:t>W art. 41 ustawy brakuje informacji jak Pełnomocnicy do spraw otwartości danych będą oceniać/ sprawozdawać realizację działań dot. udostępnianych na portalu otwartych danych dla Realizatora programu</w:t>
            </w:r>
          </w:p>
        </w:tc>
        <w:tc>
          <w:tcPr>
            <w:tcW w:w="3467" w:type="dxa"/>
            <w:shd w:val="clear" w:color="auto" w:fill="auto"/>
          </w:tcPr>
          <w:p w14:paraId="11A2A1FB" w14:textId="1F5FB9D5" w:rsidR="00E007F3" w:rsidRPr="00BB0E53" w:rsidRDefault="00E007F3" w:rsidP="00BB0E53">
            <w:pPr>
              <w:jc w:val="both"/>
              <w:rPr>
                <w:sz w:val="22"/>
                <w:szCs w:val="22"/>
              </w:rPr>
            </w:pPr>
            <w:r w:rsidRPr="00BB0E53">
              <w:rPr>
                <w:sz w:val="22"/>
                <w:szCs w:val="22"/>
              </w:rPr>
              <w:t>Propozycja uzupełnienia zadań Pełnomocnika o raportowanie Realizatorowi programu informacji odnośnie wdrażania otwartych danych w resorcie.</w:t>
            </w:r>
          </w:p>
        </w:tc>
        <w:tc>
          <w:tcPr>
            <w:tcW w:w="3478" w:type="dxa"/>
          </w:tcPr>
          <w:p w14:paraId="264E6539" w14:textId="1759A3E8" w:rsidR="00E007F3" w:rsidRPr="00BB0E53" w:rsidRDefault="000776BA" w:rsidP="00BB0E53">
            <w:pPr>
              <w:jc w:val="both"/>
              <w:rPr>
                <w:b/>
                <w:sz w:val="22"/>
                <w:szCs w:val="22"/>
              </w:rPr>
            </w:pPr>
            <w:r w:rsidRPr="00BB0E53">
              <w:rPr>
                <w:b/>
                <w:sz w:val="22"/>
                <w:szCs w:val="22"/>
              </w:rPr>
              <w:t xml:space="preserve">Uwaga nieuwzględniona </w:t>
            </w:r>
          </w:p>
          <w:p w14:paraId="43C9B8CE" w14:textId="19A383B9" w:rsidR="00E007F3" w:rsidRPr="00BB0E53" w:rsidRDefault="00E007F3" w:rsidP="00BB0E53">
            <w:pPr>
              <w:jc w:val="both"/>
              <w:rPr>
                <w:sz w:val="22"/>
                <w:szCs w:val="22"/>
              </w:rPr>
            </w:pPr>
            <w:r w:rsidRPr="00BB0E53">
              <w:rPr>
                <w:sz w:val="22"/>
                <w:szCs w:val="22"/>
              </w:rPr>
              <w:t>Uwaga wniesiona po terminie</w:t>
            </w:r>
            <w:r w:rsidR="00D135A2" w:rsidRPr="00BB0E53">
              <w:rPr>
                <w:sz w:val="22"/>
                <w:szCs w:val="22"/>
              </w:rPr>
              <w:t>.</w:t>
            </w:r>
          </w:p>
          <w:p w14:paraId="411B5D15" w14:textId="6CCE211E" w:rsidR="000776BA" w:rsidRPr="00BB0E53" w:rsidRDefault="000776BA" w:rsidP="00BB0E53">
            <w:pPr>
              <w:jc w:val="both"/>
              <w:rPr>
                <w:sz w:val="22"/>
                <w:szCs w:val="22"/>
                <w:shd w:val="clear" w:color="auto" w:fill="FFFFFF"/>
              </w:rPr>
            </w:pPr>
            <w:r w:rsidRPr="00BB0E53">
              <w:rPr>
                <w:sz w:val="22"/>
                <w:szCs w:val="22"/>
              </w:rPr>
              <w:t xml:space="preserve">Zgodnie z projektowanym art. 33 ust. 1 Realizator programu zapewnia należyte wdrażanie Programu </w:t>
            </w:r>
            <w:r w:rsidRPr="00BB0E53">
              <w:rPr>
                <w:sz w:val="22"/>
                <w:szCs w:val="22"/>
                <w:shd w:val="clear" w:color="auto" w:fill="FFFFFF"/>
              </w:rPr>
              <w:t xml:space="preserve">w zakresie swojego działania. Pełnomocnik natomiast, zgodnie z art. 41 pkt 2 wspiera Realizatora </w:t>
            </w:r>
            <w:r w:rsidRPr="00BB0E53">
              <w:rPr>
                <w:sz w:val="22"/>
                <w:szCs w:val="22"/>
              </w:rPr>
              <w:t xml:space="preserve">Programu w wykonywaniu zadań związanych z realizacją Programu. </w:t>
            </w:r>
          </w:p>
          <w:p w14:paraId="272CD5D4" w14:textId="3531D166" w:rsidR="000776BA" w:rsidRPr="00BB0E53" w:rsidRDefault="000776BA" w:rsidP="00BB0E53">
            <w:pPr>
              <w:jc w:val="both"/>
              <w:rPr>
                <w:sz w:val="22"/>
                <w:szCs w:val="22"/>
                <w:shd w:val="clear" w:color="auto" w:fill="FFFFFF"/>
              </w:rPr>
            </w:pPr>
            <w:r w:rsidRPr="00BB0E53">
              <w:rPr>
                <w:sz w:val="22"/>
                <w:szCs w:val="22"/>
                <w:shd w:val="clear" w:color="auto" w:fill="FFFFFF"/>
              </w:rPr>
              <w:t>Regulacja współpracy pomiędzy Realizatorem Programu a Pełnomocnikiem wydaje się, że należy do wewnętrznych procedur każdego organu. Instytucja pełnomocników funkcjonuje od 2016 r. i warto korzystać ze sprawdzonych rozwiązań w tym zakresie.</w:t>
            </w:r>
          </w:p>
        </w:tc>
      </w:tr>
      <w:tr w:rsidR="00940D7B" w:rsidRPr="00BB0E53" w14:paraId="35704F6D" w14:textId="77777777" w:rsidTr="001C649B">
        <w:trPr>
          <w:jc w:val="center"/>
        </w:trPr>
        <w:tc>
          <w:tcPr>
            <w:tcW w:w="568" w:type="dxa"/>
            <w:shd w:val="clear" w:color="auto" w:fill="auto"/>
            <w:vAlign w:val="center"/>
          </w:tcPr>
          <w:p w14:paraId="4C7871A2" w14:textId="77777777" w:rsidR="00E007F3" w:rsidRPr="00BB0E53" w:rsidRDefault="00E007F3" w:rsidP="00BB0E53">
            <w:pPr>
              <w:numPr>
                <w:ilvl w:val="0"/>
                <w:numId w:val="3"/>
              </w:numPr>
              <w:jc w:val="center"/>
              <w:rPr>
                <w:sz w:val="22"/>
                <w:szCs w:val="22"/>
              </w:rPr>
            </w:pPr>
          </w:p>
        </w:tc>
        <w:tc>
          <w:tcPr>
            <w:tcW w:w="1227" w:type="dxa"/>
            <w:shd w:val="clear" w:color="auto" w:fill="auto"/>
            <w:vAlign w:val="center"/>
          </w:tcPr>
          <w:p w14:paraId="43AC2AD8" w14:textId="558EB474" w:rsidR="00E007F3" w:rsidRPr="00BB0E53" w:rsidRDefault="00E007F3" w:rsidP="00BB0E53">
            <w:pPr>
              <w:jc w:val="center"/>
              <w:rPr>
                <w:sz w:val="22"/>
                <w:szCs w:val="22"/>
                <w:highlight w:val="cyan"/>
              </w:rPr>
            </w:pPr>
            <w:r w:rsidRPr="00BB0E53">
              <w:rPr>
                <w:sz w:val="22"/>
                <w:szCs w:val="22"/>
              </w:rPr>
              <w:t>MRiRW</w:t>
            </w:r>
          </w:p>
        </w:tc>
        <w:tc>
          <w:tcPr>
            <w:tcW w:w="1475" w:type="dxa"/>
            <w:shd w:val="clear" w:color="auto" w:fill="auto"/>
            <w:vAlign w:val="center"/>
          </w:tcPr>
          <w:p w14:paraId="3324A734" w14:textId="77777777" w:rsidR="00E007F3" w:rsidRPr="00BB0E53" w:rsidRDefault="00E007F3" w:rsidP="00BB0E53">
            <w:pPr>
              <w:jc w:val="center"/>
              <w:rPr>
                <w:sz w:val="22"/>
                <w:szCs w:val="22"/>
              </w:rPr>
            </w:pPr>
            <w:r w:rsidRPr="00BB0E53">
              <w:rPr>
                <w:sz w:val="22"/>
                <w:szCs w:val="22"/>
              </w:rPr>
              <w:t>Projekt ustawy</w:t>
            </w:r>
          </w:p>
          <w:p w14:paraId="202F3834" w14:textId="77777777" w:rsidR="00E007F3" w:rsidRPr="00BB0E53" w:rsidRDefault="00E007F3" w:rsidP="00BB0E53">
            <w:pPr>
              <w:jc w:val="center"/>
              <w:rPr>
                <w:sz w:val="22"/>
                <w:szCs w:val="22"/>
              </w:rPr>
            </w:pPr>
          </w:p>
          <w:p w14:paraId="4E8BF337" w14:textId="77777777" w:rsidR="00E007F3" w:rsidRPr="00BB0E53" w:rsidRDefault="00E007F3" w:rsidP="00BB0E53">
            <w:pPr>
              <w:jc w:val="center"/>
              <w:rPr>
                <w:sz w:val="22"/>
                <w:szCs w:val="22"/>
              </w:rPr>
            </w:pPr>
            <w:r w:rsidRPr="00BB0E53">
              <w:rPr>
                <w:sz w:val="22"/>
                <w:szCs w:val="22"/>
              </w:rPr>
              <w:t>str. 25</w:t>
            </w:r>
          </w:p>
          <w:p w14:paraId="69FE5407" w14:textId="77777777" w:rsidR="00E007F3" w:rsidRPr="00BB0E53" w:rsidRDefault="00E007F3" w:rsidP="00BB0E53">
            <w:pPr>
              <w:jc w:val="center"/>
              <w:rPr>
                <w:sz w:val="22"/>
                <w:szCs w:val="22"/>
              </w:rPr>
            </w:pPr>
          </w:p>
          <w:p w14:paraId="3EF475E3" w14:textId="5CEA8295" w:rsidR="00E007F3" w:rsidRPr="00BB0E53" w:rsidRDefault="00E007F3" w:rsidP="00BB0E53">
            <w:pPr>
              <w:jc w:val="center"/>
              <w:rPr>
                <w:sz w:val="22"/>
                <w:szCs w:val="22"/>
                <w:highlight w:val="cyan"/>
              </w:rPr>
            </w:pPr>
            <w:r w:rsidRPr="00BB0E53">
              <w:rPr>
                <w:sz w:val="22"/>
                <w:szCs w:val="22"/>
              </w:rPr>
              <w:t>[KPRM – art. 42 ust. 1]</w:t>
            </w:r>
          </w:p>
        </w:tc>
        <w:tc>
          <w:tcPr>
            <w:tcW w:w="3777" w:type="dxa"/>
            <w:shd w:val="clear" w:color="auto" w:fill="auto"/>
          </w:tcPr>
          <w:p w14:paraId="435B6200" w14:textId="39ED1102" w:rsidR="00E007F3" w:rsidRPr="00BB0E53" w:rsidRDefault="00E007F3" w:rsidP="00BB0E53">
            <w:pPr>
              <w:jc w:val="both"/>
              <w:rPr>
                <w:sz w:val="22"/>
                <w:szCs w:val="22"/>
                <w:highlight w:val="cyan"/>
              </w:rPr>
            </w:pPr>
            <w:r w:rsidRPr="00BB0E53">
              <w:rPr>
                <w:sz w:val="22"/>
                <w:szCs w:val="22"/>
              </w:rPr>
              <w:t>W art. 42 ust. 1 wskazana jest informacja o wniosku o ponowne wykorzystanie. Proponuje się, wprowadzone także właściwą delegację ustawową dla rozporządzenia określającego wzór ww. wniosku. Pozwoli to zminimalizować ryzyko niespełnienia warunków formalnych ww. wniosku (o których mowa w art. 42 ust. 6).</w:t>
            </w:r>
          </w:p>
        </w:tc>
        <w:tc>
          <w:tcPr>
            <w:tcW w:w="3467" w:type="dxa"/>
            <w:shd w:val="clear" w:color="auto" w:fill="auto"/>
          </w:tcPr>
          <w:p w14:paraId="23CB805B" w14:textId="5D3F7DB4" w:rsidR="00E007F3" w:rsidRPr="00BB0E53" w:rsidRDefault="00E007F3" w:rsidP="00BB0E53">
            <w:pPr>
              <w:jc w:val="both"/>
              <w:rPr>
                <w:sz w:val="22"/>
                <w:szCs w:val="22"/>
                <w:highlight w:val="cyan"/>
              </w:rPr>
            </w:pPr>
            <w:r w:rsidRPr="00BB0E53">
              <w:rPr>
                <w:sz w:val="22"/>
                <w:szCs w:val="22"/>
              </w:rPr>
              <w:t>Dodanie właściwej delegacji ustawowej.</w:t>
            </w:r>
          </w:p>
        </w:tc>
        <w:tc>
          <w:tcPr>
            <w:tcW w:w="3478" w:type="dxa"/>
          </w:tcPr>
          <w:p w14:paraId="5C4DB2FE" w14:textId="77777777" w:rsidR="00E007F3" w:rsidRPr="00BB0E53" w:rsidRDefault="00E007F3" w:rsidP="00BB0E53">
            <w:pPr>
              <w:jc w:val="both"/>
              <w:rPr>
                <w:b/>
                <w:sz w:val="22"/>
                <w:szCs w:val="22"/>
              </w:rPr>
            </w:pPr>
            <w:r w:rsidRPr="00BB0E53">
              <w:rPr>
                <w:b/>
                <w:sz w:val="22"/>
                <w:szCs w:val="22"/>
              </w:rPr>
              <w:t xml:space="preserve">Uwaga nieuwzględniona </w:t>
            </w:r>
          </w:p>
          <w:p w14:paraId="2BD89670" w14:textId="77777777" w:rsidR="00E007F3" w:rsidRPr="00BB0E53" w:rsidRDefault="00E007F3" w:rsidP="00BB0E53">
            <w:pPr>
              <w:jc w:val="both"/>
              <w:rPr>
                <w:sz w:val="22"/>
                <w:szCs w:val="22"/>
              </w:rPr>
            </w:pPr>
            <w:r w:rsidRPr="00BB0E53">
              <w:rPr>
                <w:sz w:val="22"/>
                <w:szCs w:val="22"/>
              </w:rPr>
              <w:t>Uwaga wniesiona po terminie.</w:t>
            </w:r>
          </w:p>
          <w:p w14:paraId="349F7E26" w14:textId="2AB14132" w:rsidR="00E007F3" w:rsidRPr="00BB0E53" w:rsidRDefault="00E007F3" w:rsidP="00BB0E53">
            <w:pPr>
              <w:jc w:val="both"/>
              <w:rPr>
                <w:sz w:val="22"/>
                <w:szCs w:val="22"/>
              </w:rPr>
            </w:pPr>
            <w:r w:rsidRPr="00BB0E53">
              <w:rPr>
                <w:sz w:val="22"/>
                <w:szCs w:val="22"/>
              </w:rPr>
              <w:t xml:space="preserve">Tożsamy przepis funkcjonuje już obecnie w ustawie z 2016 r. Zgodnie z art. 42 ust. 5 projektu ustawy wniosek o ponowne wykorzystywanie ISP można złożyć w postaci papierowej albo elektronicznej (jakiejkolwiek postaci elektronicznej, np. mailowo). Nie wprowadzono wymogu podpisania wniosku o ponowne </w:t>
            </w:r>
            <w:r w:rsidRPr="00BB0E53">
              <w:rPr>
                <w:sz w:val="22"/>
                <w:szCs w:val="22"/>
              </w:rPr>
              <w:lastRenderedPageBreak/>
              <w:t>wykorzystywanie. Wprowadzono zatem model maksymalnie odformalizowany wskazując jedynie elementy jakie wniosek powinien zawierać. Elementy te  należy wiązać m.in. z koniecznością ustalenia przez podmiot zobowiązany ewentualnych warunków ponowne wykorzystywania (informacje podane we wniosku mogą być w tym zakresie niezbędne podmiotowi zobowiązanemu). Wprowadzania wz</w:t>
            </w:r>
            <w:r w:rsidR="00D475B9" w:rsidRPr="00BB0E53">
              <w:rPr>
                <w:sz w:val="22"/>
                <w:szCs w:val="22"/>
              </w:rPr>
              <w:t>oru wniosku przeczyłoby intencjom</w:t>
            </w:r>
            <w:r w:rsidRPr="00BB0E53">
              <w:rPr>
                <w:sz w:val="22"/>
                <w:szCs w:val="22"/>
              </w:rPr>
              <w:t xml:space="preserve"> projektu, aby ewentualny dostęp do ISP był dla użytkowników jak najprostszy. Należy ponadto wskazać, że wzoru wniosku nie wprowadzono również w ustawie o dostępie do informacji publicznej.</w:t>
            </w:r>
          </w:p>
          <w:p w14:paraId="5107DB2E" w14:textId="64E15C10" w:rsidR="0060231A" w:rsidRPr="00BB0E53" w:rsidRDefault="0060231A" w:rsidP="00BB0E53">
            <w:pPr>
              <w:jc w:val="both"/>
              <w:rPr>
                <w:sz w:val="22"/>
                <w:szCs w:val="22"/>
              </w:rPr>
            </w:pPr>
            <w:r w:rsidRPr="00BB0E53">
              <w:rPr>
                <w:sz w:val="22"/>
                <w:szCs w:val="22"/>
              </w:rPr>
              <w:t xml:space="preserve">Dodatkowo podkreślić należy, że pierwotnie wzór wniosku o ponowne wykorzystywanie  istniał w obrocie prawnym. Na skutek </w:t>
            </w:r>
            <w:r w:rsidR="00D475B9" w:rsidRPr="00BB0E53">
              <w:rPr>
                <w:sz w:val="22"/>
                <w:szCs w:val="22"/>
              </w:rPr>
              <w:t xml:space="preserve">orzecznictwa </w:t>
            </w:r>
            <w:r w:rsidR="008839D7" w:rsidRPr="00BB0E53">
              <w:rPr>
                <w:sz w:val="22"/>
                <w:szCs w:val="22"/>
              </w:rPr>
              <w:t>i </w:t>
            </w:r>
            <w:r w:rsidRPr="00BB0E53">
              <w:rPr>
                <w:sz w:val="22"/>
                <w:szCs w:val="22"/>
              </w:rPr>
              <w:t xml:space="preserve">wykładni </w:t>
            </w:r>
            <w:r w:rsidR="00D475B9" w:rsidRPr="00BB0E53">
              <w:rPr>
                <w:sz w:val="22"/>
                <w:szCs w:val="22"/>
              </w:rPr>
              <w:t xml:space="preserve">przepisów </w:t>
            </w:r>
            <w:r w:rsidRPr="00BB0E53">
              <w:rPr>
                <w:sz w:val="22"/>
                <w:szCs w:val="22"/>
              </w:rPr>
              <w:t>w zakresie obowiązujących w administracji wzorów</w:t>
            </w:r>
            <w:r w:rsidR="00D475B9" w:rsidRPr="00BB0E53">
              <w:rPr>
                <w:sz w:val="22"/>
                <w:szCs w:val="22"/>
              </w:rPr>
              <w:t xml:space="preserve"> </w:t>
            </w:r>
            <w:r w:rsidR="00660989" w:rsidRPr="00BB0E53">
              <w:rPr>
                <w:sz w:val="22"/>
                <w:szCs w:val="22"/>
              </w:rPr>
              <w:t xml:space="preserve">wniosków </w:t>
            </w:r>
            <w:r w:rsidRPr="00BB0E53">
              <w:rPr>
                <w:sz w:val="22"/>
                <w:szCs w:val="22"/>
              </w:rPr>
              <w:t>odstąpiono od wzoru wniosku</w:t>
            </w:r>
            <w:r w:rsidR="00660989" w:rsidRPr="00BB0E53">
              <w:rPr>
                <w:sz w:val="22"/>
                <w:szCs w:val="22"/>
              </w:rPr>
              <w:t xml:space="preserve"> o ponowne wykorzystywanie danych</w:t>
            </w:r>
            <w:r w:rsidRPr="00BB0E53">
              <w:rPr>
                <w:sz w:val="22"/>
                <w:szCs w:val="22"/>
              </w:rPr>
              <w:t>.</w:t>
            </w:r>
          </w:p>
        </w:tc>
      </w:tr>
      <w:tr w:rsidR="00940D7B" w:rsidRPr="00BB0E53" w14:paraId="21415534" w14:textId="77777777" w:rsidTr="001C649B">
        <w:trPr>
          <w:jc w:val="center"/>
        </w:trPr>
        <w:tc>
          <w:tcPr>
            <w:tcW w:w="568" w:type="dxa"/>
            <w:shd w:val="clear" w:color="auto" w:fill="auto"/>
            <w:vAlign w:val="center"/>
          </w:tcPr>
          <w:p w14:paraId="141CF00E" w14:textId="4DCFFE90" w:rsidR="00E007F3" w:rsidRPr="00BB0E53" w:rsidRDefault="00E007F3" w:rsidP="00BB0E53">
            <w:pPr>
              <w:numPr>
                <w:ilvl w:val="0"/>
                <w:numId w:val="3"/>
              </w:numPr>
              <w:jc w:val="center"/>
              <w:rPr>
                <w:sz w:val="22"/>
                <w:szCs w:val="22"/>
              </w:rPr>
            </w:pPr>
          </w:p>
        </w:tc>
        <w:tc>
          <w:tcPr>
            <w:tcW w:w="1227" w:type="dxa"/>
            <w:shd w:val="clear" w:color="auto" w:fill="auto"/>
            <w:vAlign w:val="center"/>
          </w:tcPr>
          <w:p w14:paraId="3531F30C" w14:textId="2756F9D0" w:rsidR="00E007F3" w:rsidRPr="00BB0E53" w:rsidRDefault="00E007F3" w:rsidP="00BB0E53">
            <w:pPr>
              <w:jc w:val="center"/>
              <w:rPr>
                <w:sz w:val="22"/>
                <w:szCs w:val="22"/>
              </w:rPr>
            </w:pPr>
            <w:r w:rsidRPr="00BB0E53">
              <w:rPr>
                <w:sz w:val="22"/>
                <w:szCs w:val="22"/>
              </w:rPr>
              <w:t>MRiRW</w:t>
            </w:r>
          </w:p>
        </w:tc>
        <w:tc>
          <w:tcPr>
            <w:tcW w:w="1475" w:type="dxa"/>
            <w:shd w:val="clear" w:color="auto" w:fill="auto"/>
            <w:vAlign w:val="center"/>
          </w:tcPr>
          <w:p w14:paraId="587F58EC" w14:textId="77777777" w:rsidR="00E007F3" w:rsidRPr="00BB0E53" w:rsidRDefault="00E007F3" w:rsidP="00BB0E53">
            <w:pPr>
              <w:jc w:val="center"/>
              <w:rPr>
                <w:sz w:val="22"/>
                <w:szCs w:val="22"/>
              </w:rPr>
            </w:pPr>
            <w:r w:rsidRPr="00BB0E53">
              <w:rPr>
                <w:sz w:val="22"/>
                <w:szCs w:val="22"/>
              </w:rPr>
              <w:t>Uzasadnienie</w:t>
            </w:r>
          </w:p>
          <w:p w14:paraId="28832B61" w14:textId="77777777" w:rsidR="00E007F3" w:rsidRPr="00BB0E53" w:rsidRDefault="00E007F3" w:rsidP="00BB0E53">
            <w:pPr>
              <w:jc w:val="center"/>
              <w:rPr>
                <w:sz w:val="22"/>
                <w:szCs w:val="22"/>
              </w:rPr>
            </w:pPr>
            <w:r w:rsidRPr="00BB0E53">
              <w:rPr>
                <w:sz w:val="22"/>
                <w:szCs w:val="22"/>
              </w:rPr>
              <w:t>III. Zakres projektowanej regulacji</w:t>
            </w:r>
          </w:p>
          <w:p w14:paraId="4B23F351" w14:textId="77777777" w:rsidR="00E007F3" w:rsidRPr="00BB0E53" w:rsidRDefault="00E007F3" w:rsidP="00BB0E53">
            <w:pPr>
              <w:jc w:val="center"/>
              <w:rPr>
                <w:sz w:val="22"/>
                <w:szCs w:val="22"/>
              </w:rPr>
            </w:pPr>
          </w:p>
          <w:p w14:paraId="5845E268" w14:textId="3D3A446A" w:rsidR="00E007F3" w:rsidRPr="00BB0E53" w:rsidRDefault="00E007F3" w:rsidP="00BB0E53">
            <w:pPr>
              <w:jc w:val="center"/>
              <w:rPr>
                <w:sz w:val="22"/>
                <w:szCs w:val="22"/>
              </w:rPr>
            </w:pPr>
            <w:r w:rsidRPr="00BB0E53">
              <w:rPr>
                <w:sz w:val="22"/>
                <w:szCs w:val="22"/>
              </w:rPr>
              <w:t>str. 40</w:t>
            </w:r>
          </w:p>
        </w:tc>
        <w:tc>
          <w:tcPr>
            <w:tcW w:w="3777" w:type="dxa"/>
            <w:shd w:val="clear" w:color="auto" w:fill="auto"/>
          </w:tcPr>
          <w:p w14:paraId="0C0BA1D3" w14:textId="084A516A" w:rsidR="00E007F3" w:rsidRPr="00BB0E53" w:rsidRDefault="00E007F3" w:rsidP="00BB0E53">
            <w:pPr>
              <w:jc w:val="both"/>
              <w:rPr>
                <w:sz w:val="22"/>
                <w:szCs w:val="22"/>
              </w:rPr>
            </w:pPr>
            <w:r w:rsidRPr="00BB0E53">
              <w:rPr>
                <w:sz w:val="22"/>
                <w:szCs w:val="22"/>
              </w:rPr>
              <w:t xml:space="preserve">W punkcie 5. </w:t>
            </w:r>
            <w:r w:rsidRPr="00BB0E53">
              <w:rPr>
                <w:i/>
                <w:sz w:val="22"/>
                <w:szCs w:val="22"/>
              </w:rPr>
              <w:t xml:space="preserve">Kompleksowa struktura pojęciowa (słowniczek ustawowy  </w:t>
            </w:r>
            <w:r w:rsidRPr="00BB0E53">
              <w:rPr>
                <w:sz w:val="22"/>
                <w:szCs w:val="22"/>
              </w:rPr>
              <w:t>brakuje informacji odnośnie poziomów otwartości danych, które są istotne jeśli chodzi o ich ocenę pod kątem otwartości i odczytu maszynowego.</w:t>
            </w:r>
          </w:p>
        </w:tc>
        <w:tc>
          <w:tcPr>
            <w:tcW w:w="3467" w:type="dxa"/>
            <w:shd w:val="clear" w:color="auto" w:fill="auto"/>
          </w:tcPr>
          <w:p w14:paraId="354BE0AA" w14:textId="71DBB78F" w:rsidR="00E007F3" w:rsidRPr="00BB0E53" w:rsidRDefault="00E007F3" w:rsidP="00BB0E53">
            <w:pPr>
              <w:jc w:val="both"/>
              <w:rPr>
                <w:sz w:val="22"/>
                <w:szCs w:val="22"/>
              </w:rPr>
            </w:pPr>
            <w:r w:rsidRPr="00BB0E53">
              <w:rPr>
                <w:sz w:val="22"/>
                <w:szCs w:val="22"/>
              </w:rPr>
              <w:t>Dodanie do pojęć sło</w:t>
            </w:r>
            <w:r w:rsidR="0039118E" w:rsidRPr="00BB0E53">
              <w:rPr>
                <w:sz w:val="22"/>
                <w:szCs w:val="22"/>
              </w:rPr>
              <w:t>wniczka ustawowego informacji o </w:t>
            </w:r>
            <w:r w:rsidRPr="00BB0E53">
              <w:rPr>
                <w:sz w:val="22"/>
                <w:szCs w:val="22"/>
              </w:rPr>
              <w:t>poziomach otwartości danych.</w:t>
            </w:r>
          </w:p>
        </w:tc>
        <w:tc>
          <w:tcPr>
            <w:tcW w:w="3478" w:type="dxa"/>
          </w:tcPr>
          <w:p w14:paraId="64D5F735" w14:textId="77777777" w:rsidR="00E007F3" w:rsidRPr="00BB0E53" w:rsidRDefault="00E007F3" w:rsidP="00BB0E53">
            <w:pPr>
              <w:jc w:val="both"/>
              <w:rPr>
                <w:b/>
                <w:sz w:val="22"/>
                <w:szCs w:val="22"/>
              </w:rPr>
            </w:pPr>
            <w:r w:rsidRPr="00BB0E53">
              <w:rPr>
                <w:b/>
                <w:sz w:val="22"/>
                <w:szCs w:val="22"/>
              </w:rPr>
              <w:t xml:space="preserve">Uwaga nieuwzględniona </w:t>
            </w:r>
          </w:p>
          <w:p w14:paraId="7F7987E3" w14:textId="77777777" w:rsidR="00E007F3" w:rsidRPr="00BB0E53" w:rsidRDefault="00E007F3" w:rsidP="00BB0E53">
            <w:pPr>
              <w:jc w:val="both"/>
              <w:rPr>
                <w:sz w:val="22"/>
                <w:szCs w:val="22"/>
              </w:rPr>
            </w:pPr>
            <w:r w:rsidRPr="00BB0E53">
              <w:rPr>
                <w:sz w:val="22"/>
                <w:szCs w:val="22"/>
              </w:rPr>
              <w:t>Uwaga wniesiona po terminie.</w:t>
            </w:r>
          </w:p>
          <w:p w14:paraId="3AF69866" w14:textId="54D6BECC" w:rsidR="009F3F5C" w:rsidRPr="00BB0E53" w:rsidRDefault="000378F1" w:rsidP="00BB0E53">
            <w:pPr>
              <w:jc w:val="both"/>
              <w:rPr>
                <w:sz w:val="22"/>
                <w:szCs w:val="22"/>
              </w:rPr>
            </w:pPr>
            <w:r w:rsidRPr="00BB0E53">
              <w:rPr>
                <w:sz w:val="22"/>
                <w:szCs w:val="22"/>
              </w:rPr>
              <w:t xml:space="preserve">Problematyka poziomów otwartości danych została ujęta w opracowanych przez Ministerstwo Cyfryzacji Standardach otwartości </w:t>
            </w:r>
            <w:r w:rsidRPr="00BB0E53">
              <w:rPr>
                <w:sz w:val="22"/>
                <w:szCs w:val="22"/>
              </w:rPr>
              <w:lastRenderedPageBreak/>
              <w:t>danych</w:t>
            </w:r>
            <w:r w:rsidRPr="00BB0E53">
              <w:rPr>
                <w:rStyle w:val="Odwoanieprzypisudolnego"/>
                <w:sz w:val="22"/>
                <w:szCs w:val="22"/>
              </w:rPr>
              <w:footnoteReference w:id="5"/>
            </w:r>
            <w:r w:rsidRPr="00BB0E53">
              <w:rPr>
                <w:sz w:val="22"/>
                <w:szCs w:val="22"/>
              </w:rPr>
              <w:t xml:space="preserve"> – Standard techniczny oraz pośrednio Standard prawny. Zdaniem wnioskodawcy niewskazanym byłoby wprowadzanie do materii ustawowej regulacji dotyczącej poziomów otwartości danych. </w:t>
            </w:r>
            <w:r w:rsidR="00813B48" w:rsidRPr="00BB0E53">
              <w:rPr>
                <w:sz w:val="22"/>
                <w:szCs w:val="22"/>
              </w:rPr>
              <w:t>Problematyka ta została ujęta w </w:t>
            </w:r>
            <w:r w:rsidRPr="00BB0E53">
              <w:rPr>
                <w:sz w:val="22"/>
                <w:szCs w:val="22"/>
              </w:rPr>
              <w:t xml:space="preserve">standardach, do których odwołują </w:t>
            </w:r>
            <w:r w:rsidR="00813B48" w:rsidRPr="00BB0E53">
              <w:rPr>
                <w:sz w:val="22"/>
                <w:szCs w:val="22"/>
              </w:rPr>
              <w:t xml:space="preserve">się </w:t>
            </w:r>
            <w:r w:rsidRPr="00BB0E53">
              <w:rPr>
                <w:sz w:val="22"/>
                <w:szCs w:val="22"/>
              </w:rPr>
              <w:t xml:space="preserve">przepisy projektowanej ustawy. Dodatkowo w uzasadnieniu do projektu ustawy odwołano się do Standardów otwartości danych, m.in. przy omówieniu definicji otwartych danych. Ponadto w  </w:t>
            </w:r>
            <w:r w:rsidR="00E007F3" w:rsidRPr="00BB0E53">
              <w:rPr>
                <w:sz w:val="22"/>
                <w:szCs w:val="22"/>
              </w:rPr>
              <w:t>projekcie Programu otwierania danych na lata 20</w:t>
            </w:r>
            <w:r w:rsidR="00813B48" w:rsidRPr="00BB0E53">
              <w:rPr>
                <w:sz w:val="22"/>
                <w:szCs w:val="22"/>
              </w:rPr>
              <w:t>21</w:t>
            </w:r>
            <w:r w:rsidR="00E007F3" w:rsidRPr="00BB0E53">
              <w:rPr>
                <w:sz w:val="22"/>
                <w:szCs w:val="22"/>
              </w:rPr>
              <w:t>-2027 (obecnie procedowany),  jest  zawarte zalecenie niepublikowania danych na 1 stopniu otw</w:t>
            </w:r>
            <w:r w:rsidR="00D475B9" w:rsidRPr="00BB0E53">
              <w:rPr>
                <w:sz w:val="22"/>
                <w:szCs w:val="22"/>
              </w:rPr>
              <w:t>artości. W </w:t>
            </w:r>
            <w:r w:rsidR="00813B48" w:rsidRPr="00BB0E53">
              <w:rPr>
                <w:sz w:val="22"/>
                <w:szCs w:val="22"/>
              </w:rPr>
              <w:t>projekcie Programu w </w:t>
            </w:r>
            <w:r w:rsidR="00E007F3" w:rsidRPr="00BB0E53">
              <w:rPr>
                <w:sz w:val="22"/>
                <w:szCs w:val="22"/>
              </w:rPr>
              <w:t>części dot. poprawy interoperacyjności danych i jakości również ujęta została rekomendacja udostępniania danych i</w:t>
            </w:r>
            <w:r w:rsidR="00D475B9" w:rsidRPr="00BB0E53">
              <w:rPr>
                <w:sz w:val="22"/>
                <w:szCs w:val="22"/>
              </w:rPr>
              <w:t> </w:t>
            </w:r>
            <w:r w:rsidR="00E007F3" w:rsidRPr="00BB0E53">
              <w:rPr>
                <w:sz w:val="22"/>
                <w:szCs w:val="22"/>
              </w:rPr>
              <w:t xml:space="preserve">metadanych w możliwe najwyższej skali otwartość danych. </w:t>
            </w:r>
          </w:p>
        </w:tc>
      </w:tr>
      <w:tr w:rsidR="00940D7B" w:rsidRPr="00BB0E53" w14:paraId="2509E961" w14:textId="77777777" w:rsidTr="001C649B">
        <w:trPr>
          <w:jc w:val="center"/>
        </w:trPr>
        <w:tc>
          <w:tcPr>
            <w:tcW w:w="568" w:type="dxa"/>
            <w:shd w:val="clear" w:color="auto" w:fill="auto"/>
            <w:vAlign w:val="center"/>
          </w:tcPr>
          <w:p w14:paraId="1631F70A" w14:textId="77777777" w:rsidR="00E007F3" w:rsidRPr="00BB0E53" w:rsidRDefault="00E007F3" w:rsidP="00BB0E53">
            <w:pPr>
              <w:numPr>
                <w:ilvl w:val="0"/>
                <w:numId w:val="3"/>
              </w:numPr>
              <w:jc w:val="center"/>
              <w:rPr>
                <w:sz w:val="22"/>
                <w:szCs w:val="22"/>
              </w:rPr>
            </w:pPr>
          </w:p>
        </w:tc>
        <w:tc>
          <w:tcPr>
            <w:tcW w:w="1227" w:type="dxa"/>
            <w:shd w:val="clear" w:color="auto" w:fill="auto"/>
            <w:vAlign w:val="center"/>
          </w:tcPr>
          <w:p w14:paraId="15DEEDD0" w14:textId="36DA7F40" w:rsidR="00E007F3" w:rsidRPr="00BB0E53" w:rsidRDefault="00E007F3" w:rsidP="00BB0E53">
            <w:pPr>
              <w:jc w:val="center"/>
              <w:rPr>
                <w:sz w:val="22"/>
                <w:szCs w:val="22"/>
              </w:rPr>
            </w:pPr>
            <w:r w:rsidRPr="00BB0E53">
              <w:rPr>
                <w:sz w:val="22"/>
                <w:szCs w:val="22"/>
              </w:rPr>
              <w:t>MRiRW</w:t>
            </w:r>
          </w:p>
        </w:tc>
        <w:tc>
          <w:tcPr>
            <w:tcW w:w="1475" w:type="dxa"/>
            <w:shd w:val="clear" w:color="auto" w:fill="auto"/>
            <w:vAlign w:val="center"/>
          </w:tcPr>
          <w:p w14:paraId="696E4B44" w14:textId="77777777" w:rsidR="00E007F3" w:rsidRPr="00BB0E53" w:rsidRDefault="00E007F3" w:rsidP="00BB0E53">
            <w:pPr>
              <w:jc w:val="center"/>
              <w:rPr>
                <w:sz w:val="22"/>
                <w:szCs w:val="22"/>
              </w:rPr>
            </w:pPr>
            <w:r w:rsidRPr="00BB0E53">
              <w:rPr>
                <w:sz w:val="22"/>
                <w:szCs w:val="22"/>
              </w:rPr>
              <w:t>Uzasadnienie</w:t>
            </w:r>
          </w:p>
          <w:p w14:paraId="474A5EF9" w14:textId="77777777" w:rsidR="00E007F3" w:rsidRPr="00BB0E53" w:rsidRDefault="00E007F3" w:rsidP="00BB0E53">
            <w:pPr>
              <w:jc w:val="center"/>
              <w:rPr>
                <w:sz w:val="22"/>
                <w:szCs w:val="22"/>
              </w:rPr>
            </w:pPr>
            <w:r w:rsidRPr="00BB0E53">
              <w:rPr>
                <w:sz w:val="22"/>
                <w:szCs w:val="22"/>
              </w:rPr>
              <w:t>V. Szczegółowe regulacje.</w:t>
            </w:r>
          </w:p>
          <w:p w14:paraId="0B2A462F" w14:textId="77777777" w:rsidR="00E007F3" w:rsidRPr="00BB0E53" w:rsidRDefault="00E007F3" w:rsidP="00BB0E53">
            <w:pPr>
              <w:jc w:val="center"/>
              <w:rPr>
                <w:sz w:val="22"/>
                <w:szCs w:val="22"/>
              </w:rPr>
            </w:pPr>
            <w:r w:rsidRPr="00BB0E53">
              <w:rPr>
                <w:sz w:val="22"/>
                <w:szCs w:val="22"/>
              </w:rPr>
              <w:t>Rozdział 1. Przepisy ogólne</w:t>
            </w:r>
          </w:p>
          <w:p w14:paraId="6FD336BD" w14:textId="77777777" w:rsidR="00E007F3" w:rsidRPr="00BB0E53" w:rsidRDefault="00E007F3" w:rsidP="00BB0E53">
            <w:pPr>
              <w:jc w:val="center"/>
              <w:rPr>
                <w:sz w:val="22"/>
                <w:szCs w:val="22"/>
              </w:rPr>
            </w:pPr>
          </w:p>
          <w:p w14:paraId="2455FA5D" w14:textId="14E7DD4F" w:rsidR="00E007F3" w:rsidRPr="00BB0E53" w:rsidRDefault="00E007F3" w:rsidP="00BB0E53">
            <w:pPr>
              <w:jc w:val="center"/>
              <w:rPr>
                <w:sz w:val="22"/>
                <w:szCs w:val="22"/>
              </w:rPr>
            </w:pPr>
            <w:r w:rsidRPr="00BB0E53">
              <w:rPr>
                <w:sz w:val="22"/>
                <w:szCs w:val="22"/>
              </w:rPr>
              <w:lastRenderedPageBreak/>
              <w:t>str. 45</w:t>
            </w:r>
          </w:p>
        </w:tc>
        <w:tc>
          <w:tcPr>
            <w:tcW w:w="3777" w:type="dxa"/>
            <w:shd w:val="clear" w:color="auto" w:fill="auto"/>
          </w:tcPr>
          <w:p w14:paraId="1172854C" w14:textId="54C7A6C6" w:rsidR="00E007F3" w:rsidRPr="00BB0E53" w:rsidRDefault="00E007F3" w:rsidP="00BB0E53">
            <w:pPr>
              <w:jc w:val="both"/>
              <w:rPr>
                <w:sz w:val="22"/>
                <w:szCs w:val="22"/>
              </w:rPr>
            </w:pPr>
            <w:r w:rsidRPr="00BB0E53">
              <w:rPr>
                <w:sz w:val="22"/>
                <w:szCs w:val="22"/>
              </w:rPr>
              <w:lastRenderedPageBreak/>
              <w:t xml:space="preserve">W słowniczku ustawowym w pkt 11) </w:t>
            </w:r>
            <w:r w:rsidRPr="00BB0E53">
              <w:rPr>
                <w:i/>
                <w:sz w:val="22"/>
                <w:szCs w:val="22"/>
              </w:rPr>
              <w:t xml:space="preserve">Otwarte dane </w:t>
            </w:r>
            <w:r w:rsidRPr="00BB0E53">
              <w:rPr>
                <w:sz w:val="22"/>
                <w:szCs w:val="22"/>
              </w:rPr>
              <w:t>lit. e brak jest informacji odnośnie poziomów otwartości danych (5-stopniowa skala), która pozwala ocenić dane pod kątem ich odczytu maszynowego i otwartości</w:t>
            </w:r>
          </w:p>
        </w:tc>
        <w:tc>
          <w:tcPr>
            <w:tcW w:w="3467" w:type="dxa"/>
            <w:shd w:val="clear" w:color="auto" w:fill="auto"/>
          </w:tcPr>
          <w:p w14:paraId="71708155" w14:textId="7DA2BB53" w:rsidR="00E007F3" w:rsidRPr="00BB0E53" w:rsidRDefault="00E007F3" w:rsidP="00BB0E53">
            <w:pPr>
              <w:jc w:val="both"/>
              <w:rPr>
                <w:sz w:val="22"/>
                <w:szCs w:val="22"/>
              </w:rPr>
            </w:pPr>
            <w:r w:rsidRPr="00BB0E53">
              <w:rPr>
                <w:sz w:val="22"/>
                <w:szCs w:val="22"/>
              </w:rPr>
              <w:t>Dodanie informacji odnośnie 5-stopniowej skali otwartości danych</w:t>
            </w:r>
          </w:p>
        </w:tc>
        <w:tc>
          <w:tcPr>
            <w:tcW w:w="3478" w:type="dxa"/>
          </w:tcPr>
          <w:p w14:paraId="351E8618" w14:textId="55A8C7C0" w:rsidR="002C6213" w:rsidRPr="00BB0E53" w:rsidRDefault="002C6213" w:rsidP="00BB0E53">
            <w:pPr>
              <w:jc w:val="both"/>
              <w:rPr>
                <w:b/>
                <w:sz w:val="22"/>
                <w:szCs w:val="22"/>
              </w:rPr>
            </w:pPr>
            <w:r w:rsidRPr="00BB0E53">
              <w:rPr>
                <w:b/>
                <w:sz w:val="22"/>
                <w:szCs w:val="22"/>
              </w:rPr>
              <w:t xml:space="preserve">Uwaga nieuwzględniona </w:t>
            </w:r>
          </w:p>
          <w:p w14:paraId="632A990B" w14:textId="77777777" w:rsidR="00E007F3" w:rsidRPr="00BB0E53" w:rsidRDefault="00E007F3" w:rsidP="00BB0E53">
            <w:pPr>
              <w:jc w:val="both"/>
              <w:rPr>
                <w:sz w:val="22"/>
                <w:szCs w:val="22"/>
              </w:rPr>
            </w:pPr>
            <w:r w:rsidRPr="00BB0E53">
              <w:rPr>
                <w:sz w:val="22"/>
                <w:szCs w:val="22"/>
              </w:rPr>
              <w:t>Uwaga wniesiona po terminie.</w:t>
            </w:r>
          </w:p>
          <w:p w14:paraId="041E9A16" w14:textId="4767E511" w:rsidR="000378F1" w:rsidRPr="00BB0E53" w:rsidRDefault="00D475B9" w:rsidP="00BB0E53">
            <w:pPr>
              <w:jc w:val="both"/>
              <w:rPr>
                <w:sz w:val="22"/>
                <w:szCs w:val="22"/>
              </w:rPr>
            </w:pPr>
            <w:r w:rsidRPr="00BB0E53">
              <w:rPr>
                <w:sz w:val="22"/>
                <w:szCs w:val="22"/>
              </w:rPr>
              <w:t>Projekt ustawy nie definiuje pojęcia poziomów otwartości danych  (zob. wyjaśnienia do uwagi nr 17).</w:t>
            </w:r>
          </w:p>
        </w:tc>
      </w:tr>
      <w:tr w:rsidR="00940D7B" w:rsidRPr="00BB0E53" w14:paraId="457C179E" w14:textId="77777777" w:rsidTr="001C649B">
        <w:trPr>
          <w:jc w:val="center"/>
        </w:trPr>
        <w:tc>
          <w:tcPr>
            <w:tcW w:w="568" w:type="dxa"/>
            <w:shd w:val="clear" w:color="auto" w:fill="auto"/>
            <w:vAlign w:val="center"/>
          </w:tcPr>
          <w:p w14:paraId="3EA8108E" w14:textId="77777777" w:rsidR="00E007F3" w:rsidRPr="00BB0E53" w:rsidRDefault="00E007F3" w:rsidP="00BB0E53">
            <w:pPr>
              <w:numPr>
                <w:ilvl w:val="0"/>
                <w:numId w:val="3"/>
              </w:numPr>
              <w:jc w:val="center"/>
              <w:rPr>
                <w:sz w:val="22"/>
                <w:szCs w:val="22"/>
              </w:rPr>
            </w:pPr>
          </w:p>
        </w:tc>
        <w:tc>
          <w:tcPr>
            <w:tcW w:w="1227" w:type="dxa"/>
            <w:shd w:val="clear" w:color="auto" w:fill="auto"/>
            <w:vAlign w:val="center"/>
          </w:tcPr>
          <w:p w14:paraId="508FFA39" w14:textId="0DFC08EC" w:rsidR="00E007F3" w:rsidRPr="00BB0E53" w:rsidRDefault="00E007F3" w:rsidP="00BB0E53">
            <w:pPr>
              <w:jc w:val="center"/>
              <w:rPr>
                <w:sz w:val="22"/>
                <w:szCs w:val="22"/>
                <w:highlight w:val="cyan"/>
              </w:rPr>
            </w:pPr>
            <w:r w:rsidRPr="00BB0E53">
              <w:rPr>
                <w:sz w:val="22"/>
                <w:szCs w:val="22"/>
              </w:rPr>
              <w:t>MRiRW</w:t>
            </w:r>
          </w:p>
        </w:tc>
        <w:tc>
          <w:tcPr>
            <w:tcW w:w="1475" w:type="dxa"/>
            <w:shd w:val="clear" w:color="auto" w:fill="auto"/>
            <w:vAlign w:val="center"/>
          </w:tcPr>
          <w:p w14:paraId="3E7F471B" w14:textId="4D218604" w:rsidR="00E007F3" w:rsidRPr="00BB0E53" w:rsidRDefault="00E007F3" w:rsidP="00BB0E53">
            <w:pPr>
              <w:jc w:val="center"/>
              <w:rPr>
                <w:sz w:val="22"/>
                <w:szCs w:val="22"/>
                <w:highlight w:val="cyan"/>
              </w:rPr>
            </w:pPr>
            <w:r w:rsidRPr="00BB0E53">
              <w:rPr>
                <w:sz w:val="22"/>
                <w:szCs w:val="22"/>
              </w:rPr>
              <w:t>Art. 8 ust. 1</w:t>
            </w:r>
          </w:p>
        </w:tc>
        <w:tc>
          <w:tcPr>
            <w:tcW w:w="3777" w:type="dxa"/>
            <w:shd w:val="clear" w:color="auto" w:fill="auto"/>
          </w:tcPr>
          <w:p w14:paraId="2CA103E9" w14:textId="77777777" w:rsidR="00E007F3" w:rsidRPr="00BB0E53" w:rsidRDefault="00E007F3" w:rsidP="00BB0E53">
            <w:pPr>
              <w:jc w:val="both"/>
              <w:rPr>
                <w:sz w:val="22"/>
                <w:szCs w:val="22"/>
              </w:rPr>
            </w:pPr>
            <w:r w:rsidRPr="00BB0E53">
              <w:rPr>
                <w:sz w:val="22"/>
                <w:szCs w:val="22"/>
              </w:rPr>
              <w:t xml:space="preserve">Podmiot zobowiązany </w:t>
            </w:r>
            <w:r w:rsidRPr="00BB0E53">
              <w:rPr>
                <w:sz w:val="22"/>
                <w:szCs w:val="22"/>
                <w:u w:val="single"/>
              </w:rPr>
              <w:t>w porównywalnych sytuacjach</w:t>
            </w:r>
            <w:r w:rsidRPr="00BB0E53">
              <w:rPr>
                <w:sz w:val="22"/>
                <w:szCs w:val="22"/>
              </w:rPr>
              <w:t xml:space="preserve"> udostępnia lub przekazuje informacje sektora publicznego w celu ponownego wykorzystywania na takich samych zasadach.</w:t>
            </w:r>
          </w:p>
          <w:p w14:paraId="381FCC80" w14:textId="77777777" w:rsidR="00E007F3" w:rsidRPr="00BB0E53" w:rsidRDefault="00E007F3" w:rsidP="00BB0E53">
            <w:pPr>
              <w:jc w:val="both"/>
              <w:rPr>
                <w:sz w:val="22"/>
                <w:szCs w:val="22"/>
              </w:rPr>
            </w:pPr>
          </w:p>
          <w:p w14:paraId="33D7ADF4" w14:textId="36F50F96" w:rsidR="00E007F3" w:rsidRPr="00BB0E53" w:rsidRDefault="00E007F3" w:rsidP="00BB0E53">
            <w:pPr>
              <w:jc w:val="both"/>
              <w:rPr>
                <w:sz w:val="22"/>
                <w:szCs w:val="22"/>
                <w:highlight w:val="cyan"/>
              </w:rPr>
            </w:pPr>
            <w:r w:rsidRPr="00BB0E53">
              <w:rPr>
                <w:b/>
                <w:sz w:val="22"/>
                <w:szCs w:val="22"/>
              </w:rPr>
              <w:t>Niejasny zapis</w:t>
            </w:r>
          </w:p>
        </w:tc>
        <w:tc>
          <w:tcPr>
            <w:tcW w:w="3467" w:type="dxa"/>
            <w:shd w:val="clear" w:color="auto" w:fill="auto"/>
          </w:tcPr>
          <w:p w14:paraId="743926A1" w14:textId="77777777" w:rsidR="00E007F3" w:rsidRPr="00BB0E53" w:rsidRDefault="00E007F3" w:rsidP="00BB0E53">
            <w:pPr>
              <w:jc w:val="both"/>
              <w:rPr>
                <w:sz w:val="22"/>
                <w:szCs w:val="22"/>
                <w:highlight w:val="cyan"/>
              </w:rPr>
            </w:pPr>
          </w:p>
        </w:tc>
        <w:tc>
          <w:tcPr>
            <w:tcW w:w="3478" w:type="dxa"/>
          </w:tcPr>
          <w:p w14:paraId="387CF856" w14:textId="77777777" w:rsidR="00E007F3" w:rsidRPr="00BB0E53" w:rsidRDefault="00E007F3" w:rsidP="00BB0E53">
            <w:pPr>
              <w:jc w:val="both"/>
              <w:rPr>
                <w:rFonts w:eastAsia="Calibri"/>
                <w:b/>
                <w:sz w:val="22"/>
                <w:szCs w:val="22"/>
                <w:lang w:eastAsia="en-US"/>
              </w:rPr>
            </w:pPr>
            <w:r w:rsidRPr="00BB0E53">
              <w:rPr>
                <w:rFonts w:eastAsia="Calibri"/>
                <w:b/>
                <w:sz w:val="22"/>
                <w:szCs w:val="22"/>
                <w:lang w:eastAsia="en-US"/>
              </w:rPr>
              <w:t xml:space="preserve">Wyjaśnienie </w:t>
            </w:r>
          </w:p>
          <w:p w14:paraId="2D4FC3D9" w14:textId="0E56297E" w:rsidR="00E007F3" w:rsidRPr="00BB0E53" w:rsidRDefault="00E007F3" w:rsidP="00BB0E53">
            <w:pPr>
              <w:jc w:val="both"/>
              <w:rPr>
                <w:rFonts w:eastAsia="Calibri"/>
                <w:sz w:val="22"/>
                <w:szCs w:val="22"/>
                <w:lang w:eastAsia="en-US"/>
              </w:rPr>
            </w:pPr>
            <w:r w:rsidRPr="00BB0E53">
              <w:rPr>
                <w:rFonts w:eastAsia="Calibri"/>
                <w:sz w:val="22"/>
                <w:szCs w:val="22"/>
                <w:lang w:eastAsia="en-US"/>
              </w:rPr>
              <w:t>Uwaga wniesiona po terminie</w:t>
            </w:r>
            <w:r w:rsidR="00D135A2" w:rsidRPr="00BB0E53">
              <w:rPr>
                <w:rFonts w:eastAsia="Calibri"/>
                <w:sz w:val="22"/>
                <w:szCs w:val="22"/>
                <w:lang w:eastAsia="en-US"/>
              </w:rPr>
              <w:t>.</w:t>
            </w:r>
          </w:p>
          <w:p w14:paraId="4F8BE925" w14:textId="62171638" w:rsidR="00E007F3" w:rsidRPr="00BB0E53" w:rsidRDefault="00E007F3" w:rsidP="00BB0E53">
            <w:pPr>
              <w:jc w:val="both"/>
              <w:rPr>
                <w:sz w:val="22"/>
                <w:szCs w:val="22"/>
              </w:rPr>
            </w:pPr>
            <w:r w:rsidRPr="00BB0E53">
              <w:rPr>
                <w:rFonts w:eastAsia="Calibri"/>
                <w:sz w:val="22"/>
                <w:szCs w:val="22"/>
                <w:lang w:eastAsia="en-US"/>
              </w:rPr>
              <w:t>Tożsamy przepis funkcjonuje również ustawie z 2016 r. Przepis był przedmiotem uwagi RCL. Podczas konferencji uzgodnieniowej ustalono, że przepis zostanie poddany dodatkowej analizie w ramach rozpatrzenia projektu ustawy przez Komisję prawniczą.</w:t>
            </w:r>
          </w:p>
        </w:tc>
      </w:tr>
      <w:tr w:rsidR="00940D7B" w:rsidRPr="00BB0E53" w14:paraId="4401D9F7" w14:textId="77777777" w:rsidTr="001C649B">
        <w:trPr>
          <w:jc w:val="center"/>
        </w:trPr>
        <w:tc>
          <w:tcPr>
            <w:tcW w:w="568" w:type="dxa"/>
            <w:shd w:val="clear" w:color="auto" w:fill="auto"/>
            <w:vAlign w:val="center"/>
          </w:tcPr>
          <w:p w14:paraId="312F79A0" w14:textId="77777777" w:rsidR="00E007F3" w:rsidRPr="00BB0E53" w:rsidRDefault="00E007F3" w:rsidP="00BB0E53">
            <w:pPr>
              <w:numPr>
                <w:ilvl w:val="0"/>
                <w:numId w:val="3"/>
              </w:numPr>
              <w:jc w:val="center"/>
              <w:rPr>
                <w:sz w:val="22"/>
                <w:szCs w:val="22"/>
              </w:rPr>
            </w:pPr>
          </w:p>
        </w:tc>
        <w:tc>
          <w:tcPr>
            <w:tcW w:w="1227" w:type="dxa"/>
            <w:shd w:val="clear" w:color="auto" w:fill="auto"/>
            <w:vAlign w:val="center"/>
          </w:tcPr>
          <w:p w14:paraId="0559C3B9" w14:textId="510443C5" w:rsidR="00E007F3" w:rsidRPr="00BB0E53" w:rsidRDefault="00E007F3" w:rsidP="00BB0E53">
            <w:pPr>
              <w:jc w:val="center"/>
              <w:rPr>
                <w:sz w:val="22"/>
                <w:szCs w:val="22"/>
                <w:highlight w:val="cyan"/>
              </w:rPr>
            </w:pPr>
            <w:r w:rsidRPr="00BB0E53">
              <w:rPr>
                <w:sz w:val="22"/>
                <w:szCs w:val="22"/>
              </w:rPr>
              <w:t>MRiRW</w:t>
            </w:r>
          </w:p>
        </w:tc>
        <w:tc>
          <w:tcPr>
            <w:tcW w:w="1475" w:type="dxa"/>
            <w:shd w:val="clear" w:color="auto" w:fill="auto"/>
            <w:vAlign w:val="center"/>
          </w:tcPr>
          <w:p w14:paraId="5FB64674" w14:textId="08FAA80A" w:rsidR="00E007F3" w:rsidRPr="00BB0E53" w:rsidRDefault="00E007F3" w:rsidP="00BB0E53">
            <w:pPr>
              <w:jc w:val="center"/>
              <w:rPr>
                <w:sz w:val="22"/>
                <w:szCs w:val="22"/>
                <w:highlight w:val="cyan"/>
              </w:rPr>
            </w:pPr>
            <w:r w:rsidRPr="00BB0E53">
              <w:rPr>
                <w:sz w:val="22"/>
                <w:szCs w:val="22"/>
              </w:rPr>
              <w:t>Art. 14 ust. 1</w:t>
            </w:r>
          </w:p>
        </w:tc>
        <w:tc>
          <w:tcPr>
            <w:tcW w:w="3777" w:type="dxa"/>
            <w:shd w:val="clear" w:color="auto" w:fill="auto"/>
          </w:tcPr>
          <w:p w14:paraId="16ADDD2C" w14:textId="77777777" w:rsidR="00E007F3" w:rsidRPr="00BB0E53" w:rsidRDefault="00E007F3" w:rsidP="00BB0E53">
            <w:pPr>
              <w:jc w:val="both"/>
              <w:rPr>
                <w:sz w:val="22"/>
                <w:szCs w:val="22"/>
                <w:u w:val="single"/>
              </w:rPr>
            </w:pPr>
            <w:r w:rsidRPr="00BB0E53">
              <w:rPr>
                <w:sz w:val="22"/>
                <w:szCs w:val="22"/>
                <w:u w:val="single"/>
              </w:rPr>
              <w:t>Informacje sektora publicznego udostępnia się lub przekazuje w celu ich ponownego wykorzystywania bezwarunkowo</w:t>
            </w:r>
          </w:p>
          <w:p w14:paraId="270A9D87" w14:textId="77777777" w:rsidR="00E007F3" w:rsidRPr="00BB0E53" w:rsidRDefault="00E007F3" w:rsidP="00BB0E53">
            <w:pPr>
              <w:jc w:val="both"/>
              <w:rPr>
                <w:sz w:val="22"/>
                <w:szCs w:val="22"/>
              </w:rPr>
            </w:pPr>
          </w:p>
          <w:p w14:paraId="6EB9BD75" w14:textId="5D4A14E4" w:rsidR="00E007F3" w:rsidRPr="00BB0E53" w:rsidRDefault="00E007F3" w:rsidP="00BB0E53">
            <w:pPr>
              <w:jc w:val="both"/>
              <w:rPr>
                <w:sz w:val="22"/>
                <w:szCs w:val="22"/>
                <w:highlight w:val="cyan"/>
              </w:rPr>
            </w:pPr>
            <w:r w:rsidRPr="00BB0E53">
              <w:rPr>
                <w:b/>
                <w:sz w:val="22"/>
                <w:szCs w:val="22"/>
              </w:rPr>
              <w:t>wydaje się, że ten ustęp stoi w sprzeczności z kolejnymi zapisami tego rozdziału.</w:t>
            </w:r>
          </w:p>
        </w:tc>
        <w:tc>
          <w:tcPr>
            <w:tcW w:w="3467" w:type="dxa"/>
            <w:shd w:val="clear" w:color="auto" w:fill="auto"/>
          </w:tcPr>
          <w:p w14:paraId="6D52E300" w14:textId="77777777" w:rsidR="00E007F3" w:rsidRPr="00BB0E53" w:rsidRDefault="00E007F3" w:rsidP="00BB0E53">
            <w:pPr>
              <w:jc w:val="both"/>
              <w:rPr>
                <w:sz w:val="22"/>
                <w:szCs w:val="22"/>
              </w:rPr>
            </w:pPr>
            <w:r w:rsidRPr="00BB0E53">
              <w:rPr>
                <w:sz w:val="22"/>
                <w:szCs w:val="22"/>
              </w:rPr>
              <w:t>Proponuje się dodać zapis „z zastrzeżeniem ust. 2-5.”</w:t>
            </w:r>
          </w:p>
          <w:p w14:paraId="1FDB709C" w14:textId="77777777" w:rsidR="00E007F3" w:rsidRPr="00BB0E53" w:rsidRDefault="00E007F3" w:rsidP="00BB0E53">
            <w:pPr>
              <w:jc w:val="both"/>
              <w:rPr>
                <w:sz w:val="22"/>
                <w:szCs w:val="22"/>
              </w:rPr>
            </w:pPr>
          </w:p>
          <w:p w14:paraId="66A6323B" w14:textId="407BE305" w:rsidR="00E007F3" w:rsidRPr="00BB0E53" w:rsidRDefault="00E007F3" w:rsidP="00BB0E53">
            <w:pPr>
              <w:jc w:val="both"/>
              <w:rPr>
                <w:sz w:val="22"/>
                <w:szCs w:val="22"/>
                <w:highlight w:val="cyan"/>
              </w:rPr>
            </w:pPr>
            <w:r w:rsidRPr="00BB0E53">
              <w:rPr>
                <w:sz w:val="22"/>
                <w:szCs w:val="22"/>
              </w:rPr>
              <w:t>Informacje sektora publicznego udostępnia się lub przekazuje w celu ich ponownego wykorzystywania bezwarunkowo, z zastrzeżeniem ust. 2-5.</w:t>
            </w:r>
          </w:p>
        </w:tc>
        <w:tc>
          <w:tcPr>
            <w:tcW w:w="3478" w:type="dxa"/>
          </w:tcPr>
          <w:p w14:paraId="4703FEF8" w14:textId="479B1B48" w:rsidR="002C6213" w:rsidRPr="00BB0E53" w:rsidRDefault="002C6213" w:rsidP="00BB0E53">
            <w:pPr>
              <w:jc w:val="both"/>
              <w:rPr>
                <w:b/>
                <w:sz w:val="22"/>
                <w:szCs w:val="22"/>
              </w:rPr>
            </w:pPr>
            <w:r w:rsidRPr="00BB0E53">
              <w:rPr>
                <w:b/>
                <w:sz w:val="22"/>
                <w:szCs w:val="22"/>
              </w:rPr>
              <w:t xml:space="preserve">Uwaga uwzględniona </w:t>
            </w:r>
          </w:p>
          <w:p w14:paraId="2978E64A" w14:textId="3100FF7D" w:rsidR="00E007F3" w:rsidRPr="00BB0E53" w:rsidRDefault="00E007F3" w:rsidP="00BB0E53">
            <w:pPr>
              <w:jc w:val="both"/>
              <w:rPr>
                <w:sz w:val="22"/>
                <w:szCs w:val="22"/>
              </w:rPr>
            </w:pPr>
            <w:r w:rsidRPr="00BB0E53">
              <w:rPr>
                <w:sz w:val="22"/>
                <w:szCs w:val="22"/>
              </w:rPr>
              <w:t>Uwaga wniesiona po terminie</w:t>
            </w:r>
            <w:r w:rsidR="00D135A2" w:rsidRPr="00BB0E53">
              <w:rPr>
                <w:sz w:val="22"/>
                <w:szCs w:val="22"/>
              </w:rPr>
              <w:t>.</w:t>
            </w:r>
          </w:p>
          <w:p w14:paraId="10E1DDAC" w14:textId="744B2A92" w:rsidR="009F3F5C" w:rsidRPr="00BB0E53" w:rsidRDefault="00D475B9" w:rsidP="00BB0E53">
            <w:pPr>
              <w:jc w:val="both"/>
              <w:rPr>
                <w:sz w:val="22"/>
                <w:szCs w:val="22"/>
              </w:rPr>
            </w:pPr>
            <w:r w:rsidRPr="00BB0E53">
              <w:rPr>
                <w:sz w:val="22"/>
                <w:szCs w:val="22"/>
              </w:rPr>
              <w:t xml:space="preserve">Wnioskodawca uwzględnił uwagę RCL nr 4 </w:t>
            </w:r>
            <w:r w:rsidR="008839D7" w:rsidRPr="00BB0E53">
              <w:rPr>
                <w:sz w:val="22"/>
                <w:szCs w:val="22"/>
              </w:rPr>
              <w:t>(zmiana przepisów art. 14 i </w:t>
            </w:r>
            <w:r w:rsidR="009F3F5C" w:rsidRPr="00BB0E53">
              <w:rPr>
                <w:sz w:val="22"/>
                <w:szCs w:val="22"/>
              </w:rPr>
              <w:t xml:space="preserve">15 projektu ustawy). </w:t>
            </w:r>
          </w:p>
        </w:tc>
      </w:tr>
      <w:tr w:rsidR="00940D7B" w:rsidRPr="00BB0E53" w14:paraId="6E309E2C" w14:textId="77777777" w:rsidTr="001C649B">
        <w:trPr>
          <w:jc w:val="center"/>
        </w:trPr>
        <w:tc>
          <w:tcPr>
            <w:tcW w:w="568" w:type="dxa"/>
            <w:shd w:val="clear" w:color="auto" w:fill="auto"/>
            <w:vAlign w:val="center"/>
          </w:tcPr>
          <w:p w14:paraId="5E0B74FA" w14:textId="77777777" w:rsidR="00E007F3" w:rsidRPr="00BB0E53" w:rsidRDefault="00E007F3" w:rsidP="00BB0E53">
            <w:pPr>
              <w:numPr>
                <w:ilvl w:val="0"/>
                <w:numId w:val="3"/>
              </w:numPr>
              <w:jc w:val="center"/>
              <w:rPr>
                <w:sz w:val="22"/>
                <w:szCs w:val="22"/>
              </w:rPr>
            </w:pPr>
          </w:p>
        </w:tc>
        <w:tc>
          <w:tcPr>
            <w:tcW w:w="1227" w:type="dxa"/>
            <w:shd w:val="clear" w:color="auto" w:fill="auto"/>
            <w:vAlign w:val="center"/>
          </w:tcPr>
          <w:p w14:paraId="78938511" w14:textId="527A2236" w:rsidR="00E007F3" w:rsidRPr="00BB0E53" w:rsidRDefault="00E007F3" w:rsidP="00BB0E53">
            <w:pPr>
              <w:jc w:val="center"/>
              <w:rPr>
                <w:sz w:val="22"/>
                <w:szCs w:val="22"/>
                <w:highlight w:val="cyan"/>
              </w:rPr>
            </w:pPr>
            <w:r w:rsidRPr="00BB0E53">
              <w:rPr>
                <w:sz w:val="22"/>
                <w:szCs w:val="22"/>
              </w:rPr>
              <w:t>MRiRW</w:t>
            </w:r>
          </w:p>
        </w:tc>
        <w:tc>
          <w:tcPr>
            <w:tcW w:w="1475" w:type="dxa"/>
            <w:shd w:val="clear" w:color="auto" w:fill="auto"/>
            <w:vAlign w:val="center"/>
          </w:tcPr>
          <w:p w14:paraId="4E64CCBE" w14:textId="4CD9BBE0" w:rsidR="00E007F3" w:rsidRPr="00BB0E53" w:rsidRDefault="00E007F3" w:rsidP="00BB0E53">
            <w:pPr>
              <w:jc w:val="center"/>
              <w:rPr>
                <w:sz w:val="22"/>
                <w:szCs w:val="22"/>
                <w:highlight w:val="cyan"/>
              </w:rPr>
            </w:pPr>
            <w:r w:rsidRPr="00BB0E53">
              <w:rPr>
                <w:sz w:val="22"/>
                <w:szCs w:val="22"/>
              </w:rPr>
              <w:t>Art. 19 ust. 2</w:t>
            </w:r>
          </w:p>
        </w:tc>
        <w:tc>
          <w:tcPr>
            <w:tcW w:w="3777" w:type="dxa"/>
            <w:shd w:val="clear" w:color="auto" w:fill="auto"/>
          </w:tcPr>
          <w:p w14:paraId="0C0F80B3" w14:textId="5E8A2F7C" w:rsidR="00E007F3" w:rsidRPr="00BB0E53" w:rsidRDefault="00E007F3" w:rsidP="00BB0E53">
            <w:pPr>
              <w:jc w:val="both"/>
              <w:rPr>
                <w:sz w:val="22"/>
                <w:szCs w:val="22"/>
              </w:rPr>
            </w:pPr>
            <w:r w:rsidRPr="00BB0E53">
              <w:rPr>
                <w:sz w:val="22"/>
                <w:szCs w:val="22"/>
              </w:rPr>
              <w:t xml:space="preserve">Ustalając wysokość opłaty, o której mowa w ust. 1, uwzględnia się koszty gromadzenia, produkowania, reprodukowania, rozpowszechniania, ochrony i ustalania praw. Łączna wysokość opłaty nie może przekroczyć sumy tych kosztów wraz z </w:t>
            </w:r>
            <w:r w:rsidRPr="00BB0E53">
              <w:rPr>
                <w:sz w:val="22"/>
                <w:szCs w:val="22"/>
                <w:u w:val="single"/>
              </w:rPr>
              <w:t xml:space="preserve">rozsądnym </w:t>
            </w:r>
            <w:r w:rsidRPr="00BB0E53">
              <w:rPr>
                <w:sz w:val="22"/>
                <w:szCs w:val="22"/>
              </w:rPr>
              <w:t>zwrotem z inwestycji, jednak nie wyższym niż 5 punktów procentowych powyżej stopy referencyjnej Narodowego Banku Polskiego.</w:t>
            </w:r>
          </w:p>
        </w:tc>
        <w:tc>
          <w:tcPr>
            <w:tcW w:w="3467" w:type="dxa"/>
            <w:shd w:val="clear" w:color="auto" w:fill="auto"/>
          </w:tcPr>
          <w:p w14:paraId="49C9072D" w14:textId="73A92A65" w:rsidR="00E007F3" w:rsidRPr="00BB0E53" w:rsidRDefault="00E007F3" w:rsidP="00BB0E53">
            <w:pPr>
              <w:jc w:val="both"/>
              <w:rPr>
                <w:sz w:val="22"/>
                <w:szCs w:val="22"/>
                <w:highlight w:val="cyan"/>
              </w:rPr>
            </w:pPr>
            <w:r w:rsidRPr="00BB0E53">
              <w:rPr>
                <w:sz w:val="22"/>
                <w:szCs w:val="22"/>
              </w:rPr>
              <w:t>Niejasne – proponuje się skreślić słowo „rozsądnym”</w:t>
            </w:r>
          </w:p>
        </w:tc>
        <w:tc>
          <w:tcPr>
            <w:tcW w:w="3478" w:type="dxa"/>
          </w:tcPr>
          <w:p w14:paraId="3E38BFA4" w14:textId="77777777" w:rsidR="00E007F3" w:rsidRPr="00BB0E53" w:rsidRDefault="00E007F3" w:rsidP="00BB0E53">
            <w:pPr>
              <w:jc w:val="both"/>
              <w:rPr>
                <w:b/>
                <w:sz w:val="22"/>
                <w:szCs w:val="22"/>
              </w:rPr>
            </w:pPr>
            <w:r w:rsidRPr="00BB0E53">
              <w:rPr>
                <w:b/>
                <w:sz w:val="22"/>
                <w:szCs w:val="22"/>
              </w:rPr>
              <w:t>Uwaga nieuwzględniona</w:t>
            </w:r>
          </w:p>
          <w:p w14:paraId="221CC315" w14:textId="1A827A67" w:rsidR="00E007F3" w:rsidRPr="00BB0E53" w:rsidRDefault="00E007F3" w:rsidP="00BB0E53">
            <w:pPr>
              <w:jc w:val="both"/>
              <w:rPr>
                <w:sz w:val="22"/>
                <w:szCs w:val="22"/>
              </w:rPr>
            </w:pPr>
            <w:r w:rsidRPr="00BB0E53">
              <w:rPr>
                <w:sz w:val="22"/>
                <w:szCs w:val="22"/>
              </w:rPr>
              <w:t>Uwaga wniesiona po terminie</w:t>
            </w:r>
            <w:r w:rsidR="00D135A2" w:rsidRPr="00BB0E53">
              <w:rPr>
                <w:sz w:val="22"/>
                <w:szCs w:val="22"/>
              </w:rPr>
              <w:t>.</w:t>
            </w:r>
          </w:p>
          <w:p w14:paraId="4025335F" w14:textId="504781B7" w:rsidR="00E007F3" w:rsidRPr="00BB0E53" w:rsidRDefault="00E007F3" w:rsidP="00BB0E53">
            <w:pPr>
              <w:jc w:val="both"/>
              <w:rPr>
                <w:sz w:val="22"/>
                <w:szCs w:val="22"/>
              </w:rPr>
            </w:pPr>
            <w:r w:rsidRPr="00BB0E53">
              <w:rPr>
                <w:sz w:val="22"/>
                <w:szCs w:val="22"/>
              </w:rPr>
              <w:t>Przepis ten funkcjonuje również w ustawie z 2016 r. Przepis był przedmiotem uwagi NSA w ramach opiniowania projektu ustawy. Podczas konferencji uzgodnieniowej ustalono, że p</w:t>
            </w:r>
            <w:r w:rsidR="003A1D21" w:rsidRPr="00BB0E53">
              <w:rPr>
                <w:sz w:val="22"/>
                <w:szCs w:val="22"/>
              </w:rPr>
              <w:t>ojęcie rozsądnego zwrotu z </w:t>
            </w:r>
            <w:r w:rsidRPr="00BB0E53">
              <w:rPr>
                <w:sz w:val="22"/>
                <w:szCs w:val="22"/>
              </w:rPr>
              <w:t>inwestycji zostanie wyjaśnione</w:t>
            </w:r>
            <w:r w:rsidR="003A1D21" w:rsidRPr="00BB0E53">
              <w:rPr>
                <w:sz w:val="22"/>
                <w:szCs w:val="22"/>
              </w:rPr>
              <w:t xml:space="preserve"> w </w:t>
            </w:r>
            <w:r w:rsidRPr="00BB0E53">
              <w:rPr>
                <w:sz w:val="22"/>
                <w:szCs w:val="22"/>
              </w:rPr>
              <w:t>uzasadnieniu do projektu ustawy. Zostało to uczynione.</w:t>
            </w:r>
          </w:p>
        </w:tc>
      </w:tr>
      <w:tr w:rsidR="00940D7B" w:rsidRPr="00BB0E53" w14:paraId="25CB1FF4" w14:textId="77777777" w:rsidTr="001C649B">
        <w:trPr>
          <w:jc w:val="center"/>
        </w:trPr>
        <w:tc>
          <w:tcPr>
            <w:tcW w:w="568" w:type="dxa"/>
            <w:shd w:val="clear" w:color="auto" w:fill="auto"/>
            <w:vAlign w:val="center"/>
          </w:tcPr>
          <w:p w14:paraId="7D8E8CD9" w14:textId="77777777" w:rsidR="00E007F3" w:rsidRPr="00BB0E53" w:rsidRDefault="00E007F3" w:rsidP="00BB0E53">
            <w:pPr>
              <w:numPr>
                <w:ilvl w:val="0"/>
                <w:numId w:val="3"/>
              </w:numPr>
              <w:jc w:val="center"/>
              <w:rPr>
                <w:sz w:val="22"/>
                <w:szCs w:val="22"/>
              </w:rPr>
            </w:pPr>
          </w:p>
        </w:tc>
        <w:tc>
          <w:tcPr>
            <w:tcW w:w="1227" w:type="dxa"/>
            <w:shd w:val="clear" w:color="auto" w:fill="auto"/>
            <w:vAlign w:val="center"/>
          </w:tcPr>
          <w:p w14:paraId="60BE556B" w14:textId="2D6CE1B0" w:rsidR="00E007F3" w:rsidRPr="00BB0E53" w:rsidRDefault="00E007F3" w:rsidP="00BB0E53">
            <w:pPr>
              <w:jc w:val="center"/>
              <w:rPr>
                <w:sz w:val="22"/>
                <w:szCs w:val="22"/>
                <w:highlight w:val="cyan"/>
              </w:rPr>
            </w:pPr>
            <w:r w:rsidRPr="00BB0E53">
              <w:rPr>
                <w:sz w:val="22"/>
                <w:szCs w:val="22"/>
              </w:rPr>
              <w:t>MRiRW</w:t>
            </w:r>
          </w:p>
        </w:tc>
        <w:tc>
          <w:tcPr>
            <w:tcW w:w="1475" w:type="dxa"/>
            <w:shd w:val="clear" w:color="auto" w:fill="auto"/>
            <w:vAlign w:val="center"/>
          </w:tcPr>
          <w:p w14:paraId="00DFDBFE" w14:textId="23D213D0" w:rsidR="00E007F3" w:rsidRPr="00BB0E53" w:rsidRDefault="00E007F3" w:rsidP="00BB0E53">
            <w:pPr>
              <w:jc w:val="center"/>
              <w:rPr>
                <w:sz w:val="22"/>
                <w:szCs w:val="22"/>
                <w:highlight w:val="cyan"/>
              </w:rPr>
            </w:pPr>
            <w:r w:rsidRPr="00BB0E53">
              <w:rPr>
                <w:sz w:val="22"/>
                <w:szCs w:val="22"/>
              </w:rPr>
              <w:t>Art. 19 ust. 3</w:t>
            </w:r>
          </w:p>
        </w:tc>
        <w:tc>
          <w:tcPr>
            <w:tcW w:w="3777" w:type="dxa"/>
            <w:shd w:val="clear" w:color="auto" w:fill="auto"/>
          </w:tcPr>
          <w:p w14:paraId="270744E4" w14:textId="3DCDB033" w:rsidR="00E007F3" w:rsidRPr="00BB0E53" w:rsidRDefault="00E007F3" w:rsidP="00BB0E53">
            <w:pPr>
              <w:jc w:val="both"/>
              <w:rPr>
                <w:sz w:val="22"/>
                <w:szCs w:val="22"/>
                <w:highlight w:val="cyan"/>
              </w:rPr>
            </w:pPr>
            <w:r w:rsidRPr="00BB0E53">
              <w:rPr>
                <w:sz w:val="22"/>
                <w:szCs w:val="22"/>
              </w:rPr>
              <w:t xml:space="preserve">Minister właściwy do spraw kultury i ochrony dziedzictwa narodowego w porozumieniu z ministrem właściwym do spraw informatyzacji określi, w drodze rozporządzenia, maksymalne </w:t>
            </w:r>
            <w:r w:rsidRPr="00BB0E53">
              <w:rPr>
                <w:sz w:val="22"/>
                <w:szCs w:val="22"/>
              </w:rPr>
              <w:lastRenderedPageBreak/>
              <w:t xml:space="preserve">stawki opłat za ponowne wykorzystywanie nakładanych przez muzea państwowe i muzea samorządowe, biorąc pod uwagę koszty oraz </w:t>
            </w:r>
            <w:r w:rsidRPr="00BB0E53">
              <w:rPr>
                <w:sz w:val="22"/>
                <w:szCs w:val="22"/>
                <w:u w:val="single"/>
              </w:rPr>
              <w:t>rozsądny</w:t>
            </w:r>
            <w:r w:rsidRPr="00BB0E53">
              <w:rPr>
                <w:color w:val="FF0000"/>
                <w:sz w:val="22"/>
                <w:szCs w:val="22"/>
              </w:rPr>
              <w:t xml:space="preserve"> </w:t>
            </w:r>
            <w:r w:rsidRPr="00BB0E53">
              <w:rPr>
                <w:sz w:val="22"/>
                <w:szCs w:val="22"/>
              </w:rPr>
              <w:t>zwrot z inwestycji, o których mowa w ust. 2.</w:t>
            </w:r>
          </w:p>
        </w:tc>
        <w:tc>
          <w:tcPr>
            <w:tcW w:w="3467" w:type="dxa"/>
            <w:shd w:val="clear" w:color="auto" w:fill="auto"/>
          </w:tcPr>
          <w:p w14:paraId="5CEA9959" w14:textId="7CAD06F6" w:rsidR="00E007F3" w:rsidRPr="00BB0E53" w:rsidRDefault="00E007F3" w:rsidP="00BB0E53">
            <w:pPr>
              <w:jc w:val="both"/>
              <w:rPr>
                <w:sz w:val="22"/>
                <w:szCs w:val="22"/>
                <w:highlight w:val="cyan"/>
              </w:rPr>
            </w:pPr>
            <w:r w:rsidRPr="00BB0E53">
              <w:rPr>
                <w:sz w:val="22"/>
                <w:szCs w:val="22"/>
              </w:rPr>
              <w:lastRenderedPageBreak/>
              <w:t>Niejasne – proponuje się skreślić słowo „rozsądny”</w:t>
            </w:r>
          </w:p>
        </w:tc>
        <w:tc>
          <w:tcPr>
            <w:tcW w:w="3478" w:type="dxa"/>
          </w:tcPr>
          <w:p w14:paraId="08D53171" w14:textId="77777777" w:rsidR="00E007F3" w:rsidRPr="00BB0E53" w:rsidRDefault="00E007F3" w:rsidP="00BB0E53">
            <w:pPr>
              <w:jc w:val="both"/>
              <w:rPr>
                <w:b/>
                <w:sz w:val="22"/>
                <w:szCs w:val="22"/>
              </w:rPr>
            </w:pPr>
            <w:r w:rsidRPr="00BB0E53">
              <w:rPr>
                <w:b/>
                <w:sz w:val="22"/>
                <w:szCs w:val="22"/>
              </w:rPr>
              <w:t>Uwaga nieuwzględniona</w:t>
            </w:r>
          </w:p>
          <w:p w14:paraId="75D66290" w14:textId="1A9E7AAA" w:rsidR="00E007F3" w:rsidRPr="00BB0E53" w:rsidRDefault="00E007F3" w:rsidP="00BB0E53">
            <w:pPr>
              <w:jc w:val="both"/>
              <w:rPr>
                <w:sz w:val="22"/>
                <w:szCs w:val="22"/>
              </w:rPr>
            </w:pPr>
            <w:r w:rsidRPr="00BB0E53">
              <w:rPr>
                <w:sz w:val="22"/>
                <w:szCs w:val="22"/>
              </w:rPr>
              <w:t>Uwaga wniesiona po terminie</w:t>
            </w:r>
            <w:r w:rsidR="00D135A2" w:rsidRPr="00BB0E53">
              <w:rPr>
                <w:sz w:val="22"/>
                <w:szCs w:val="22"/>
              </w:rPr>
              <w:t>.</w:t>
            </w:r>
          </w:p>
          <w:p w14:paraId="2F09CB5B" w14:textId="487E846B" w:rsidR="00E007F3" w:rsidRPr="00BB0E53" w:rsidRDefault="00E007F3" w:rsidP="00BB0E53">
            <w:pPr>
              <w:jc w:val="both"/>
              <w:rPr>
                <w:sz w:val="22"/>
                <w:szCs w:val="22"/>
              </w:rPr>
            </w:pPr>
            <w:r w:rsidRPr="00BB0E53">
              <w:rPr>
                <w:sz w:val="22"/>
                <w:szCs w:val="22"/>
              </w:rPr>
              <w:t>Zob. wyjaśnienia do uwagi nr 21</w:t>
            </w:r>
            <w:r w:rsidR="00EA6742" w:rsidRPr="00BB0E53">
              <w:rPr>
                <w:sz w:val="22"/>
                <w:szCs w:val="22"/>
              </w:rPr>
              <w:t>.</w:t>
            </w:r>
          </w:p>
        </w:tc>
      </w:tr>
      <w:tr w:rsidR="00940D7B" w:rsidRPr="00BB0E53" w14:paraId="220E810D" w14:textId="77777777" w:rsidTr="001C649B">
        <w:trPr>
          <w:jc w:val="center"/>
        </w:trPr>
        <w:tc>
          <w:tcPr>
            <w:tcW w:w="568" w:type="dxa"/>
            <w:shd w:val="clear" w:color="auto" w:fill="auto"/>
            <w:vAlign w:val="center"/>
          </w:tcPr>
          <w:p w14:paraId="2B9F57B5" w14:textId="77777777" w:rsidR="00E007F3" w:rsidRPr="00BB0E53" w:rsidRDefault="00E007F3" w:rsidP="00BB0E53">
            <w:pPr>
              <w:numPr>
                <w:ilvl w:val="0"/>
                <w:numId w:val="3"/>
              </w:numPr>
              <w:jc w:val="center"/>
              <w:rPr>
                <w:sz w:val="22"/>
                <w:szCs w:val="22"/>
              </w:rPr>
            </w:pPr>
          </w:p>
        </w:tc>
        <w:tc>
          <w:tcPr>
            <w:tcW w:w="1227" w:type="dxa"/>
            <w:shd w:val="clear" w:color="auto" w:fill="auto"/>
            <w:vAlign w:val="center"/>
          </w:tcPr>
          <w:p w14:paraId="1AF4744D" w14:textId="471F993A" w:rsidR="00E007F3" w:rsidRPr="00BB0E53" w:rsidRDefault="00E007F3" w:rsidP="00BB0E53">
            <w:pPr>
              <w:jc w:val="center"/>
              <w:rPr>
                <w:sz w:val="22"/>
                <w:szCs w:val="22"/>
              </w:rPr>
            </w:pPr>
            <w:r w:rsidRPr="00BB0E53">
              <w:rPr>
                <w:sz w:val="22"/>
                <w:szCs w:val="22"/>
              </w:rPr>
              <w:t>MRiRW</w:t>
            </w:r>
          </w:p>
        </w:tc>
        <w:tc>
          <w:tcPr>
            <w:tcW w:w="1475" w:type="dxa"/>
            <w:shd w:val="clear" w:color="auto" w:fill="auto"/>
            <w:vAlign w:val="center"/>
          </w:tcPr>
          <w:p w14:paraId="2F1E74A2" w14:textId="1F3710AE" w:rsidR="00E007F3" w:rsidRPr="00BB0E53" w:rsidRDefault="00E007F3" w:rsidP="00BB0E53">
            <w:pPr>
              <w:jc w:val="center"/>
              <w:rPr>
                <w:sz w:val="22"/>
                <w:szCs w:val="22"/>
              </w:rPr>
            </w:pPr>
            <w:r w:rsidRPr="00BB0E53">
              <w:rPr>
                <w:sz w:val="22"/>
                <w:szCs w:val="22"/>
              </w:rPr>
              <w:t>Art. 31 ust. 1</w:t>
            </w:r>
          </w:p>
        </w:tc>
        <w:tc>
          <w:tcPr>
            <w:tcW w:w="3777" w:type="dxa"/>
            <w:shd w:val="clear" w:color="auto" w:fill="auto"/>
          </w:tcPr>
          <w:p w14:paraId="5AEA71E7" w14:textId="77777777" w:rsidR="00E007F3" w:rsidRPr="00BB0E53" w:rsidRDefault="00E007F3" w:rsidP="00BB0E53">
            <w:pPr>
              <w:jc w:val="both"/>
              <w:rPr>
                <w:sz w:val="22"/>
                <w:szCs w:val="22"/>
              </w:rPr>
            </w:pPr>
            <w:r w:rsidRPr="00BB0E53">
              <w:rPr>
                <w:sz w:val="22"/>
                <w:szCs w:val="22"/>
              </w:rPr>
              <w:t xml:space="preserve">W celu zwiększenia ilości oraz poprawy jakości informacji sektora publicznego i danych prywatnych oraz metadanych opisujących ich strukturę udostępnianych na portalu danych, minister właściwy do spraw informatyzacji </w:t>
            </w:r>
            <w:r w:rsidRPr="00BB0E53">
              <w:rPr>
                <w:sz w:val="22"/>
                <w:szCs w:val="22"/>
                <w:u w:val="single"/>
              </w:rPr>
              <w:t>opracowuje Program otwierania danych</w:t>
            </w:r>
            <w:r w:rsidRPr="00BB0E53">
              <w:rPr>
                <w:sz w:val="22"/>
                <w:szCs w:val="22"/>
              </w:rPr>
              <w:t>, zwany dalej „Programem”, uwzględniając w szczególności:</w:t>
            </w:r>
          </w:p>
          <w:p w14:paraId="6F209E74" w14:textId="77777777" w:rsidR="00E007F3" w:rsidRPr="00BB0E53" w:rsidRDefault="00E007F3" w:rsidP="00BB0E53">
            <w:pPr>
              <w:jc w:val="both"/>
              <w:rPr>
                <w:sz w:val="22"/>
                <w:szCs w:val="22"/>
              </w:rPr>
            </w:pPr>
          </w:p>
          <w:p w14:paraId="3E6D2958" w14:textId="516BCBCA" w:rsidR="00E007F3" w:rsidRPr="00BB0E53" w:rsidRDefault="00E007F3" w:rsidP="00BB0E53">
            <w:pPr>
              <w:jc w:val="both"/>
              <w:rPr>
                <w:sz w:val="22"/>
                <w:szCs w:val="22"/>
              </w:rPr>
            </w:pPr>
            <w:r w:rsidRPr="00BB0E53">
              <w:rPr>
                <w:b/>
                <w:sz w:val="22"/>
                <w:szCs w:val="22"/>
              </w:rPr>
              <w:t>nie określono daty opracowania pierwszego Programu</w:t>
            </w:r>
          </w:p>
        </w:tc>
        <w:tc>
          <w:tcPr>
            <w:tcW w:w="3467" w:type="dxa"/>
            <w:shd w:val="clear" w:color="auto" w:fill="auto"/>
          </w:tcPr>
          <w:p w14:paraId="7CD7DB2C" w14:textId="77777777" w:rsidR="00E007F3" w:rsidRPr="00BB0E53" w:rsidRDefault="00E007F3" w:rsidP="00BB0E53">
            <w:pPr>
              <w:jc w:val="both"/>
              <w:rPr>
                <w:sz w:val="22"/>
                <w:szCs w:val="22"/>
                <w:highlight w:val="cyan"/>
              </w:rPr>
            </w:pPr>
          </w:p>
        </w:tc>
        <w:tc>
          <w:tcPr>
            <w:tcW w:w="3478" w:type="dxa"/>
          </w:tcPr>
          <w:p w14:paraId="2472771E" w14:textId="21F70F41" w:rsidR="002C6213" w:rsidRPr="00BB0E53" w:rsidRDefault="002C6213" w:rsidP="00BB0E53">
            <w:pPr>
              <w:jc w:val="both"/>
              <w:rPr>
                <w:b/>
                <w:sz w:val="22"/>
                <w:szCs w:val="22"/>
              </w:rPr>
            </w:pPr>
            <w:r w:rsidRPr="00BB0E53">
              <w:rPr>
                <w:b/>
                <w:sz w:val="22"/>
                <w:szCs w:val="22"/>
              </w:rPr>
              <w:t xml:space="preserve">Uwaga nieuwzględniona </w:t>
            </w:r>
          </w:p>
          <w:p w14:paraId="1E6AA696" w14:textId="4CD49CE8" w:rsidR="00E007F3" w:rsidRPr="00BB0E53" w:rsidRDefault="00E007F3" w:rsidP="00BB0E53">
            <w:pPr>
              <w:jc w:val="both"/>
              <w:rPr>
                <w:sz w:val="22"/>
                <w:szCs w:val="22"/>
              </w:rPr>
            </w:pPr>
            <w:r w:rsidRPr="00BB0E53">
              <w:rPr>
                <w:sz w:val="22"/>
                <w:szCs w:val="22"/>
              </w:rPr>
              <w:t>Uwaga wniesiona po terminie</w:t>
            </w:r>
            <w:r w:rsidR="00D135A2" w:rsidRPr="00BB0E53">
              <w:rPr>
                <w:sz w:val="22"/>
                <w:szCs w:val="22"/>
              </w:rPr>
              <w:t>.</w:t>
            </w:r>
          </w:p>
          <w:p w14:paraId="6105AFCF" w14:textId="5BC9D776" w:rsidR="00D96418" w:rsidRPr="00BB0E53" w:rsidRDefault="00D96418" w:rsidP="00BB0E53">
            <w:pPr>
              <w:jc w:val="both"/>
              <w:rPr>
                <w:sz w:val="22"/>
                <w:szCs w:val="22"/>
              </w:rPr>
            </w:pPr>
            <w:r w:rsidRPr="00BB0E53">
              <w:rPr>
                <w:sz w:val="22"/>
                <w:szCs w:val="22"/>
              </w:rPr>
              <w:t>Zgodnie z art. 62 ust 3 projektu ustawy Program otwierania danych przyjęty w drodze uchwały Rady Ministrów na podstawie art. 9e ustawy o dostępie do informacje publicznej stanie się z dniem wejścia w życie projektowanej ustawy Programem, o którym mowa w art. 31 ust. 1 projektu.</w:t>
            </w:r>
          </w:p>
          <w:p w14:paraId="00002EC2" w14:textId="32369568" w:rsidR="00D96418" w:rsidRPr="00BB0E53" w:rsidRDefault="00D96418" w:rsidP="00BB0E53">
            <w:pPr>
              <w:jc w:val="both"/>
              <w:rPr>
                <w:sz w:val="22"/>
                <w:szCs w:val="22"/>
              </w:rPr>
            </w:pPr>
            <w:r w:rsidRPr="00BB0E53">
              <w:rPr>
                <w:sz w:val="22"/>
                <w:szCs w:val="22"/>
              </w:rPr>
              <w:t>Powyższy Program jest obecnie na etapie rozpatrywania przez SKRM.</w:t>
            </w:r>
          </w:p>
        </w:tc>
      </w:tr>
      <w:tr w:rsidR="00940D7B" w:rsidRPr="00BB0E53" w14:paraId="24D8CC5E" w14:textId="77777777" w:rsidTr="001C649B">
        <w:trPr>
          <w:jc w:val="center"/>
        </w:trPr>
        <w:tc>
          <w:tcPr>
            <w:tcW w:w="568" w:type="dxa"/>
            <w:shd w:val="clear" w:color="auto" w:fill="auto"/>
            <w:vAlign w:val="center"/>
          </w:tcPr>
          <w:p w14:paraId="250AA9FB" w14:textId="77777777" w:rsidR="00E007F3" w:rsidRPr="00BB0E53" w:rsidRDefault="00E007F3" w:rsidP="00BB0E53">
            <w:pPr>
              <w:numPr>
                <w:ilvl w:val="0"/>
                <w:numId w:val="3"/>
              </w:numPr>
              <w:jc w:val="center"/>
              <w:rPr>
                <w:sz w:val="22"/>
                <w:szCs w:val="22"/>
              </w:rPr>
            </w:pPr>
          </w:p>
        </w:tc>
        <w:tc>
          <w:tcPr>
            <w:tcW w:w="1227" w:type="dxa"/>
            <w:shd w:val="clear" w:color="auto" w:fill="auto"/>
            <w:vAlign w:val="center"/>
          </w:tcPr>
          <w:p w14:paraId="2527BF8D" w14:textId="0680973F" w:rsidR="00E007F3" w:rsidRPr="00BB0E53" w:rsidRDefault="00E007F3" w:rsidP="00BB0E53">
            <w:pPr>
              <w:jc w:val="center"/>
              <w:rPr>
                <w:sz w:val="22"/>
                <w:szCs w:val="22"/>
              </w:rPr>
            </w:pPr>
            <w:r w:rsidRPr="00BB0E53">
              <w:rPr>
                <w:sz w:val="22"/>
                <w:szCs w:val="22"/>
              </w:rPr>
              <w:t>MRiRW</w:t>
            </w:r>
          </w:p>
        </w:tc>
        <w:tc>
          <w:tcPr>
            <w:tcW w:w="1475" w:type="dxa"/>
            <w:shd w:val="clear" w:color="auto" w:fill="auto"/>
            <w:vAlign w:val="center"/>
          </w:tcPr>
          <w:p w14:paraId="00EC5500" w14:textId="1C59C9B1" w:rsidR="00E007F3" w:rsidRPr="00BB0E53" w:rsidRDefault="00E007F3" w:rsidP="00BB0E53">
            <w:pPr>
              <w:jc w:val="center"/>
              <w:rPr>
                <w:sz w:val="22"/>
                <w:szCs w:val="22"/>
              </w:rPr>
            </w:pPr>
            <w:r w:rsidRPr="00BB0E53">
              <w:rPr>
                <w:sz w:val="22"/>
                <w:szCs w:val="22"/>
              </w:rPr>
              <w:t>Art. 38 ust. 5</w:t>
            </w:r>
          </w:p>
        </w:tc>
        <w:tc>
          <w:tcPr>
            <w:tcW w:w="3777" w:type="dxa"/>
            <w:shd w:val="clear" w:color="auto" w:fill="auto"/>
          </w:tcPr>
          <w:p w14:paraId="169AA400" w14:textId="77777777" w:rsidR="00E007F3" w:rsidRPr="00BB0E53" w:rsidRDefault="00E007F3" w:rsidP="00BB0E53">
            <w:pPr>
              <w:jc w:val="both"/>
              <w:rPr>
                <w:sz w:val="22"/>
                <w:szCs w:val="22"/>
              </w:rPr>
            </w:pPr>
            <w:r w:rsidRPr="00BB0E53">
              <w:rPr>
                <w:sz w:val="22"/>
                <w:szCs w:val="22"/>
              </w:rPr>
              <w:t>Do podmiotów, informacji sektora publicznego oraz metadanych określonych w ust. 1 lub danych prywatnych określonych w ust. 2 stosuje się przepisy wydane na podstawie art. 37 ust. 6 oraz</w:t>
            </w:r>
            <w:r w:rsidRPr="00BB0E53">
              <w:rPr>
                <w:sz w:val="22"/>
                <w:szCs w:val="22"/>
                <w:u w:val="single"/>
              </w:rPr>
              <w:t>, o ile jest to możliwe, oraz</w:t>
            </w:r>
            <w:r w:rsidRPr="00BB0E53">
              <w:rPr>
                <w:sz w:val="22"/>
                <w:szCs w:val="22"/>
              </w:rPr>
              <w:t xml:space="preserve"> przepisy art. 35 ust. 4 i 5.</w:t>
            </w:r>
          </w:p>
          <w:p w14:paraId="45924ED2" w14:textId="77777777" w:rsidR="00E007F3" w:rsidRPr="00BB0E53" w:rsidRDefault="00E007F3" w:rsidP="00BB0E53">
            <w:pPr>
              <w:jc w:val="both"/>
              <w:rPr>
                <w:sz w:val="22"/>
                <w:szCs w:val="22"/>
              </w:rPr>
            </w:pPr>
          </w:p>
          <w:p w14:paraId="05858D23" w14:textId="18E69852" w:rsidR="00E007F3" w:rsidRPr="00BB0E53" w:rsidRDefault="00E007F3" w:rsidP="00BB0E53">
            <w:pPr>
              <w:jc w:val="both"/>
              <w:rPr>
                <w:sz w:val="22"/>
                <w:szCs w:val="22"/>
              </w:rPr>
            </w:pPr>
            <w:r w:rsidRPr="00BB0E53">
              <w:rPr>
                <w:b/>
                <w:sz w:val="22"/>
                <w:szCs w:val="22"/>
              </w:rPr>
              <w:t>czy ten fragment dotyczy art. 37 czy art. 35?</w:t>
            </w:r>
          </w:p>
        </w:tc>
        <w:tc>
          <w:tcPr>
            <w:tcW w:w="3467" w:type="dxa"/>
            <w:shd w:val="clear" w:color="auto" w:fill="auto"/>
          </w:tcPr>
          <w:p w14:paraId="6F842AAA" w14:textId="6D553175" w:rsidR="00E007F3" w:rsidRPr="00BB0E53" w:rsidRDefault="00E007F3" w:rsidP="00BB0E53">
            <w:pPr>
              <w:jc w:val="both"/>
              <w:rPr>
                <w:sz w:val="22"/>
                <w:szCs w:val="22"/>
              </w:rPr>
            </w:pPr>
            <w:r w:rsidRPr="00BB0E53">
              <w:rPr>
                <w:sz w:val="22"/>
                <w:szCs w:val="22"/>
              </w:rPr>
              <w:t>Dodać słowo „oraz”</w:t>
            </w:r>
          </w:p>
        </w:tc>
        <w:tc>
          <w:tcPr>
            <w:tcW w:w="3478" w:type="dxa"/>
          </w:tcPr>
          <w:p w14:paraId="1E10EECE" w14:textId="69565494" w:rsidR="002C6213" w:rsidRPr="00BB0E53" w:rsidRDefault="002C6213" w:rsidP="00BB0E53">
            <w:pPr>
              <w:jc w:val="both"/>
              <w:rPr>
                <w:b/>
                <w:sz w:val="22"/>
                <w:szCs w:val="22"/>
              </w:rPr>
            </w:pPr>
            <w:r w:rsidRPr="00BB0E53">
              <w:rPr>
                <w:b/>
                <w:sz w:val="22"/>
                <w:szCs w:val="22"/>
              </w:rPr>
              <w:t xml:space="preserve">Uwaga nieuwzględniona </w:t>
            </w:r>
          </w:p>
          <w:p w14:paraId="1AA21778" w14:textId="13943F42" w:rsidR="00E007F3" w:rsidRPr="00BB0E53" w:rsidRDefault="00E007F3" w:rsidP="00BB0E53">
            <w:pPr>
              <w:jc w:val="both"/>
              <w:rPr>
                <w:sz w:val="22"/>
                <w:szCs w:val="22"/>
              </w:rPr>
            </w:pPr>
            <w:r w:rsidRPr="00BB0E53">
              <w:rPr>
                <w:sz w:val="22"/>
                <w:szCs w:val="22"/>
              </w:rPr>
              <w:t>Uwaga wniesiona po terminie</w:t>
            </w:r>
            <w:r w:rsidR="00D135A2" w:rsidRPr="00BB0E53">
              <w:rPr>
                <w:sz w:val="22"/>
                <w:szCs w:val="22"/>
              </w:rPr>
              <w:t>.</w:t>
            </w:r>
          </w:p>
          <w:p w14:paraId="3C8038CA" w14:textId="77777777" w:rsidR="00D96418" w:rsidRPr="00BB0E53" w:rsidRDefault="00D96418" w:rsidP="00BB0E53">
            <w:pPr>
              <w:jc w:val="both"/>
              <w:rPr>
                <w:sz w:val="22"/>
                <w:szCs w:val="22"/>
              </w:rPr>
            </w:pPr>
            <w:r w:rsidRPr="00BB0E53">
              <w:rPr>
                <w:sz w:val="22"/>
                <w:szCs w:val="22"/>
              </w:rPr>
              <w:t>Podkreślona w treści uwagi cześć zdania „o ile jest to możliwe” dotyczy przepisów art. 35 ust. 4 i 5.</w:t>
            </w:r>
          </w:p>
          <w:p w14:paraId="3C65B4E0" w14:textId="5171DADD" w:rsidR="00D96418" w:rsidRPr="00BB0E53" w:rsidRDefault="00D96418" w:rsidP="00BB0E53">
            <w:pPr>
              <w:jc w:val="both"/>
              <w:rPr>
                <w:sz w:val="22"/>
                <w:szCs w:val="22"/>
              </w:rPr>
            </w:pPr>
            <w:r w:rsidRPr="00BB0E53">
              <w:rPr>
                <w:sz w:val="22"/>
                <w:szCs w:val="22"/>
              </w:rPr>
              <w:t xml:space="preserve">W treści uwagi MRiRW,  powołującej się na brzmienie art. 38. 5. znajduje się nadmiarowe słowo „oraz”,  które jest </w:t>
            </w:r>
            <w:r w:rsidR="00D475B9" w:rsidRPr="00BB0E53">
              <w:rPr>
                <w:sz w:val="22"/>
                <w:szCs w:val="22"/>
              </w:rPr>
              <w:t>rozbieżne z </w:t>
            </w:r>
            <w:r w:rsidRPr="00BB0E53">
              <w:rPr>
                <w:sz w:val="22"/>
                <w:szCs w:val="22"/>
              </w:rPr>
              <w:t>brzmieniem art. 38 ust. 5 projektu ustawy przekazanej pod obrady KRMC.</w:t>
            </w:r>
          </w:p>
        </w:tc>
      </w:tr>
      <w:tr w:rsidR="00940D7B" w:rsidRPr="00BB0E53" w14:paraId="16EE5CDA" w14:textId="77777777" w:rsidTr="001C649B">
        <w:trPr>
          <w:jc w:val="center"/>
        </w:trPr>
        <w:tc>
          <w:tcPr>
            <w:tcW w:w="568" w:type="dxa"/>
            <w:shd w:val="clear" w:color="auto" w:fill="auto"/>
            <w:vAlign w:val="center"/>
          </w:tcPr>
          <w:p w14:paraId="0DD77AD8" w14:textId="77777777" w:rsidR="00E007F3" w:rsidRPr="00BB0E53" w:rsidRDefault="00E007F3" w:rsidP="00BB0E53">
            <w:pPr>
              <w:numPr>
                <w:ilvl w:val="0"/>
                <w:numId w:val="3"/>
              </w:numPr>
              <w:jc w:val="center"/>
              <w:rPr>
                <w:sz w:val="22"/>
                <w:szCs w:val="22"/>
              </w:rPr>
            </w:pPr>
          </w:p>
        </w:tc>
        <w:tc>
          <w:tcPr>
            <w:tcW w:w="1227" w:type="dxa"/>
            <w:shd w:val="clear" w:color="auto" w:fill="auto"/>
            <w:vAlign w:val="center"/>
          </w:tcPr>
          <w:p w14:paraId="1E9061B3" w14:textId="26BC0E73" w:rsidR="00E007F3" w:rsidRPr="00BB0E53" w:rsidRDefault="00E007F3" w:rsidP="00BB0E53">
            <w:pPr>
              <w:jc w:val="center"/>
              <w:rPr>
                <w:sz w:val="22"/>
                <w:szCs w:val="22"/>
                <w:highlight w:val="cyan"/>
              </w:rPr>
            </w:pPr>
            <w:r w:rsidRPr="00BB0E53">
              <w:rPr>
                <w:sz w:val="22"/>
                <w:szCs w:val="22"/>
              </w:rPr>
              <w:t>MRiRW</w:t>
            </w:r>
          </w:p>
        </w:tc>
        <w:tc>
          <w:tcPr>
            <w:tcW w:w="1475" w:type="dxa"/>
            <w:shd w:val="clear" w:color="auto" w:fill="auto"/>
            <w:vAlign w:val="center"/>
          </w:tcPr>
          <w:p w14:paraId="2400D078" w14:textId="42BB3C82" w:rsidR="00E007F3" w:rsidRPr="00BB0E53" w:rsidRDefault="00E007F3" w:rsidP="00BB0E53">
            <w:pPr>
              <w:jc w:val="center"/>
              <w:rPr>
                <w:sz w:val="22"/>
                <w:szCs w:val="22"/>
                <w:highlight w:val="cyan"/>
              </w:rPr>
            </w:pPr>
            <w:r w:rsidRPr="00BB0E53">
              <w:rPr>
                <w:sz w:val="22"/>
                <w:szCs w:val="22"/>
              </w:rPr>
              <w:t>Art. 42 ust. 1</w:t>
            </w:r>
          </w:p>
        </w:tc>
        <w:tc>
          <w:tcPr>
            <w:tcW w:w="3777" w:type="dxa"/>
            <w:shd w:val="clear" w:color="auto" w:fill="auto"/>
          </w:tcPr>
          <w:p w14:paraId="7712C21F" w14:textId="77777777" w:rsidR="00E007F3" w:rsidRPr="00BB0E53" w:rsidRDefault="00E007F3" w:rsidP="00BB0E53">
            <w:pPr>
              <w:jc w:val="both"/>
              <w:rPr>
                <w:sz w:val="22"/>
                <w:szCs w:val="22"/>
              </w:rPr>
            </w:pPr>
            <w:r w:rsidRPr="00BB0E53">
              <w:rPr>
                <w:sz w:val="22"/>
                <w:szCs w:val="22"/>
                <w:u w:val="single"/>
              </w:rPr>
              <w:t>Wniosek o ponowne wykorzystywanie</w:t>
            </w:r>
            <w:r w:rsidRPr="00BB0E53">
              <w:rPr>
                <w:sz w:val="22"/>
                <w:szCs w:val="22"/>
              </w:rPr>
              <w:t>, zwany dalej „wnioskiem”, wnosi się w przypadkach, gdy informacja sektora publicznego:</w:t>
            </w:r>
          </w:p>
          <w:p w14:paraId="4E4A4729" w14:textId="23982E60" w:rsidR="00E007F3" w:rsidRPr="00BB0E53" w:rsidRDefault="00E007F3" w:rsidP="00BB0E53">
            <w:pPr>
              <w:jc w:val="both"/>
              <w:rPr>
                <w:sz w:val="22"/>
                <w:szCs w:val="22"/>
                <w:highlight w:val="cyan"/>
              </w:rPr>
            </w:pPr>
            <w:r w:rsidRPr="00BB0E53">
              <w:rPr>
                <w:b/>
                <w:sz w:val="22"/>
                <w:szCs w:val="22"/>
              </w:rPr>
              <w:lastRenderedPageBreak/>
              <w:t>Nie określono do kogo wnosi się wniosek</w:t>
            </w:r>
          </w:p>
        </w:tc>
        <w:tc>
          <w:tcPr>
            <w:tcW w:w="3467" w:type="dxa"/>
            <w:shd w:val="clear" w:color="auto" w:fill="auto"/>
          </w:tcPr>
          <w:p w14:paraId="1298D93F" w14:textId="77777777" w:rsidR="00E007F3" w:rsidRPr="00BB0E53" w:rsidRDefault="00E007F3" w:rsidP="00BB0E53">
            <w:pPr>
              <w:jc w:val="both"/>
              <w:rPr>
                <w:sz w:val="22"/>
                <w:szCs w:val="22"/>
                <w:highlight w:val="cyan"/>
              </w:rPr>
            </w:pPr>
          </w:p>
        </w:tc>
        <w:tc>
          <w:tcPr>
            <w:tcW w:w="3478" w:type="dxa"/>
          </w:tcPr>
          <w:p w14:paraId="54D7D771" w14:textId="77777777" w:rsidR="00E007F3" w:rsidRPr="00BB0E53" w:rsidRDefault="00E007F3" w:rsidP="00BB0E53">
            <w:pPr>
              <w:jc w:val="both"/>
              <w:rPr>
                <w:b/>
                <w:sz w:val="22"/>
                <w:szCs w:val="22"/>
              </w:rPr>
            </w:pPr>
            <w:r w:rsidRPr="00BB0E53">
              <w:rPr>
                <w:b/>
                <w:sz w:val="22"/>
                <w:szCs w:val="22"/>
              </w:rPr>
              <w:t xml:space="preserve">Uwaga uwzględniona </w:t>
            </w:r>
          </w:p>
          <w:p w14:paraId="7770E576" w14:textId="394B8BB0" w:rsidR="00E007F3" w:rsidRPr="00BB0E53" w:rsidRDefault="00E007F3" w:rsidP="00BB0E53">
            <w:pPr>
              <w:jc w:val="both"/>
              <w:rPr>
                <w:sz w:val="22"/>
                <w:szCs w:val="22"/>
              </w:rPr>
            </w:pPr>
            <w:r w:rsidRPr="00BB0E53">
              <w:rPr>
                <w:sz w:val="22"/>
                <w:szCs w:val="22"/>
              </w:rPr>
              <w:t>Uwaga wniesiona po terminie</w:t>
            </w:r>
            <w:r w:rsidR="00D135A2" w:rsidRPr="00BB0E53">
              <w:rPr>
                <w:sz w:val="22"/>
                <w:szCs w:val="22"/>
              </w:rPr>
              <w:t>.</w:t>
            </w:r>
          </w:p>
          <w:p w14:paraId="0CD30834" w14:textId="411FD0C9" w:rsidR="00E007F3" w:rsidRPr="00BB0E53" w:rsidRDefault="00E007F3" w:rsidP="00BB0E53">
            <w:pPr>
              <w:jc w:val="both"/>
              <w:rPr>
                <w:sz w:val="22"/>
                <w:szCs w:val="22"/>
              </w:rPr>
            </w:pPr>
            <w:r w:rsidRPr="00BB0E53">
              <w:rPr>
                <w:sz w:val="22"/>
                <w:szCs w:val="22"/>
              </w:rPr>
              <w:t>Przepis zostanie zmieniony.</w:t>
            </w:r>
          </w:p>
        </w:tc>
      </w:tr>
    </w:tbl>
    <w:p w14:paraId="4D6886EA" w14:textId="6DB28CFA" w:rsidR="00C64B1B" w:rsidRPr="00BB0E53" w:rsidRDefault="00C64B1B" w:rsidP="00BB0E53">
      <w:pPr>
        <w:rPr>
          <w:sz w:val="22"/>
          <w:szCs w:val="22"/>
        </w:rPr>
      </w:pPr>
    </w:p>
    <w:sectPr w:rsidR="00C64B1B" w:rsidRPr="00BB0E53" w:rsidSect="00630397">
      <w:footerReference w:type="default" r:id="rId8"/>
      <w:pgSz w:w="16838" w:h="11906" w:orient="landscape"/>
      <w:pgMar w:top="1276"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3662F8" w14:textId="77777777" w:rsidR="00C63DB5" w:rsidRDefault="00C63DB5" w:rsidP="006F2464">
      <w:r>
        <w:separator/>
      </w:r>
    </w:p>
  </w:endnote>
  <w:endnote w:type="continuationSeparator" w:id="0">
    <w:p w14:paraId="15C5877E" w14:textId="77777777" w:rsidR="00C63DB5" w:rsidRDefault="00C63DB5" w:rsidP="006F2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9DFCB" w14:textId="77777777" w:rsidR="0039041A" w:rsidRDefault="0039041A">
    <w:pPr>
      <w:pStyle w:val="Stopka"/>
      <w:jc w:val="right"/>
    </w:pPr>
    <w:r>
      <w:fldChar w:fldCharType="begin"/>
    </w:r>
    <w:r>
      <w:instrText xml:space="preserve"> PAGE   \* MERGEFORMAT </w:instrText>
    </w:r>
    <w:r>
      <w:fldChar w:fldCharType="separate"/>
    </w:r>
    <w:r w:rsidR="00BB0E53">
      <w:rPr>
        <w:noProof/>
      </w:rPr>
      <w:t>32</w:t>
    </w:r>
    <w:r>
      <w:rPr>
        <w:noProof/>
      </w:rPr>
      <w:fldChar w:fldCharType="end"/>
    </w:r>
  </w:p>
  <w:p w14:paraId="78BB0F69" w14:textId="77777777" w:rsidR="0039041A" w:rsidRDefault="0039041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D622D" w14:textId="77777777" w:rsidR="00C63DB5" w:rsidRDefault="00C63DB5" w:rsidP="006F2464">
      <w:r>
        <w:separator/>
      </w:r>
    </w:p>
  </w:footnote>
  <w:footnote w:type="continuationSeparator" w:id="0">
    <w:p w14:paraId="51432E55" w14:textId="77777777" w:rsidR="00C63DB5" w:rsidRDefault="00C63DB5" w:rsidP="006F2464">
      <w:r>
        <w:continuationSeparator/>
      </w:r>
    </w:p>
  </w:footnote>
  <w:footnote w:id="1">
    <w:p w14:paraId="3D5F303D" w14:textId="77777777" w:rsidR="0039041A" w:rsidRDefault="0039041A" w:rsidP="003F5AD4">
      <w:pPr>
        <w:pStyle w:val="Tekstprzypisudolnego"/>
      </w:pPr>
      <w:r>
        <w:rPr>
          <w:rStyle w:val="Odwoanieprzypisudolnego"/>
        </w:rPr>
        <w:footnoteRef/>
      </w:r>
      <w:r>
        <w:t xml:space="preserve"> </w:t>
      </w:r>
      <w:hyperlink r:id="rId1" w:history="1">
        <w:r w:rsidRPr="00876FC4">
          <w:rPr>
            <w:rStyle w:val="Hipercze"/>
          </w:rPr>
          <w:t>https://dane.gov.pl/pl/knowledgebase/useful-materials/standardy-otwartosci-danych</w:t>
        </w:r>
      </w:hyperlink>
      <w:r>
        <w:t xml:space="preserve"> </w:t>
      </w:r>
    </w:p>
  </w:footnote>
  <w:footnote w:id="2">
    <w:p w14:paraId="63AF6A0F" w14:textId="0917D3D9" w:rsidR="00013B26" w:rsidRDefault="00013B26">
      <w:pPr>
        <w:pStyle w:val="Tekstprzypisudolnego"/>
      </w:pPr>
      <w:r>
        <w:rPr>
          <w:rStyle w:val="Odwoanieprzypisudolnego"/>
        </w:rPr>
        <w:footnoteRef/>
      </w:r>
      <w:r>
        <w:t xml:space="preserve"> </w:t>
      </w:r>
      <w:hyperlink r:id="rId2" w:history="1">
        <w:r w:rsidRPr="002457A5">
          <w:rPr>
            <w:rStyle w:val="Hipercze"/>
          </w:rPr>
          <w:t>https://dane.gov.pl/pl/article/article-1240,standardy-otwartosci-danych-raport-z-konsultacji-publicznych</w:t>
        </w:r>
      </w:hyperlink>
      <w:r>
        <w:t xml:space="preserve"> </w:t>
      </w:r>
    </w:p>
  </w:footnote>
  <w:footnote w:id="3">
    <w:p w14:paraId="5A12836B" w14:textId="77777777" w:rsidR="003630B5" w:rsidRDefault="003630B5" w:rsidP="003630B5">
      <w:pPr>
        <w:pStyle w:val="Tekstprzypisudolnego"/>
        <w:jc w:val="both"/>
      </w:pPr>
      <w:r>
        <w:rPr>
          <w:rStyle w:val="Odwoanieprzypisudolnego"/>
        </w:rPr>
        <w:footnoteRef/>
      </w:r>
      <w:r>
        <w:t xml:space="preserve"> </w:t>
      </w:r>
      <w:r w:rsidRPr="003630B5">
        <w:t xml:space="preserve">Rozporządzenie Parlamentu Europejskiego i Rady (UE) 2016/679 z dnia 27 kwietnia 2016 r. w sprawie ochrony osób fizycznych w związku z przetwarzaniem danych </w:t>
      </w:r>
      <w:r>
        <w:t xml:space="preserve"> </w:t>
      </w:r>
    </w:p>
    <w:p w14:paraId="189A3E2A" w14:textId="77777777" w:rsidR="003630B5" w:rsidRDefault="003630B5" w:rsidP="003630B5">
      <w:pPr>
        <w:pStyle w:val="Tekstprzypisudolnego"/>
        <w:jc w:val="both"/>
      </w:pPr>
      <w:r>
        <w:t xml:space="preserve">  </w:t>
      </w:r>
      <w:r w:rsidRPr="003630B5">
        <w:t xml:space="preserve">osobowych i w sprawie swobodnego przepływu takich danych oraz uchylenia dyrektywy 95/46/WE (ogólne rozporządzenie o ochronie danych) </w:t>
      </w:r>
      <w:r>
        <w:t xml:space="preserve">(Dz. Urz. UE L 119 </w:t>
      </w:r>
    </w:p>
    <w:p w14:paraId="68CB867D" w14:textId="398F24D6" w:rsidR="003630B5" w:rsidRDefault="003630B5" w:rsidP="003630B5">
      <w:pPr>
        <w:pStyle w:val="Tekstprzypisudolnego"/>
        <w:jc w:val="both"/>
      </w:pPr>
      <w:r>
        <w:t xml:space="preserve">  z 04.05.2016, str. 1, z </w:t>
      </w:r>
      <w:proofErr w:type="spellStart"/>
      <w:r>
        <w:t>późn</w:t>
      </w:r>
      <w:proofErr w:type="spellEnd"/>
      <w:r>
        <w:t>. zm.</w:t>
      </w:r>
    </w:p>
  </w:footnote>
  <w:footnote w:id="4">
    <w:p w14:paraId="2C4B5987" w14:textId="613EE269" w:rsidR="00690741" w:rsidRDefault="00690741" w:rsidP="00690741">
      <w:pPr>
        <w:pStyle w:val="Tekstprzypisudolnego"/>
      </w:pPr>
      <w:r>
        <w:rPr>
          <w:rStyle w:val="Odwoanieprzypisudolnego"/>
        </w:rPr>
        <w:footnoteRef/>
      </w:r>
      <w:r>
        <w:t xml:space="preserve"> Ustawa o statystyce publicznej z dnia 29 czerwca 1995 r. (Dz. U. z 2020 r. poz. 443, z </w:t>
      </w:r>
      <w:proofErr w:type="spellStart"/>
      <w:r>
        <w:t>późn</w:t>
      </w:r>
      <w:proofErr w:type="spellEnd"/>
      <w:r>
        <w:t>. zm.)</w:t>
      </w:r>
    </w:p>
  </w:footnote>
  <w:footnote w:id="5">
    <w:p w14:paraId="559A2C9E" w14:textId="77777777" w:rsidR="0039041A" w:rsidRDefault="0039041A" w:rsidP="000378F1">
      <w:pPr>
        <w:pStyle w:val="Tekstprzypisudolnego"/>
      </w:pPr>
      <w:r>
        <w:rPr>
          <w:rStyle w:val="Odwoanieprzypisudolnego"/>
        </w:rPr>
        <w:footnoteRef/>
      </w:r>
      <w:r>
        <w:t xml:space="preserve"> </w:t>
      </w:r>
      <w:hyperlink r:id="rId3" w:history="1">
        <w:r w:rsidRPr="00273293">
          <w:rPr>
            <w:rStyle w:val="Hipercze"/>
          </w:rPr>
          <w:t>https://dane.gov.pl/pl/knowledgebase/useful-materials/standardy-otwartosci-danych</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528A4"/>
    <w:multiLevelType w:val="hybridMultilevel"/>
    <w:tmpl w:val="C2EA2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0D0DAA"/>
    <w:multiLevelType w:val="hybridMultilevel"/>
    <w:tmpl w:val="A63AA364"/>
    <w:lvl w:ilvl="0" w:tplc="D3FC2A4C">
      <w:start w:val="1"/>
      <w:numFmt w:val="decimal"/>
      <w:lvlText w:val="%1)"/>
      <w:lvlJc w:val="left"/>
      <w:pPr>
        <w:ind w:left="360" w:hanging="360"/>
      </w:pPr>
      <w:rPr>
        <w:rFonts w:hint="default"/>
      </w:rPr>
    </w:lvl>
    <w:lvl w:ilvl="1" w:tplc="95905038">
      <w:start w:val="1"/>
      <w:numFmt w:val="lowerLetter"/>
      <w:lvlText w:val="%2)"/>
      <w:lvlJc w:val="left"/>
      <w:pPr>
        <w:ind w:left="2066" w:hanging="1346"/>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A547810"/>
    <w:multiLevelType w:val="hybridMultilevel"/>
    <w:tmpl w:val="A83A39A8"/>
    <w:lvl w:ilvl="0" w:tplc="17FEB2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B419A1"/>
    <w:multiLevelType w:val="hybridMultilevel"/>
    <w:tmpl w:val="BE0C702C"/>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73193D"/>
    <w:multiLevelType w:val="hybridMultilevel"/>
    <w:tmpl w:val="CAD4BCB4"/>
    <w:lvl w:ilvl="0" w:tplc="63EE065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0135CF"/>
    <w:multiLevelType w:val="hybridMultilevel"/>
    <w:tmpl w:val="A69AEACE"/>
    <w:lvl w:ilvl="0" w:tplc="C5C219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DB1C3A"/>
    <w:multiLevelType w:val="hybridMultilevel"/>
    <w:tmpl w:val="019E69EA"/>
    <w:lvl w:ilvl="0" w:tplc="6D0CEA9E">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1C62BD"/>
    <w:multiLevelType w:val="hybridMultilevel"/>
    <w:tmpl w:val="8F902708"/>
    <w:lvl w:ilvl="0" w:tplc="C1C65A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813536"/>
    <w:multiLevelType w:val="hybridMultilevel"/>
    <w:tmpl w:val="ACF0FC84"/>
    <w:lvl w:ilvl="0" w:tplc="0BE6F98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A2632F"/>
    <w:multiLevelType w:val="hybridMultilevel"/>
    <w:tmpl w:val="BA2808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0A565D"/>
    <w:multiLevelType w:val="hybridMultilevel"/>
    <w:tmpl w:val="C5640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207DB2"/>
    <w:multiLevelType w:val="hybridMultilevel"/>
    <w:tmpl w:val="D1FA1398"/>
    <w:lvl w:ilvl="0" w:tplc="3F7852E0">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CD51A9"/>
    <w:multiLevelType w:val="hybridMultilevel"/>
    <w:tmpl w:val="E90AA3FC"/>
    <w:lvl w:ilvl="0" w:tplc="9B28EF2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BC2431"/>
    <w:multiLevelType w:val="hybridMultilevel"/>
    <w:tmpl w:val="383A77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EE3EDD"/>
    <w:multiLevelType w:val="hybridMultilevel"/>
    <w:tmpl w:val="01961216"/>
    <w:lvl w:ilvl="0" w:tplc="2C86982C">
      <w:start w:val="1"/>
      <w:numFmt w:val="decimal"/>
      <w:lvlText w:val="%1."/>
      <w:lvlJc w:val="left"/>
      <w:pPr>
        <w:ind w:left="72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F32118"/>
    <w:multiLevelType w:val="hybridMultilevel"/>
    <w:tmpl w:val="90A0B276"/>
    <w:lvl w:ilvl="0" w:tplc="AECEA31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03279A"/>
    <w:multiLevelType w:val="hybridMultilevel"/>
    <w:tmpl w:val="0F3499C0"/>
    <w:lvl w:ilvl="0" w:tplc="A62204E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CE72F1"/>
    <w:multiLevelType w:val="hybridMultilevel"/>
    <w:tmpl w:val="CF302080"/>
    <w:lvl w:ilvl="0" w:tplc="9EA818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42686A"/>
    <w:multiLevelType w:val="hybridMultilevel"/>
    <w:tmpl w:val="D47043DA"/>
    <w:lvl w:ilvl="0" w:tplc="019C3AE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C67195"/>
    <w:multiLevelType w:val="hybridMultilevel"/>
    <w:tmpl w:val="75A24DE6"/>
    <w:lvl w:ilvl="0" w:tplc="C098001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360A9D"/>
    <w:multiLevelType w:val="hybridMultilevel"/>
    <w:tmpl w:val="E90AA3FC"/>
    <w:lvl w:ilvl="0" w:tplc="9B28EF2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184D44"/>
    <w:multiLevelType w:val="hybridMultilevel"/>
    <w:tmpl w:val="3DD0C8D8"/>
    <w:lvl w:ilvl="0" w:tplc="5EB6036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295088"/>
    <w:multiLevelType w:val="hybridMultilevel"/>
    <w:tmpl w:val="A6E88D1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E9A22FE"/>
    <w:multiLevelType w:val="hybridMultilevel"/>
    <w:tmpl w:val="412248FA"/>
    <w:lvl w:ilvl="0" w:tplc="17FEB27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C5219A"/>
    <w:multiLevelType w:val="hybridMultilevel"/>
    <w:tmpl w:val="E1C8673C"/>
    <w:lvl w:ilvl="0" w:tplc="3F7852E0">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E544C6"/>
    <w:multiLevelType w:val="hybridMultilevel"/>
    <w:tmpl w:val="53F201B8"/>
    <w:lvl w:ilvl="0" w:tplc="3F7852E0">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2C2DB6"/>
    <w:multiLevelType w:val="hybridMultilevel"/>
    <w:tmpl w:val="DBAABE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4746D9"/>
    <w:multiLevelType w:val="hybridMultilevel"/>
    <w:tmpl w:val="89342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8E63F0"/>
    <w:multiLevelType w:val="hybridMultilevel"/>
    <w:tmpl w:val="75A24DE6"/>
    <w:lvl w:ilvl="0" w:tplc="C098001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5776A5"/>
    <w:multiLevelType w:val="hybridMultilevel"/>
    <w:tmpl w:val="AF2A874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8106B08"/>
    <w:multiLevelType w:val="hybridMultilevel"/>
    <w:tmpl w:val="8946AA86"/>
    <w:lvl w:ilvl="0" w:tplc="34762166">
      <w:start w:val="1"/>
      <w:numFmt w:val="decimal"/>
      <w:lvlText w:val="%1"/>
      <w:lvlJc w:val="right"/>
      <w:pPr>
        <w:ind w:left="720" w:hanging="5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B37915"/>
    <w:multiLevelType w:val="hybridMultilevel"/>
    <w:tmpl w:val="38F80B14"/>
    <w:lvl w:ilvl="0" w:tplc="AF2A56E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6B6EF6"/>
    <w:multiLevelType w:val="hybridMultilevel"/>
    <w:tmpl w:val="1FB60118"/>
    <w:lvl w:ilvl="0" w:tplc="F54CE6E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C44CD6"/>
    <w:multiLevelType w:val="hybridMultilevel"/>
    <w:tmpl w:val="4656D68A"/>
    <w:lvl w:ilvl="0" w:tplc="6380837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6863B6"/>
    <w:multiLevelType w:val="hybridMultilevel"/>
    <w:tmpl w:val="072EC44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D3736B"/>
    <w:multiLevelType w:val="hybridMultilevel"/>
    <w:tmpl w:val="072EC44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567881"/>
    <w:multiLevelType w:val="hybridMultilevel"/>
    <w:tmpl w:val="B9466CA4"/>
    <w:lvl w:ilvl="0" w:tplc="20D611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7A3951"/>
    <w:multiLevelType w:val="hybridMultilevel"/>
    <w:tmpl w:val="78969616"/>
    <w:lvl w:ilvl="0" w:tplc="A85694E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BD4AED"/>
    <w:multiLevelType w:val="hybridMultilevel"/>
    <w:tmpl w:val="5E6A9F70"/>
    <w:lvl w:ilvl="0" w:tplc="136441F6">
      <w:start w:val="3"/>
      <w:numFmt w:val="decimal"/>
      <w:lvlText w:val="%1)"/>
      <w:lvlJc w:val="left"/>
      <w:pPr>
        <w:ind w:left="3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260B80"/>
    <w:multiLevelType w:val="hybridMultilevel"/>
    <w:tmpl w:val="C5640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154A2F"/>
    <w:multiLevelType w:val="hybridMultilevel"/>
    <w:tmpl w:val="1C007320"/>
    <w:lvl w:ilvl="0" w:tplc="20D865C2">
      <w:start w:val="2"/>
      <w:numFmt w:val="decimal"/>
      <w:lvlText w:val="%1."/>
      <w:lvlJc w:val="left"/>
      <w:pPr>
        <w:ind w:left="317" w:hanging="360"/>
      </w:pPr>
      <w:rPr>
        <w:rFonts w:hint="default"/>
      </w:rPr>
    </w:lvl>
    <w:lvl w:ilvl="1" w:tplc="04150019" w:tentative="1">
      <w:start w:val="1"/>
      <w:numFmt w:val="lowerLetter"/>
      <w:lvlText w:val="%2."/>
      <w:lvlJc w:val="left"/>
      <w:pPr>
        <w:ind w:left="1037" w:hanging="360"/>
      </w:pPr>
    </w:lvl>
    <w:lvl w:ilvl="2" w:tplc="0415001B" w:tentative="1">
      <w:start w:val="1"/>
      <w:numFmt w:val="lowerRoman"/>
      <w:lvlText w:val="%3."/>
      <w:lvlJc w:val="right"/>
      <w:pPr>
        <w:ind w:left="1757" w:hanging="180"/>
      </w:pPr>
    </w:lvl>
    <w:lvl w:ilvl="3" w:tplc="0415000F" w:tentative="1">
      <w:start w:val="1"/>
      <w:numFmt w:val="decimal"/>
      <w:lvlText w:val="%4."/>
      <w:lvlJc w:val="left"/>
      <w:pPr>
        <w:ind w:left="2477" w:hanging="360"/>
      </w:pPr>
    </w:lvl>
    <w:lvl w:ilvl="4" w:tplc="04150019" w:tentative="1">
      <w:start w:val="1"/>
      <w:numFmt w:val="lowerLetter"/>
      <w:lvlText w:val="%5."/>
      <w:lvlJc w:val="left"/>
      <w:pPr>
        <w:ind w:left="3197" w:hanging="360"/>
      </w:pPr>
    </w:lvl>
    <w:lvl w:ilvl="5" w:tplc="0415001B" w:tentative="1">
      <w:start w:val="1"/>
      <w:numFmt w:val="lowerRoman"/>
      <w:lvlText w:val="%6."/>
      <w:lvlJc w:val="right"/>
      <w:pPr>
        <w:ind w:left="3917" w:hanging="180"/>
      </w:pPr>
    </w:lvl>
    <w:lvl w:ilvl="6" w:tplc="0415000F" w:tentative="1">
      <w:start w:val="1"/>
      <w:numFmt w:val="decimal"/>
      <w:lvlText w:val="%7."/>
      <w:lvlJc w:val="left"/>
      <w:pPr>
        <w:ind w:left="4637" w:hanging="360"/>
      </w:pPr>
    </w:lvl>
    <w:lvl w:ilvl="7" w:tplc="04150019" w:tentative="1">
      <w:start w:val="1"/>
      <w:numFmt w:val="lowerLetter"/>
      <w:lvlText w:val="%8."/>
      <w:lvlJc w:val="left"/>
      <w:pPr>
        <w:ind w:left="5357" w:hanging="360"/>
      </w:pPr>
    </w:lvl>
    <w:lvl w:ilvl="8" w:tplc="0415001B" w:tentative="1">
      <w:start w:val="1"/>
      <w:numFmt w:val="lowerRoman"/>
      <w:lvlText w:val="%9."/>
      <w:lvlJc w:val="right"/>
      <w:pPr>
        <w:ind w:left="6077" w:hanging="180"/>
      </w:pPr>
    </w:lvl>
  </w:abstractNum>
  <w:abstractNum w:abstractNumId="41" w15:restartNumberingAfterBreak="0">
    <w:nsid w:val="7AD16EF5"/>
    <w:multiLevelType w:val="hybridMultilevel"/>
    <w:tmpl w:val="8A9C01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0A17CD"/>
    <w:multiLevelType w:val="hybridMultilevel"/>
    <w:tmpl w:val="79A65A0A"/>
    <w:lvl w:ilvl="0" w:tplc="04150011">
      <w:start w:val="1"/>
      <w:numFmt w:val="decimal"/>
      <w:lvlText w:val="%1)"/>
      <w:lvlJc w:val="left"/>
      <w:pPr>
        <w:ind w:left="360" w:hanging="360"/>
      </w:pPr>
    </w:lvl>
    <w:lvl w:ilvl="1" w:tplc="95905038">
      <w:start w:val="1"/>
      <w:numFmt w:val="lowerLetter"/>
      <w:lvlText w:val="%2)"/>
      <w:lvlJc w:val="left"/>
      <w:pPr>
        <w:ind w:left="2066" w:hanging="1346"/>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F4376CF"/>
    <w:multiLevelType w:val="hybridMultilevel"/>
    <w:tmpl w:val="41362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CF07FE"/>
    <w:multiLevelType w:val="hybridMultilevel"/>
    <w:tmpl w:val="072EC44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9"/>
  </w:num>
  <w:num w:numId="3">
    <w:abstractNumId w:val="30"/>
  </w:num>
  <w:num w:numId="4">
    <w:abstractNumId w:val="14"/>
  </w:num>
  <w:num w:numId="5">
    <w:abstractNumId w:val="37"/>
  </w:num>
  <w:num w:numId="6">
    <w:abstractNumId w:val="40"/>
  </w:num>
  <w:num w:numId="7">
    <w:abstractNumId w:val="33"/>
  </w:num>
  <w:num w:numId="8">
    <w:abstractNumId w:val="22"/>
  </w:num>
  <w:num w:numId="9">
    <w:abstractNumId w:val="31"/>
  </w:num>
  <w:num w:numId="10">
    <w:abstractNumId w:val="29"/>
  </w:num>
  <w:num w:numId="11">
    <w:abstractNumId w:val="4"/>
  </w:num>
  <w:num w:numId="12">
    <w:abstractNumId w:val="8"/>
  </w:num>
  <w:num w:numId="13">
    <w:abstractNumId w:val="10"/>
  </w:num>
  <w:num w:numId="14">
    <w:abstractNumId w:val="13"/>
  </w:num>
  <w:num w:numId="15">
    <w:abstractNumId w:val="43"/>
  </w:num>
  <w:num w:numId="16">
    <w:abstractNumId w:val="38"/>
  </w:num>
  <w:num w:numId="17">
    <w:abstractNumId w:val="36"/>
  </w:num>
  <w:num w:numId="18">
    <w:abstractNumId w:val="5"/>
  </w:num>
  <w:num w:numId="19">
    <w:abstractNumId w:val="24"/>
  </w:num>
  <w:num w:numId="20">
    <w:abstractNumId w:val="25"/>
  </w:num>
  <w:num w:numId="21">
    <w:abstractNumId w:val="3"/>
  </w:num>
  <w:num w:numId="22">
    <w:abstractNumId w:val="0"/>
  </w:num>
  <w:num w:numId="23">
    <w:abstractNumId w:val="11"/>
  </w:num>
  <w:num w:numId="24">
    <w:abstractNumId w:val="42"/>
  </w:num>
  <w:num w:numId="25">
    <w:abstractNumId w:val="16"/>
  </w:num>
  <w:num w:numId="26">
    <w:abstractNumId w:val="34"/>
  </w:num>
  <w:num w:numId="27">
    <w:abstractNumId w:val="1"/>
  </w:num>
  <w:num w:numId="28">
    <w:abstractNumId w:val="32"/>
  </w:num>
  <w:num w:numId="29">
    <w:abstractNumId w:val="6"/>
  </w:num>
  <w:num w:numId="30">
    <w:abstractNumId w:val="12"/>
  </w:num>
  <w:num w:numId="31">
    <w:abstractNumId w:val="19"/>
  </w:num>
  <w:num w:numId="32">
    <w:abstractNumId w:val="26"/>
  </w:num>
  <w:num w:numId="33">
    <w:abstractNumId w:val="44"/>
  </w:num>
  <w:num w:numId="34">
    <w:abstractNumId w:val="20"/>
  </w:num>
  <w:num w:numId="35">
    <w:abstractNumId w:val="28"/>
  </w:num>
  <w:num w:numId="36">
    <w:abstractNumId w:val="35"/>
  </w:num>
  <w:num w:numId="37">
    <w:abstractNumId w:val="7"/>
  </w:num>
  <w:num w:numId="38">
    <w:abstractNumId w:val="23"/>
  </w:num>
  <w:num w:numId="39">
    <w:abstractNumId w:val="2"/>
  </w:num>
  <w:num w:numId="40">
    <w:abstractNumId w:val="18"/>
  </w:num>
  <w:num w:numId="41">
    <w:abstractNumId w:val="21"/>
  </w:num>
  <w:num w:numId="42">
    <w:abstractNumId w:val="39"/>
  </w:num>
  <w:num w:numId="43">
    <w:abstractNumId w:val="27"/>
  </w:num>
  <w:num w:numId="44">
    <w:abstractNumId w:val="15"/>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837"/>
    <w:rsid w:val="00013B26"/>
    <w:rsid w:val="00030C3A"/>
    <w:rsid w:val="000322D9"/>
    <w:rsid w:val="00034258"/>
    <w:rsid w:val="000378F1"/>
    <w:rsid w:val="00040423"/>
    <w:rsid w:val="000410A4"/>
    <w:rsid w:val="00045866"/>
    <w:rsid w:val="0005190A"/>
    <w:rsid w:val="0006252C"/>
    <w:rsid w:val="00071655"/>
    <w:rsid w:val="00071FAB"/>
    <w:rsid w:val="000776BA"/>
    <w:rsid w:val="00082001"/>
    <w:rsid w:val="000976C2"/>
    <w:rsid w:val="000B0BE7"/>
    <w:rsid w:val="000B1178"/>
    <w:rsid w:val="000B2EE6"/>
    <w:rsid w:val="000B6688"/>
    <w:rsid w:val="000B74E2"/>
    <w:rsid w:val="000B774C"/>
    <w:rsid w:val="000C03DE"/>
    <w:rsid w:val="000C3492"/>
    <w:rsid w:val="000C469E"/>
    <w:rsid w:val="000D4377"/>
    <w:rsid w:val="000E730C"/>
    <w:rsid w:val="000F70DC"/>
    <w:rsid w:val="00120F30"/>
    <w:rsid w:val="00130D2A"/>
    <w:rsid w:val="0013664C"/>
    <w:rsid w:val="0015485F"/>
    <w:rsid w:val="00156672"/>
    <w:rsid w:val="00166991"/>
    <w:rsid w:val="001672D4"/>
    <w:rsid w:val="00172169"/>
    <w:rsid w:val="001761C3"/>
    <w:rsid w:val="00183FC5"/>
    <w:rsid w:val="00185667"/>
    <w:rsid w:val="001A3D2E"/>
    <w:rsid w:val="001A6BC8"/>
    <w:rsid w:val="001B36E9"/>
    <w:rsid w:val="001C649B"/>
    <w:rsid w:val="001C7693"/>
    <w:rsid w:val="001D49ED"/>
    <w:rsid w:val="001F7E97"/>
    <w:rsid w:val="00204D78"/>
    <w:rsid w:val="002131BE"/>
    <w:rsid w:val="002144C2"/>
    <w:rsid w:val="00214A9B"/>
    <w:rsid w:val="0021507C"/>
    <w:rsid w:val="00223705"/>
    <w:rsid w:val="0022724A"/>
    <w:rsid w:val="002466F6"/>
    <w:rsid w:val="002467A2"/>
    <w:rsid w:val="00260DFC"/>
    <w:rsid w:val="00264BE7"/>
    <w:rsid w:val="002715B2"/>
    <w:rsid w:val="00271D7A"/>
    <w:rsid w:val="00280FB2"/>
    <w:rsid w:val="002830F3"/>
    <w:rsid w:val="002926C8"/>
    <w:rsid w:val="002968CF"/>
    <w:rsid w:val="002B4561"/>
    <w:rsid w:val="002B49A3"/>
    <w:rsid w:val="002B4D7A"/>
    <w:rsid w:val="002B759A"/>
    <w:rsid w:val="002C31D2"/>
    <w:rsid w:val="002C3C1D"/>
    <w:rsid w:val="002C3EF7"/>
    <w:rsid w:val="002C6213"/>
    <w:rsid w:val="002D1130"/>
    <w:rsid w:val="002D1A90"/>
    <w:rsid w:val="002D70FF"/>
    <w:rsid w:val="002E0D6A"/>
    <w:rsid w:val="002E2374"/>
    <w:rsid w:val="002E3D92"/>
    <w:rsid w:val="002F2358"/>
    <w:rsid w:val="002F7597"/>
    <w:rsid w:val="00307C02"/>
    <w:rsid w:val="003124D1"/>
    <w:rsid w:val="003137CC"/>
    <w:rsid w:val="00313E65"/>
    <w:rsid w:val="0033727E"/>
    <w:rsid w:val="003630B5"/>
    <w:rsid w:val="00371A2B"/>
    <w:rsid w:val="00371C2C"/>
    <w:rsid w:val="0037230E"/>
    <w:rsid w:val="00376550"/>
    <w:rsid w:val="003838E7"/>
    <w:rsid w:val="0039041A"/>
    <w:rsid w:val="0039118E"/>
    <w:rsid w:val="0039589D"/>
    <w:rsid w:val="003962EF"/>
    <w:rsid w:val="003A1D21"/>
    <w:rsid w:val="003B1724"/>
    <w:rsid w:val="003B4BA3"/>
    <w:rsid w:val="003C135E"/>
    <w:rsid w:val="003C5A07"/>
    <w:rsid w:val="003D0C75"/>
    <w:rsid w:val="003D7E47"/>
    <w:rsid w:val="003E0F7C"/>
    <w:rsid w:val="003E4667"/>
    <w:rsid w:val="003E60E7"/>
    <w:rsid w:val="003E6875"/>
    <w:rsid w:val="003F5AD4"/>
    <w:rsid w:val="00402F65"/>
    <w:rsid w:val="00404A48"/>
    <w:rsid w:val="00405E7B"/>
    <w:rsid w:val="00410840"/>
    <w:rsid w:val="00415D31"/>
    <w:rsid w:val="004212C4"/>
    <w:rsid w:val="00433092"/>
    <w:rsid w:val="00433524"/>
    <w:rsid w:val="00440EA3"/>
    <w:rsid w:val="004451BF"/>
    <w:rsid w:val="00452982"/>
    <w:rsid w:val="00462ED0"/>
    <w:rsid w:val="0047105F"/>
    <w:rsid w:val="00473C97"/>
    <w:rsid w:val="0048004E"/>
    <w:rsid w:val="00481F1D"/>
    <w:rsid w:val="004876FD"/>
    <w:rsid w:val="004908AC"/>
    <w:rsid w:val="00490CCE"/>
    <w:rsid w:val="004912AB"/>
    <w:rsid w:val="00494158"/>
    <w:rsid w:val="004B32F6"/>
    <w:rsid w:val="004B3313"/>
    <w:rsid w:val="004B38AF"/>
    <w:rsid w:val="004D086F"/>
    <w:rsid w:val="004E53B2"/>
    <w:rsid w:val="004E6AFF"/>
    <w:rsid w:val="00501751"/>
    <w:rsid w:val="00513C3C"/>
    <w:rsid w:val="00516778"/>
    <w:rsid w:val="00516BD5"/>
    <w:rsid w:val="00530649"/>
    <w:rsid w:val="005310EA"/>
    <w:rsid w:val="00536E1C"/>
    <w:rsid w:val="00540339"/>
    <w:rsid w:val="0054072C"/>
    <w:rsid w:val="0054256D"/>
    <w:rsid w:val="00556502"/>
    <w:rsid w:val="00562278"/>
    <w:rsid w:val="00564F2F"/>
    <w:rsid w:val="005652F4"/>
    <w:rsid w:val="005728C0"/>
    <w:rsid w:val="00574102"/>
    <w:rsid w:val="005765DA"/>
    <w:rsid w:val="0058010D"/>
    <w:rsid w:val="00587738"/>
    <w:rsid w:val="00594F9A"/>
    <w:rsid w:val="005967FA"/>
    <w:rsid w:val="005C053B"/>
    <w:rsid w:val="005C1A37"/>
    <w:rsid w:val="005C2DE6"/>
    <w:rsid w:val="005D7175"/>
    <w:rsid w:val="005F29BB"/>
    <w:rsid w:val="005F3F46"/>
    <w:rsid w:val="005F5CAD"/>
    <w:rsid w:val="005F6527"/>
    <w:rsid w:val="0060231A"/>
    <w:rsid w:val="006052E6"/>
    <w:rsid w:val="0060567C"/>
    <w:rsid w:val="00606BA8"/>
    <w:rsid w:val="00630397"/>
    <w:rsid w:val="00631341"/>
    <w:rsid w:val="00640011"/>
    <w:rsid w:val="00641B91"/>
    <w:rsid w:val="00651688"/>
    <w:rsid w:val="00652FFF"/>
    <w:rsid w:val="006530F5"/>
    <w:rsid w:val="00660989"/>
    <w:rsid w:val="006705EC"/>
    <w:rsid w:val="0067160B"/>
    <w:rsid w:val="006718D6"/>
    <w:rsid w:val="00681D3C"/>
    <w:rsid w:val="00685C1F"/>
    <w:rsid w:val="00690741"/>
    <w:rsid w:val="006A002E"/>
    <w:rsid w:val="006A2CB3"/>
    <w:rsid w:val="006A7837"/>
    <w:rsid w:val="006B10C9"/>
    <w:rsid w:val="006B3D88"/>
    <w:rsid w:val="006B4F96"/>
    <w:rsid w:val="006D039F"/>
    <w:rsid w:val="006E16E9"/>
    <w:rsid w:val="006F2464"/>
    <w:rsid w:val="006F322E"/>
    <w:rsid w:val="00711602"/>
    <w:rsid w:val="00720141"/>
    <w:rsid w:val="007343EB"/>
    <w:rsid w:val="00734F5C"/>
    <w:rsid w:val="00742B80"/>
    <w:rsid w:val="007435DF"/>
    <w:rsid w:val="00750EC3"/>
    <w:rsid w:val="00764098"/>
    <w:rsid w:val="007719CF"/>
    <w:rsid w:val="007817D3"/>
    <w:rsid w:val="0078685B"/>
    <w:rsid w:val="007872E9"/>
    <w:rsid w:val="00787AC8"/>
    <w:rsid w:val="007965F0"/>
    <w:rsid w:val="007B03DA"/>
    <w:rsid w:val="007B07F6"/>
    <w:rsid w:val="007B2979"/>
    <w:rsid w:val="007B5DA7"/>
    <w:rsid w:val="007C2647"/>
    <w:rsid w:val="007C4617"/>
    <w:rsid w:val="007D4B25"/>
    <w:rsid w:val="007E13CF"/>
    <w:rsid w:val="007E156A"/>
    <w:rsid w:val="007E5471"/>
    <w:rsid w:val="007F1753"/>
    <w:rsid w:val="00802B17"/>
    <w:rsid w:val="00807385"/>
    <w:rsid w:val="00813B48"/>
    <w:rsid w:val="00831EDD"/>
    <w:rsid w:val="00834518"/>
    <w:rsid w:val="00836F52"/>
    <w:rsid w:val="00845377"/>
    <w:rsid w:val="0084739D"/>
    <w:rsid w:val="0086534F"/>
    <w:rsid w:val="008736CE"/>
    <w:rsid w:val="008741F6"/>
    <w:rsid w:val="008747D8"/>
    <w:rsid w:val="00875A18"/>
    <w:rsid w:val="008839D7"/>
    <w:rsid w:val="00885551"/>
    <w:rsid w:val="00890512"/>
    <w:rsid w:val="008C1A18"/>
    <w:rsid w:val="008C1BB1"/>
    <w:rsid w:val="008C2311"/>
    <w:rsid w:val="008C247C"/>
    <w:rsid w:val="008C66FC"/>
    <w:rsid w:val="008D1ED2"/>
    <w:rsid w:val="008D312E"/>
    <w:rsid w:val="008D3FDA"/>
    <w:rsid w:val="008D40B0"/>
    <w:rsid w:val="008E354A"/>
    <w:rsid w:val="00901A88"/>
    <w:rsid w:val="00921F83"/>
    <w:rsid w:val="0092505E"/>
    <w:rsid w:val="00927359"/>
    <w:rsid w:val="00940D7B"/>
    <w:rsid w:val="00944932"/>
    <w:rsid w:val="00960ADA"/>
    <w:rsid w:val="00961A22"/>
    <w:rsid w:val="009842AA"/>
    <w:rsid w:val="0099482D"/>
    <w:rsid w:val="00995DF4"/>
    <w:rsid w:val="009978D0"/>
    <w:rsid w:val="009A4099"/>
    <w:rsid w:val="009B5E09"/>
    <w:rsid w:val="009B6B76"/>
    <w:rsid w:val="009C0EE0"/>
    <w:rsid w:val="009C6C55"/>
    <w:rsid w:val="009D4F5F"/>
    <w:rsid w:val="009D6017"/>
    <w:rsid w:val="009E2B18"/>
    <w:rsid w:val="009E7B15"/>
    <w:rsid w:val="009F16B7"/>
    <w:rsid w:val="009F20D8"/>
    <w:rsid w:val="009F3C6A"/>
    <w:rsid w:val="009F3F5C"/>
    <w:rsid w:val="009F5961"/>
    <w:rsid w:val="009F71E0"/>
    <w:rsid w:val="00A0502E"/>
    <w:rsid w:val="00A16480"/>
    <w:rsid w:val="00A16B9E"/>
    <w:rsid w:val="00A229ED"/>
    <w:rsid w:val="00A235AB"/>
    <w:rsid w:val="00A2371E"/>
    <w:rsid w:val="00A24A17"/>
    <w:rsid w:val="00A31BE8"/>
    <w:rsid w:val="00A32F1C"/>
    <w:rsid w:val="00A425C6"/>
    <w:rsid w:val="00A435C6"/>
    <w:rsid w:val="00A44AE5"/>
    <w:rsid w:val="00A649FC"/>
    <w:rsid w:val="00A72CC0"/>
    <w:rsid w:val="00A76199"/>
    <w:rsid w:val="00A9613E"/>
    <w:rsid w:val="00AA4960"/>
    <w:rsid w:val="00AC1657"/>
    <w:rsid w:val="00AC59E1"/>
    <w:rsid w:val="00AC6AD3"/>
    <w:rsid w:val="00AE0B25"/>
    <w:rsid w:val="00B046C5"/>
    <w:rsid w:val="00B05764"/>
    <w:rsid w:val="00B060BF"/>
    <w:rsid w:val="00B21847"/>
    <w:rsid w:val="00B21D48"/>
    <w:rsid w:val="00B23CD8"/>
    <w:rsid w:val="00B24ADD"/>
    <w:rsid w:val="00B25E40"/>
    <w:rsid w:val="00B323FC"/>
    <w:rsid w:val="00B37BFA"/>
    <w:rsid w:val="00B42E5C"/>
    <w:rsid w:val="00B61A92"/>
    <w:rsid w:val="00B678A7"/>
    <w:rsid w:val="00B67B92"/>
    <w:rsid w:val="00B721F3"/>
    <w:rsid w:val="00B763E7"/>
    <w:rsid w:val="00B76B29"/>
    <w:rsid w:val="00B830BB"/>
    <w:rsid w:val="00B9392C"/>
    <w:rsid w:val="00B9543D"/>
    <w:rsid w:val="00B96AFD"/>
    <w:rsid w:val="00BB0E53"/>
    <w:rsid w:val="00BB19F2"/>
    <w:rsid w:val="00BB4B1A"/>
    <w:rsid w:val="00BB5F78"/>
    <w:rsid w:val="00BC24D0"/>
    <w:rsid w:val="00BC6CDB"/>
    <w:rsid w:val="00BD783E"/>
    <w:rsid w:val="00BE08C6"/>
    <w:rsid w:val="00BE4FDB"/>
    <w:rsid w:val="00BF0A37"/>
    <w:rsid w:val="00C0679F"/>
    <w:rsid w:val="00C160D4"/>
    <w:rsid w:val="00C16D3C"/>
    <w:rsid w:val="00C25DD1"/>
    <w:rsid w:val="00C262AC"/>
    <w:rsid w:val="00C27846"/>
    <w:rsid w:val="00C32546"/>
    <w:rsid w:val="00C36353"/>
    <w:rsid w:val="00C56A74"/>
    <w:rsid w:val="00C60301"/>
    <w:rsid w:val="00C62B00"/>
    <w:rsid w:val="00C63DB5"/>
    <w:rsid w:val="00C64B1B"/>
    <w:rsid w:val="00C8275E"/>
    <w:rsid w:val="00C82EA3"/>
    <w:rsid w:val="00C84459"/>
    <w:rsid w:val="00C86AA6"/>
    <w:rsid w:val="00C86B63"/>
    <w:rsid w:val="00C90DA4"/>
    <w:rsid w:val="00C95859"/>
    <w:rsid w:val="00CA0907"/>
    <w:rsid w:val="00CA3298"/>
    <w:rsid w:val="00CB0EFC"/>
    <w:rsid w:val="00CC564C"/>
    <w:rsid w:val="00CC6FD0"/>
    <w:rsid w:val="00CD0735"/>
    <w:rsid w:val="00CD37E1"/>
    <w:rsid w:val="00CE66BD"/>
    <w:rsid w:val="00CF662D"/>
    <w:rsid w:val="00CF6B39"/>
    <w:rsid w:val="00D03C46"/>
    <w:rsid w:val="00D04E41"/>
    <w:rsid w:val="00D0525A"/>
    <w:rsid w:val="00D135A2"/>
    <w:rsid w:val="00D25506"/>
    <w:rsid w:val="00D27D6A"/>
    <w:rsid w:val="00D30685"/>
    <w:rsid w:val="00D41EEA"/>
    <w:rsid w:val="00D4527A"/>
    <w:rsid w:val="00D475B9"/>
    <w:rsid w:val="00D91858"/>
    <w:rsid w:val="00D96418"/>
    <w:rsid w:val="00DA6FCA"/>
    <w:rsid w:val="00DD5785"/>
    <w:rsid w:val="00DD695C"/>
    <w:rsid w:val="00E007F3"/>
    <w:rsid w:val="00E1281C"/>
    <w:rsid w:val="00E14C33"/>
    <w:rsid w:val="00E16809"/>
    <w:rsid w:val="00E21236"/>
    <w:rsid w:val="00E24CFC"/>
    <w:rsid w:val="00E40972"/>
    <w:rsid w:val="00E4262E"/>
    <w:rsid w:val="00E42C06"/>
    <w:rsid w:val="00E45C4C"/>
    <w:rsid w:val="00E4610F"/>
    <w:rsid w:val="00E47FFB"/>
    <w:rsid w:val="00E55663"/>
    <w:rsid w:val="00E7304F"/>
    <w:rsid w:val="00E96C59"/>
    <w:rsid w:val="00E96DCF"/>
    <w:rsid w:val="00EA3F93"/>
    <w:rsid w:val="00EA6742"/>
    <w:rsid w:val="00EB0A7B"/>
    <w:rsid w:val="00EB611F"/>
    <w:rsid w:val="00EC0111"/>
    <w:rsid w:val="00EC6588"/>
    <w:rsid w:val="00EC7151"/>
    <w:rsid w:val="00ED2679"/>
    <w:rsid w:val="00F037F5"/>
    <w:rsid w:val="00F05621"/>
    <w:rsid w:val="00F15156"/>
    <w:rsid w:val="00F22FFB"/>
    <w:rsid w:val="00F250CB"/>
    <w:rsid w:val="00F334FF"/>
    <w:rsid w:val="00F335BE"/>
    <w:rsid w:val="00F4173B"/>
    <w:rsid w:val="00F446C9"/>
    <w:rsid w:val="00F60BEC"/>
    <w:rsid w:val="00F6477E"/>
    <w:rsid w:val="00F732D5"/>
    <w:rsid w:val="00F76360"/>
    <w:rsid w:val="00F82370"/>
    <w:rsid w:val="00F8366B"/>
    <w:rsid w:val="00F87B84"/>
    <w:rsid w:val="00F93DF5"/>
    <w:rsid w:val="00FA2F13"/>
    <w:rsid w:val="00FA735B"/>
    <w:rsid w:val="00FB0052"/>
    <w:rsid w:val="00FD1760"/>
    <w:rsid w:val="00FD48B9"/>
    <w:rsid w:val="00FE23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BF5D64"/>
  <w15:docId w15:val="{73C0A9DD-71B9-4962-9A0E-28A5B18DC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3492"/>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310EA"/>
    <w:pPr>
      <w:spacing w:line="276" w:lineRule="auto"/>
      <w:ind w:left="720"/>
      <w:contextualSpacing/>
    </w:pPr>
    <w:rPr>
      <w:rFonts w:ascii="Calibri" w:eastAsia="Calibri" w:hAnsi="Calibri"/>
      <w:sz w:val="22"/>
      <w:szCs w:val="22"/>
      <w:lang w:eastAsia="en-US"/>
    </w:rPr>
  </w:style>
  <w:style w:type="paragraph" w:styleId="Tekstdymka">
    <w:name w:val="Balloon Text"/>
    <w:basedOn w:val="Normalny"/>
    <w:link w:val="TekstdymkaZnak"/>
    <w:rsid w:val="006F2464"/>
    <w:rPr>
      <w:rFonts w:ascii="Tahoma" w:hAnsi="Tahoma" w:cs="Tahoma"/>
      <w:sz w:val="16"/>
      <w:szCs w:val="16"/>
    </w:rPr>
  </w:style>
  <w:style w:type="character" w:customStyle="1" w:styleId="TekstdymkaZnak">
    <w:name w:val="Tekst dymka Znak"/>
    <w:link w:val="Tekstdymka"/>
    <w:rsid w:val="006F2464"/>
    <w:rPr>
      <w:rFonts w:ascii="Tahoma" w:hAnsi="Tahoma" w:cs="Tahoma"/>
      <w:sz w:val="16"/>
      <w:szCs w:val="16"/>
    </w:rPr>
  </w:style>
  <w:style w:type="paragraph" w:styleId="Nagwek">
    <w:name w:val="header"/>
    <w:basedOn w:val="Normalny"/>
    <w:link w:val="NagwekZnak"/>
    <w:rsid w:val="006F2464"/>
    <w:pPr>
      <w:tabs>
        <w:tab w:val="center" w:pos="4536"/>
        <w:tab w:val="right" w:pos="9072"/>
      </w:tabs>
    </w:pPr>
  </w:style>
  <w:style w:type="character" w:customStyle="1" w:styleId="NagwekZnak">
    <w:name w:val="Nagłówek Znak"/>
    <w:link w:val="Nagwek"/>
    <w:rsid w:val="006F2464"/>
    <w:rPr>
      <w:sz w:val="24"/>
      <w:szCs w:val="24"/>
    </w:rPr>
  </w:style>
  <w:style w:type="paragraph" w:styleId="Stopka">
    <w:name w:val="footer"/>
    <w:basedOn w:val="Normalny"/>
    <w:link w:val="StopkaZnak"/>
    <w:uiPriority w:val="99"/>
    <w:rsid w:val="006F2464"/>
    <w:pPr>
      <w:tabs>
        <w:tab w:val="center" w:pos="4536"/>
        <w:tab w:val="right" w:pos="9072"/>
      </w:tabs>
    </w:pPr>
  </w:style>
  <w:style w:type="character" w:customStyle="1" w:styleId="StopkaZnak">
    <w:name w:val="Stopka Znak"/>
    <w:link w:val="Stopka"/>
    <w:uiPriority w:val="99"/>
    <w:rsid w:val="006F2464"/>
    <w:rPr>
      <w:sz w:val="24"/>
      <w:szCs w:val="24"/>
    </w:rPr>
  </w:style>
  <w:style w:type="character" w:styleId="Odwoaniedokomentarza">
    <w:name w:val="annotation reference"/>
    <w:basedOn w:val="Domylnaczcionkaakapitu"/>
    <w:rsid w:val="00513C3C"/>
    <w:rPr>
      <w:sz w:val="16"/>
      <w:szCs w:val="16"/>
    </w:rPr>
  </w:style>
  <w:style w:type="paragraph" w:styleId="Tekstkomentarza">
    <w:name w:val="annotation text"/>
    <w:basedOn w:val="Normalny"/>
    <w:link w:val="TekstkomentarzaZnak"/>
    <w:uiPriority w:val="99"/>
    <w:rsid w:val="00513C3C"/>
    <w:pPr>
      <w:widowControl w:val="0"/>
      <w:autoSpaceDE w:val="0"/>
      <w:autoSpaceDN w:val="0"/>
      <w:adjustRightInd w:val="0"/>
      <w:spacing w:line="360" w:lineRule="auto"/>
    </w:pPr>
    <w:rPr>
      <w:rFonts w:ascii="Times" w:hAnsi="Times"/>
    </w:rPr>
  </w:style>
  <w:style w:type="character" w:customStyle="1" w:styleId="TekstkomentarzaZnak">
    <w:name w:val="Tekst komentarza Znak"/>
    <w:basedOn w:val="Domylnaczcionkaakapitu"/>
    <w:link w:val="Tekstkomentarza"/>
    <w:uiPriority w:val="99"/>
    <w:rsid w:val="00513C3C"/>
    <w:rPr>
      <w:rFonts w:ascii="Times" w:hAnsi="Times"/>
      <w:sz w:val="24"/>
      <w:szCs w:val="24"/>
    </w:rPr>
  </w:style>
  <w:style w:type="paragraph" w:styleId="Tekstprzypisukocowego">
    <w:name w:val="endnote text"/>
    <w:basedOn w:val="Normalny"/>
    <w:link w:val="TekstprzypisukocowegoZnak"/>
    <w:rsid w:val="004908AC"/>
    <w:rPr>
      <w:sz w:val="20"/>
      <w:szCs w:val="20"/>
    </w:rPr>
  </w:style>
  <w:style w:type="character" w:customStyle="1" w:styleId="TekstprzypisukocowegoZnak">
    <w:name w:val="Tekst przypisu końcowego Znak"/>
    <w:basedOn w:val="Domylnaczcionkaakapitu"/>
    <w:link w:val="Tekstprzypisukocowego"/>
    <w:rsid w:val="004908AC"/>
  </w:style>
  <w:style w:type="character" w:styleId="Odwoanieprzypisukocowego">
    <w:name w:val="endnote reference"/>
    <w:basedOn w:val="Domylnaczcionkaakapitu"/>
    <w:rsid w:val="004908AC"/>
    <w:rPr>
      <w:vertAlign w:val="superscript"/>
    </w:rPr>
  </w:style>
  <w:style w:type="paragraph" w:styleId="Tematkomentarza">
    <w:name w:val="annotation subject"/>
    <w:basedOn w:val="Tekstkomentarza"/>
    <w:next w:val="Tekstkomentarza"/>
    <w:link w:val="TematkomentarzaZnak"/>
    <w:semiHidden/>
    <w:unhideWhenUsed/>
    <w:rsid w:val="0078685B"/>
    <w:pPr>
      <w:widowControl/>
      <w:autoSpaceDE/>
      <w:autoSpaceDN/>
      <w:adjustRightInd/>
      <w:spacing w:line="240" w:lineRule="auto"/>
    </w:pPr>
    <w:rPr>
      <w:rFonts w:ascii="Times New Roman" w:hAnsi="Times New Roman"/>
      <w:b/>
      <w:bCs/>
      <w:sz w:val="20"/>
      <w:szCs w:val="20"/>
    </w:rPr>
  </w:style>
  <w:style w:type="character" w:customStyle="1" w:styleId="TematkomentarzaZnak">
    <w:name w:val="Temat komentarza Znak"/>
    <w:basedOn w:val="TekstkomentarzaZnak"/>
    <w:link w:val="Tematkomentarza"/>
    <w:semiHidden/>
    <w:rsid w:val="0078685B"/>
    <w:rPr>
      <w:rFonts w:ascii="Times" w:hAnsi="Times"/>
      <w:b/>
      <w:bCs/>
      <w:sz w:val="24"/>
      <w:szCs w:val="24"/>
    </w:rPr>
  </w:style>
  <w:style w:type="paragraph" w:styleId="Tekstprzypisudolnego">
    <w:name w:val="footnote text"/>
    <w:basedOn w:val="Normalny"/>
    <w:link w:val="TekstprzypisudolnegoZnak"/>
    <w:semiHidden/>
    <w:unhideWhenUsed/>
    <w:rsid w:val="00F6477E"/>
    <w:rPr>
      <w:sz w:val="20"/>
      <w:szCs w:val="20"/>
    </w:rPr>
  </w:style>
  <w:style w:type="character" w:customStyle="1" w:styleId="TekstprzypisudolnegoZnak">
    <w:name w:val="Tekst przypisu dolnego Znak"/>
    <w:basedOn w:val="Domylnaczcionkaakapitu"/>
    <w:link w:val="Tekstprzypisudolnego"/>
    <w:semiHidden/>
    <w:rsid w:val="00F6477E"/>
  </w:style>
  <w:style w:type="character" w:styleId="Odwoanieprzypisudolnego">
    <w:name w:val="footnote reference"/>
    <w:basedOn w:val="Domylnaczcionkaakapitu"/>
    <w:semiHidden/>
    <w:unhideWhenUsed/>
    <w:rsid w:val="00F6477E"/>
    <w:rPr>
      <w:vertAlign w:val="superscript"/>
    </w:rPr>
  </w:style>
  <w:style w:type="character" w:styleId="Hipercze">
    <w:name w:val="Hyperlink"/>
    <w:basedOn w:val="Domylnaczcionkaakapitu"/>
    <w:unhideWhenUsed/>
    <w:rsid w:val="000C34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dane.gov.pl/pl/knowledgebase/useful-materials/standardy-otwartosci-danych" TargetMode="External"/><Relationship Id="rId2" Type="http://schemas.openxmlformats.org/officeDocument/2006/relationships/hyperlink" Target="https://dane.gov.pl/pl/article/article-1240,standardy-otwartosci-danych-raport-z-konsultacji-publicznych" TargetMode="External"/><Relationship Id="rId1" Type="http://schemas.openxmlformats.org/officeDocument/2006/relationships/hyperlink" Target="https://dane.gov.pl/pl/knowledgebase/useful-materials/standardy-otwartosci-dany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garbarczyk\Desktop\szablon%20-%20KRMC%20tabela.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136F3-A671-431E-A4A5-95D54DC48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 KRMC tabela</Template>
  <TotalTime>77</TotalTime>
  <Pages>1</Pages>
  <Words>8259</Words>
  <Characters>49556</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57700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Garbarczyk</dc:creator>
  <cp:lastModifiedBy>Witkowska-Krzymowska Magdalena</cp:lastModifiedBy>
  <cp:revision>15</cp:revision>
  <cp:lastPrinted>2012-08-20T11:53:00Z</cp:lastPrinted>
  <dcterms:created xsi:type="dcterms:W3CDTF">2021-01-27T10:35:00Z</dcterms:created>
  <dcterms:modified xsi:type="dcterms:W3CDTF">2021-01-27T13:42:00Z</dcterms:modified>
</cp:coreProperties>
</file>