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A1" w:rsidRPr="00AA415F" w:rsidRDefault="00BE28A1" w:rsidP="00BE28A1">
      <w:pPr>
        <w:pStyle w:val="Nagwek"/>
        <w:jc w:val="right"/>
        <w:rPr>
          <w:rFonts w:ascii="Times New Roman" w:hAnsi="Times New Roman" w:cs="Times New Roman"/>
        </w:rPr>
      </w:pPr>
      <w:r w:rsidRPr="00AA415F">
        <w:rPr>
          <w:rFonts w:ascii="Times New Roman" w:hAnsi="Times New Roman" w:cs="Times New Roman"/>
        </w:rPr>
        <w:t>Załącznik Nr 1 do ogłoszenia otwartego konkursu ofert Nr</w:t>
      </w:r>
      <w:r w:rsidR="00B8591C">
        <w:rPr>
          <w:rFonts w:ascii="Times New Roman" w:hAnsi="Times New Roman" w:cs="Times New Roman"/>
        </w:rPr>
        <w:t xml:space="preserve"> ew. 02</w:t>
      </w:r>
      <w:r>
        <w:rPr>
          <w:rFonts w:ascii="Times New Roman" w:hAnsi="Times New Roman" w:cs="Times New Roman"/>
        </w:rPr>
        <w:t>/2021</w:t>
      </w:r>
      <w:r w:rsidRPr="00AA415F">
        <w:rPr>
          <w:rFonts w:ascii="Times New Roman" w:hAnsi="Times New Roman" w:cs="Times New Roman"/>
        </w:rPr>
        <w:t>/WD/</w:t>
      </w:r>
      <w:proofErr w:type="spellStart"/>
      <w:r w:rsidRPr="00AA415F">
        <w:rPr>
          <w:rFonts w:ascii="Times New Roman" w:hAnsi="Times New Roman" w:cs="Times New Roman"/>
        </w:rPr>
        <w:t>DEKiD</w:t>
      </w:r>
      <w:proofErr w:type="spellEnd"/>
    </w:p>
    <w:p w:rsidR="00BE28A1" w:rsidRPr="00054C92" w:rsidRDefault="00BE28A1" w:rsidP="00BE2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28A1" w:rsidRPr="00AA415F" w:rsidRDefault="00BE28A1" w:rsidP="00BE2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BE28A1" w:rsidRPr="00AA415F" w:rsidRDefault="00BE28A1" w:rsidP="00BE2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BE28A1" w:rsidRPr="00AA415F" w:rsidRDefault="00BE28A1" w:rsidP="00BE2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BE28A1" w:rsidRPr="00054C92" w:rsidRDefault="00BE28A1" w:rsidP="00BE28A1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BE28A1" w:rsidRPr="00054C92" w:rsidRDefault="00BE28A1" w:rsidP="00BE28A1">
      <w:pPr>
        <w:pStyle w:val="Akapitzlist"/>
        <w:numPr>
          <w:ilvl w:val="0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BE28A1" w:rsidRPr="00054C92" w:rsidRDefault="00BE28A1" w:rsidP="00BE28A1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BE28A1" w:rsidRPr="00054C92" w:rsidRDefault="00BE28A1" w:rsidP="00BE28A1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i związków wyznaniowych oraz 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BE28A1" w:rsidRPr="00054C92" w:rsidRDefault="00BE28A1" w:rsidP="00BE28A1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BE28A1" w:rsidRPr="00054C92" w:rsidRDefault="00BE28A1" w:rsidP="00BE28A1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BE28A1" w:rsidRPr="00054C92" w:rsidRDefault="00BE28A1" w:rsidP="00BE28A1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2019 r. poz. 1468, z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które nie działają w celu osiągniecia zysku oraz przeznaczają całość dochodu na realizację celów statutowych oraz nie przeznaczają zysku do podziału między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BE28A1" w:rsidRPr="00054C92" w:rsidRDefault="00BE28A1" w:rsidP="00BE28A1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BE28A1" w:rsidRPr="003B3E14" w:rsidRDefault="00BE28A1" w:rsidP="00BE28A1">
      <w:pPr>
        <w:pStyle w:val="Akapitzlist"/>
        <w:numPr>
          <w:ilvl w:val="0"/>
          <w:numId w:val="10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</w:t>
      </w:r>
      <w:r w:rsidR="00B8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tuacji epidemicznej związanej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rozprzestrzenianiem się choroby COVID-19 oraz wynikającymi z tego faktu ograniczeniami, realizacja działań opisanych w ramach oferty zgłoszonej do udziału w Ot</w:t>
      </w:r>
      <w:r w:rsidR="00B8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ofert nr ew. 02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</w:t>
      </w:r>
      <w:proofErr w:type="spellStart"/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DEKiD</w:t>
      </w:r>
      <w:proofErr w:type="spellEnd"/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musi uwzględniać spełnienie wszelkich aktualnych wymagań związanych z bieżącą sytuacją epidemiczną, zgodnie z obowiązującymi i systematycznie aktualizowanymi przepisami o ograniczeniach, nakazach i z</w:t>
      </w:r>
      <w:r w:rsidR="00B85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akazach określonych w związku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wypełnić w języku polskim, komputerowo, według wzoru stanowiącego załącznik nr 1 do rozporządzenia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określoną część zadania innemu podmiotowi, zobowiązany jest do wskazania w harmonogramie (część III.4 oferty) zakresu działania realizowanego przez podmiot niebędący stroną umowy. Jeżeli oferent nie planuje powierzyć realizacji poszczególnego działania podmiotowi niebędącemu stroną umowy należy wpisać </w:t>
      </w:r>
      <w:r w:rsidRPr="00D64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:rsidR="00BE28A1" w:rsidRPr="001D4E36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BE28A1" w:rsidRPr="007267F5" w:rsidRDefault="00BE28A1" w:rsidP="00BE28A1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</w:t>
      </w:r>
      <w:r w:rsidR="00B8591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tylko jednej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tego samego oferenta.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</w:t>
      </w:r>
      <w:r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BE28A1" w:rsidRPr="00054C92" w:rsidRDefault="00BE28A1" w:rsidP="00BE28A1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E28A1" w:rsidRPr="00054C92" w:rsidRDefault="00BE28A1" w:rsidP="00BE28A1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BE28A1" w:rsidRPr="00054C92" w:rsidRDefault="00BE28A1" w:rsidP="00BE28A1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BE28A1" w:rsidRPr="00054C92" w:rsidRDefault="00BE28A1" w:rsidP="00BE28A1">
      <w:pPr>
        <w:numPr>
          <w:ilvl w:val="0"/>
          <w:numId w:val="1"/>
        </w:numPr>
        <w:spacing w:before="120"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BE28A1" w:rsidRPr="00054C92" w:rsidRDefault="00BE28A1" w:rsidP="00BE28A1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BE28A1" w:rsidRPr="00054C92" w:rsidRDefault="00BE28A1" w:rsidP="00BE28A1">
      <w:pPr>
        <w:pStyle w:val="Akapitzlist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BE28A1" w:rsidRPr="00054C92" w:rsidRDefault="00BE28A1" w:rsidP="00BE28A1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BE28A1" w:rsidRPr="00054C92" w:rsidRDefault="00BE28A1" w:rsidP="00BE28A1">
      <w:pPr>
        <w:pStyle w:val="Akapitzlist"/>
        <w:numPr>
          <w:ilvl w:val="0"/>
          <w:numId w:val="33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BE28A1" w:rsidRPr="00054C92" w:rsidRDefault="00BE28A1" w:rsidP="00BE28A1">
      <w:pPr>
        <w:pStyle w:val="Akapitzlist"/>
        <w:numPr>
          <w:ilvl w:val="0"/>
          <w:numId w:val="33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BE28A1" w:rsidRPr="00054C92" w:rsidRDefault="00BE28A1" w:rsidP="00BE28A1">
      <w:pPr>
        <w:pStyle w:val="Akapitzlist"/>
        <w:numPr>
          <w:ilvl w:val="0"/>
          <w:numId w:val="33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wykonania zadania publicznego (cz. VI. „Inne informacje” oferty),</w:t>
      </w:r>
    </w:p>
    <w:p w:rsidR="00BE28A1" w:rsidRPr="00054C92" w:rsidRDefault="00BE28A1" w:rsidP="00BE28A1">
      <w:pPr>
        <w:pStyle w:val="Akapitzlist"/>
        <w:numPr>
          <w:ilvl w:val="0"/>
          <w:numId w:val="33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stosownej treści oświadczeń w cz. VII oferty,</w:t>
      </w:r>
    </w:p>
    <w:p w:rsidR="00BE28A1" w:rsidRPr="00054C92" w:rsidRDefault="00BE28A1" w:rsidP="00BE28A1">
      <w:pPr>
        <w:pStyle w:val="Akapitzlist"/>
        <w:numPr>
          <w:ilvl w:val="0"/>
          <w:numId w:val="33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BE28A1" w:rsidRPr="00054C92" w:rsidRDefault="00BE28A1" w:rsidP="00BE28A1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E21F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28A1" w:rsidRPr="00054C92" w:rsidRDefault="00BE28A1" w:rsidP="00BE28A1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w terminie 7 dni od dnia opublikowania wykazu na stronie internetowej maja prawo do usunięcia stwierdzonych uchybień (decyduje data wpływu usuniętych braków do kancelarii 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ólnej MON, zgodnie z pkt III. 16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formalnych we wskazanym terminie powodować będzie odrzucenie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przyczyn formalnych i nie będzie ona podlegała ocenie merytorycznej. </w:t>
      </w:r>
    </w:p>
    <w:p w:rsidR="00BE28A1" w:rsidRDefault="00BE28A1" w:rsidP="00BE28A1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limit, jest zobowiązany wskazać, którą ofertę/oferty wycofuje z konkursu.</w:t>
      </w:r>
    </w:p>
    <w:p w:rsidR="00BE28A1" w:rsidRPr="00054C92" w:rsidRDefault="00BE28A1" w:rsidP="00BE28A1">
      <w:pPr>
        <w:pStyle w:val="Akapitzlist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BE28A1" w:rsidRPr="00054C92" w:rsidRDefault="00BE28A1" w:rsidP="00BE28A1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BE28A1" w:rsidRPr="00054C92" w:rsidRDefault="00BE28A1" w:rsidP="00BE28A1">
      <w:pPr>
        <w:pStyle w:val="Akapitzlist"/>
        <w:numPr>
          <w:ilvl w:val="0"/>
          <w:numId w:val="35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BE28A1" w:rsidRPr="00054C92" w:rsidRDefault="00BE28A1" w:rsidP="00BE28A1">
      <w:pPr>
        <w:pStyle w:val="Akapitzlist"/>
        <w:numPr>
          <w:ilvl w:val="0"/>
          <w:numId w:val="35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BE28A1" w:rsidRPr="00054C92" w:rsidRDefault="00BE28A1" w:rsidP="00BE28A1">
      <w:pPr>
        <w:pStyle w:val="Akapitzlist"/>
        <w:numPr>
          <w:ilvl w:val="0"/>
          <w:numId w:val="35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BE28A1" w:rsidRPr="00054C92" w:rsidRDefault="00BE28A1" w:rsidP="00BE28A1">
      <w:pPr>
        <w:pStyle w:val="Akapitzlist"/>
        <w:numPr>
          <w:ilvl w:val="0"/>
          <w:numId w:val="35"/>
        </w:numPr>
        <w:suppressAutoHyphens/>
        <w:autoSpaceDN w:val="0"/>
        <w:spacing w:before="60" w:after="6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brak zgodności treści oferty ze wskazanym w ogłoszeniu otwartego konkursu ofert rodzajem zadania,</w:t>
      </w:r>
    </w:p>
    <w:p w:rsidR="00BE28A1" w:rsidRPr="00054C92" w:rsidRDefault="00BE28A1" w:rsidP="00BE28A1">
      <w:pPr>
        <w:numPr>
          <w:ilvl w:val="0"/>
          <w:numId w:val="34"/>
        </w:numPr>
        <w:suppressAutoHyphens/>
        <w:autoSpaceDN w:val="0"/>
        <w:spacing w:before="60" w:after="6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:rsidR="00BE28A1" w:rsidRPr="00054C92" w:rsidRDefault="00BE28A1" w:rsidP="00BE28A1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BE28A1" w:rsidRPr="00054C92" w:rsidRDefault="00BE28A1" w:rsidP="00BE28A1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 </w:t>
      </w:r>
      <w:hyperlink r:id="rId8" w:history="1">
        <w:r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BE28A1" w:rsidRPr="00FD4FA1" w:rsidRDefault="00BE28A1" w:rsidP="00BE28A1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FD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BE28A1" w:rsidRPr="00054C92" w:rsidRDefault="00BE28A1" w:rsidP="00BE28A1">
      <w:pPr>
        <w:numPr>
          <w:ilvl w:val="0"/>
          <w:numId w:val="36"/>
        </w:numPr>
        <w:spacing w:before="60" w:after="6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 adekwatność proponowanych stawek jednostkowych w odniesieniu do celów, rezultatów i zakresu rzeczowego zadania, które obejmuje oferta;</w:t>
      </w:r>
    </w:p>
    <w:p w:rsidR="00BE28A1" w:rsidRPr="00054C92" w:rsidRDefault="00BE28A1" w:rsidP="00BE28A1">
      <w:pPr>
        <w:numPr>
          <w:ilvl w:val="0"/>
          <w:numId w:val="36"/>
        </w:numPr>
        <w:spacing w:after="12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wybranie najlepszych ofert. Posiedzenia Komisji odbywają się w siedzibi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Ministerstwa Obrony Narodowej, w sytuacji epidemicznej w formie online.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razie potrzeby, w celu wyjaśnienia wątpliwości, Komisja może zlecić wykonanie stosownej ekspertyzy, a oceny oferty dokonać po zapoznaniu się z przedmiotową ekspertyzą.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BE28A1" w:rsidRPr="00054C92" w:rsidRDefault="00BE28A1" w:rsidP="00BE28A1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otwartego konkursu ofert zawierające listę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 na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których przyznane zostały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z dotacji oraz ich wysokość,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głaszane są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Minis</w:t>
      </w:r>
      <w:r>
        <w:rPr>
          <w:rFonts w:ascii="Times New Roman" w:hAnsi="Times New Roman" w:cs="Times New Roman"/>
          <w:sz w:val="24"/>
          <w:szCs w:val="24"/>
        </w:rPr>
        <w:t>terstwa Obrony Narodowej, link: </w:t>
      </w:r>
      <w:hyperlink r:id="rId9" w:history="1">
        <w:r w:rsidRPr="00054C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Pr="00054C92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054C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:rsidR="00BE28A1" w:rsidRPr="00FD4FA1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Podmioty, które otrzymały dotację zobowiązane są do skontaktowania się z </w:t>
      </w:r>
      <w:proofErr w:type="spellStart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DEKiD</w:t>
      </w:r>
      <w:proofErr w:type="spellEnd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:rsidR="00BE28A1" w:rsidRPr="00054C92" w:rsidRDefault="00BE28A1" w:rsidP="00BE28A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zastrzega sobie prawo anulowania otwartego konkursu ofert w związku z sytuacja epidemiologiczną, która uniemożliwi jego przeprowadzenie w terminach określonych w ogłoszeniu.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BE28A1" w:rsidRPr="00054C92" w:rsidRDefault="00BE28A1" w:rsidP="00BE28A1">
      <w:pPr>
        <w:numPr>
          <w:ilvl w:val="0"/>
          <w:numId w:val="5"/>
        </w:numPr>
        <w:spacing w:before="120"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BE28A1" w:rsidRPr="00054C92" w:rsidRDefault="00BE28A1" w:rsidP="00BE28A1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BE28A1" w:rsidRPr="00054C92" w:rsidRDefault="00BE28A1" w:rsidP="00BE28A1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BE28A1" w:rsidRPr="00054C92" w:rsidRDefault="00BE28A1" w:rsidP="00BE28A1">
      <w:pPr>
        <w:numPr>
          <w:ilvl w:val="0"/>
          <w:numId w:val="17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BE28A1" w:rsidRPr="00054C92" w:rsidRDefault="00BE28A1" w:rsidP="00BE28A1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BE28A1" w:rsidRPr="00054C92" w:rsidRDefault="00BE28A1" w:rsidP="00BE28A1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BE28A1" w:rsidRDefault="00BE28A1" w:rsidP="00BE28A1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uzasadnionych przypadkach, umowa (trzy egzemplarze) może zostać przesłana do zleceniobiorcy za pośrednictwem operatora pocztowego. Zleceniobiorca zobowiązany jest podpisać wszystkie egzemplarze umowy, dołączyć wymagane załączniki i odesłać dwa egz. umowy do zleceniodawcy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BE28A1" w:rsidRPr="00054C92" w:rsidRDefault="00BE28A1" w:rsidP="00BE28A1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</w:t>
      </w:r>
      <w:r w:rsidR="00C41D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elektroniczną;</w:t>
      </w:r>
    </w:p>
    <w:p w:rsidR="00BE28A1" w:rsidRPr="00054C92" w:rsidRDefault="00BE28A1" w:rsidP="00BE28A1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BE28A1" w:rsidRPr="00054C92" w:rsidRDefault="00BE28A1" w:rsidP="00BE28A1">
      <w:pPr>
        <w:numPr>
          <w:ilvl w:val="0"/>
          <w:numId w:val="12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BE28A1" w:rsidRPr="00054C92" w:rsidRDefault="00BE28A1" w:rsidP="00BE28A1">
      <w:pPr>
        <w:numPr>
          <w:ilvl w:val="0"/>
          <w:numId w:val="12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BE28A1" w:rsidRPr="00054C92" w:rsidRDefault="00BE28A1" w:rsidP="00BE28A1">
      <w:pPr>
        <w:numPr>
          <w:ilvl w:val="0"/>
          <w:numId w:val="12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BE28A1" w:rsidRPr="00054C92" w:rsidRDefault="00BE28A1" w:rsidP="00BE28A1">
      <w:pPr>
        <w:numPr>
          <w:ilvl w:val="0"/>
          <w:numId w:val="12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BE28A1" w:rsidRPr="00054C92" w:rsidRDefault="00BE28A1" w:rsidP="00BE28A1">
      <w:pPr>
        <w:numPr>
          <w:ilvl w:val="0"/>
          <w:numId w:val="12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:rsidR="00BE28A1" w:rsidRPr="00054C92" w:rsidRDefault="00BE28A1" w:rsidP="00BE28A1">
      <w:pPr>
        <w:pStyle w:val="Akapitzlist"/>
        <w:numPr>
          <w:ilvl w:val="4"/>
          <w:numId w:val="6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1429, z </w:t>
      </w:r>
      <w:proofErr w:type="spellStart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z zastrzeżeniem wynikającym z art. 5 ust 2 ww. ustawy.</w:t>
      </w:r>
    </w:p>
    <w:p w:rsidR="00BE28A1" w:rsidRPr="00054C92" w:rsidRDefault="00BE28A1" w:rsidP="00BE28A1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</w:t>
      </w:r>
      <w:r w:rsidR="00C41D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zmiany umowy dokonanej w formie pisemnej;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III.4.1-3 i w części. III.5 niniejszego Regulaminu, bez konieczności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:rsidR="00BE28A1" w:rsidRPr="00054C92" w:rsidRDefault="00BE28A1" w:rsidP="00BE28A1">
      <w:pPr>
        <w:pStyle w:val="Akapitzlist"/>
        <w:numPr>
          <w:ilvl w:val="3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umowy może zostać dokonana wyłącznie w terminie realizacji zadania, po złożeniu stosownego wniosku. Wniosek o zmianę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BE28A1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BE28A1" w:rsidRDefault="00BE28A1" w:rsidP="00BE28A1">
      <w:pPr>
        <w:pStyle w:val="Akapitzlist"/>
        <w:numPr>
          <w:ilvl w:val="3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</w:t>
      </w:r>
      <w:proofErr w:type="spellStart"/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koronawirusa</w:t>
      </w:r>
      <w:proofErr w:type="spellEnd"/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zgodnie z 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BE28A1" w:rsidRPr="00054C92" w:rsidRDefault="00BE28A1" w:rsidP="00BE28A1">
      <w:pPr>
        <w:pStyle w:val="Akapitzlist"/>
        <w:numPr>
          <w:ilvl w:val="3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BE28A1" w:rsidRPr="00054C92" w:rsidRDefault="00BE28A1" w:rsidP="00BE28A1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BE28A1" w:rsidRPr="00054C92" w:rsidRDefault="00BE28A1" w:rsidP="00BE28A1">
      <w:pPr>
        <w:pStyle w:val="Akapitzlist"/>
        <w:numPr>
          <w:ilvl w:val="0"/>
          <w:numId w:val="28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BE28A1" w:rsidRPr="00054C92" w:rsidRDefault="00BE28A1" w:rsidP="00BE28A1">
      <w:pPr>
        <w:pStyle w:val="Akapitzlist"/>
        <w:numPr>
          <w:ilvl w:val="4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BE28A1" w:rsidRPr="00054C92" w:rsidRDefault="00BE28A1" w:rsidP="00BE28A1">
      <w:pPr>
        <w:pStyle w:val="Akapitzlist"/>
        <w:numPr>
          <w:ilvl w:val="4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strzelnice, na których realizowane są zadania publiczne muszą posiadać wymagane prawem zezwolenia (decyzje) umożliwiające jej funkcjonowanie;</w:t>
      </w:r>
    </w:p>
    <w:p w:rsidR="00BE28A1" w:rsidRPr="00054C92" w:rsidRDefault="00BE28A1" w:rsidP="00BE28A1">
      <w:pPr>
        <w:pStyle w:val="Akapitzlist"/>
        <w:numPr>
          <w:ilvl w:val="4"/>
          <w:numId w:val="1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zamieszcza się następujące dane:</w:t>
      </w:r>
    </w:p>
    <w:p w:rsidR="00BE28A1" w:rsidRPr="00054C92" w:rsidRDefault="00BE28A1" w:rsidP="00BE28A1">
      <w:pPr>
        <w:numPr>
          <w:ilvl w:val="0"/>
          <w:numId w:val="3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BE28A1" w:rsidRPr="00054C92" w:rsidRDefault="00BE28A1" w:rsidP="00BE28A1">
      <w:pPr>
        <w:numPr>
          <w:ilvl w:val="0"/>
          <w:numId w:val="3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BE28A1" w:rsidRPr="00054C92" w:rsidRDefault="00BE28A1" w:rsidP="00BE28A1">
      <w:pPr>
        <w:numPr>
          <w:ilvl w:val="0"/>
          <w:numId w:val="3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BE28A1" w:rsidRPr="00054C92" w:rsidRDefault="00BE28A1" w:rsidP="00BE28A1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BE28A1" w:rsidRPr="00054C92" w:rsidRDefault="00BE28A1" w:rsidP="00BE28A1">
      <w:pPr>
        <w:numPr>
          <w:ilvl w:val="0"/>
          <w:numId w:val="3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28A1" w:rsidRPr="00054C92" w:rsidRDefault="00BE28A1" w:rsidP="00BE28A1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BE28A1" w:rsidRPr="00054C92" w:rsidRDefault="00BE28A1" w:rsidP="00BE28A1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BE28A1" w:rsidRPr="00054C92" w:rsidRDefault="00BE28A1" w:rsidP="00BE28A1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sięgowych spełniających warunki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 poz. 351)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2020 r. poz. 106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BE28A1" w:rsidRPr="00054C92" w:rsidRDefault="00BE28A1" w:rsidP="00BE28A1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BE28A1" w:rsidRPr="00054C92" w:rsidRDefault="00BE28A1" w:rsidP="00BE28A1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BE28A1" w:rsidRPr="00054C92" w:rsidRDefault="00BE28A1" w:rsidP="00BE28A1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BE28A1" w:rsidRPr="00054C92" w:rsidRDefault="00BE28A1" w:rsidP="00BE28A1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1406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koszty procesów sądowych,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BE28A1" w:rsidRPr="00054C92" w:rsidRDefault="00BE28A1" w:rsidP="00BE28A1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BE28A1" w:rsidRPr="00054C92" w:rsidRDefault="00BE28A1" w:rsidP="00BE28A1">
      <w:pPr>
        <w:numPr>
          <w:ilvl w:val="1"/>
          <w:numId w:val="2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BE28A1" w:rsidRPr="00054C92" w:rsidRDefault="00BE28A1" w:rsidP="00BE28A1">
      <w:pPr>
        <w:numPr>
          <w:ilvl w:val="1"/>
          <w:numId w:val="2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z 27 sierpnia 2009 r. o finansach publicznych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869,) w sposób umożliwiający identyfikację poszczególnych operacji księgowych; 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BE28A1" w:rsidRPr="00054C92" w:rsidRDefault="00BE28A1" w:rsidP="00BE28A1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BE28A1" w:rsidRPr="00054C92" w:rsidRDefault="00BE28A1" w:rsidP="00BE28A1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BE28A1" w:rsidRPr="00054C92" w:rsidRDefault="00BE28A1" w:rsidP="00BE28A1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BE28A1" w:rsidRPr="00054C92" w:rsidRDefault="00BE28A1" w:rsidP="00BE28A1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BE28A1" w:rsidRPr="00054C92" w:rsidRDefault="00BE28A1" w:rsidP="00BE28A1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:rsidR="00BE28A1" w:rsidRPr="00054C92" w:rsidRDefault="00BE28A1" w:rsidP="00BE28A1">
      <w:pPr>
        <w:pStyle w:val="Akapitzlist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wkładu osobowego (praca wolontariuszy, praca społeczna członków zleceniobiorcy) winno być udokumentowane w następujący sposób:</w:t>
      </w:r>
    </w:p>
    <w:p w:rsidR="00BE28A1" w:rsidRPr="00054C92" w:rsidRDefault="00BE28A1" w:rsidP="00BE28A1">
      <w:pPr>
        <w:numPr>
          <w:ilvl w:val="0"/>
          <w:numId w:val="13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wolontariusza – poprzez zawarte na piśmie porozumienie (umowę)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wolontariacką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28A1" w:rsidRPr="00054C92" w:rsidRDefault="00BE28A1" w:rsidP="00BE28A1">
      <w:pPr>
        <w:numPr>
          <w:ilvl w:val="0"/>
          <w:numId w:val="13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BE28A1" w:rsidRPr="00054C92" w:rsidRDefault="00BE28A1" w:rsidP="00BE28A1">
      <w:pPr>
        <w:numPr>
          <w:ilvl w:val="0"/>
          <w:numId w:val="1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BE28A1" w:rsidRPr="00054C92" w:rsidRDefault="00BE28A1" w:rsidP="00BE28A1">
      <w:pPr>
        <w:numPr>
          <w:ilvl w:val="0"/>
          <w:numId w:val="13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BE28A1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BE28A1" w:rsidRPr="00491C72" w:rsidRDefault="00BE28A1" w:rsidP="00BE28A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BE28A1" w:rsidRPr="00054C92" w:rsidRDefault="00BE28A1" w:rsidP="00BE28A1">
      <w:pPr>
        <w:numPr>
          <w:ilvl w:val="0"/>
          <w:numId w:val="30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BE28A1" w:rsidRPr="00054C92" w:rsidRDefault="00BE28A1" w:rsidP="00BE28A1">
      <w:pPr>
        <w:numPr>
          <w:ilvl w:val="0"/>
          <w:numId w:val="30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BE28A1" w:rsidRPr="00054C92" w:rsidRDefault="00BE28A1" w:rsidP="00BE28A1">
      <w:pPr>
        <w:numPr>
          <w:ilvl w:val="0"/>
          <w:numId w:val="30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udostępnionych zleceniobiorcy pomieszczeń i obiektów - wyliczonych na podstawie czynszów, opłat, itp.;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tj.:</w:t>
      </w:r>
    </w:p>
    <w:p w:rsidR="00BE28A1" w:rsidRPr="00054C92" w:rsidRDefault="00BE28A1" w:rsidP="00BE28A1">
      <w:pPr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BE28A1" w:rsidRPr="00054C92" w:rsidRDefault="00BE28A1" w:rsidP="00BE28A1">
      <w:pPr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:rsidR="00BE28A1" w:rsidRPr="00054C92" w:rsidRDefault="00BE28A1" w:rsidP="00BE28A1">
      <w:pPr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BE28A1" w:rsidRPr="00054C92" w:rsidRDefault="00BE28A1" w:rsidP="00BE28A1">
      <w:pPr>
        <w:pStyle w:val="Akapitzlist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BE28A1" w:rsidRPr="00054C92" w:rsidRDefault="00BE28A1" w:rsidP="00BE28A1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BE28A1" w:rsidRPr="00054C92" w:rsidRDefault="00BE28A1" w:rsidP="00BE28A1">
      <w:pPr>
        <w:pStyle w:val="Akapitzlist"/>
        <w:numPr>
          <w:ilvl w:val="0"/>
          <w:numId w:val="8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BE28A1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BE28A1" w:rsidRPr="00491C72" w:rsidRDefault="00BE28A1" w:rsidP="00BE28A1">
      <w:pPr>
        <w:suppressAutoHyphens/>
        <w:autoSpaceDN w:val="0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BE28A1" w:rsidRPr="00054C92" w:rsidRDefault="00BE28A1" w:rsidP="00BE28A1">
      <w:pPr>
        <w:pStyle w:val="Akapitzlist"/>
        <w:numPr>
          <w:ilvl w:val="1"/>
          <w:numId w:val="28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od osób fizycznych oraz składki ZUS należy opłacić w terminie płatności określonym w umowie, nawet w przypadku, gdy przepisy regulujące zasady płatności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tychże zobowiązań zezwalają na płatności w późniejszym terminie; płatności dokonane poza terminem płatności wskazanym w umowie stanowią koszt niekwalifikowany zadania publicznego;</w:t>
      </w:r>
    </w:p>
    <w:p w:rsidR="00BE28A1" w:rsidRPr="00054C92" w:rsidRDefault="00BE28A1" w:rsidP="00BE28A1">
      <w:pPr>
        <w:pStyle w:val="Akapitzlist"/>
        <w:numPr>
          <w:ilvl w:val="0"/>
          <w:numId w:val="31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 ofercie rezultatów, działań oraz prawidłowości poniesionych kosztów.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 treści sprawozdania.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BE28A1" w:rsidRPr="00054C92" w:rsidRDefault="00BE28A1" w:rsidP="00BE28A1">
      <w:pPr>
        <w:pStyle w:val="Akapitzlist"/>
        <w:numPr>
          <w:ilvl w:val="0"/>
          <w:numId w:val="23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BE28A1" w:rsidRPr="00054C92" w:rsidRDefault="00BE28A1" w:rsidP="00BE28A1">
      <w:pPr>
        <w:pStyle w:val="Akapitzlist"/>
        <w:numPr>
          <w:ilvl w:val="0"/>
          <w:numId w:val="23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BE28A1" w:rsidRPr="00054C92" w:rsidRDefault="00BE28A1" w:rsidP="00BE28A1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E28A1" w:rsidRPr="00054C92" w:rsidRDefault="00BE28A1" w:rsidP="00BE28A1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BE28A1" w:rsidRPr="00054C92" w:rsidRDefault="00BE28A1" w:rsidP="00BE28A1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BE28A1" w:rsidRPr="00054C92" w:rsidRDefault="00BE28A1" w:rsidP="00BE28A1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informacji o adresie strzelnicy, dacie strzelania (strzelań), rodzaju (rodzajach) broni oraz liczbie i rodzaju (rodzajów) amunicji zużytej podczas strzelania (strzelań);</w:t>
      </w:r>
    </w:p>
    <w:p w:rsidR="00BE28A1" w:rsidRPr="00054C92" w:rsidRDefault="00BE28A1" w:rsidP="00BE28A1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organizacyjnej MON właściwej do prowadzenia monitoringu i ewaluacji efektywności działalności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proobronnej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Przesłane przez zleceniobiorcę kopie dokumentów (np. listy strzeleń, wykaz uczestników) zwierające dane osobowe winny zostać poddane procesowi </w:t>
      </w:r>
      <w:proofErr w:type="spellStart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BE28A1" w:rsidRPr="00054C92" w:rsidRDefault="00BE28A1" w:rsidP="00BE28A1">
      <w:pPr>
        <w:numPr>
          <w:ilvl w:val="0"/>
          <w:numId w:val="25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BE28A1" w:rsidRPr="00054C92" w:rsidRDefault="00BE28A1" w:rsidP="00BE28A1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BE28A1" w:rsidRPr="00054C92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E28A1" w:rsidRDefault="00BE28A1" w:rsidP="00BE28A1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BE28A1" w:rsidRPr="00054C92" w:rsidRDefault="00BE28A1" w:rsidP="00BE28A1">
      <w:pPr>
        <w:pStyle w:val="Akapitzlist"/>
        <w:numPr>
          <w:ilvl w:val="3"/>
          <w:numId w:val="3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Konsekwencją uchybień w wydatkowaniu dotacji może być zwrot części lub całości przyznanej dotacji. </w:t>
      </w:r>
    </w:p>
    <w:p w:rsidR="00BE28A1" w:rsidRPr="00054C92" w:rsidRDefault="00BE28A1" w:rsidP="00BE28A1">
      <w:pPr>
        <w:pStyle w:val="Akapitzlist"/>
        <w:numPr>
          <w:ilvl w:val="3"/>
          <w:numId w:val="31"/>
        </w:numPr>
        <w:spacing w:before="60" w:after="6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BE28A1" w:rsidRPr="00054C92" w:rsidRDefault="00BE28A1" w:rsidP="00BE28A1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 miejscu do przedłożenia do wglądu oryginałów faktur i innych dowodów księgowych dotyczących wydatków poniesionych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potwierdzenie podjętych działań w trakcie realizacji zadania. 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BE28A1" w:rsidRPr="00054C92" w:rsidRDefault="00BE28A1" w:rsidP="00BE28A1">
      <w:pPr>
        <w:pStyle w:val="Akapitzlist"/>
        <w:numPr>
          <w:ilvl w:val="3"/>
          <w:numId w:val="14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BE28A1" w:rsidRPr="00054C92" w:rsidRDefault="00BE28A1" w:rsidP="00BE28A1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BE28A1" w:rsidRPr="00054C92" w:rsidRDefault="00BE28A1" w:rsidP="00BE28A1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BE28A1" w:rsidRPr="00054C92" w:rsidRDefault="00BE28A1" w:rsidP="00BE28A1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</w:t>
      </w:r>
      <w:proofErr w:type="spellStart"/>
      <w:r w:rsidRPr="00054C92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054C92">
        <w:rPr>
          <w:rFonts w:ascii="Times New Roman" w:eastAsia="Calibri" w:hAnsi="Times New Roman" w:cs="Times New Roman"/>
          <w:sz w:val="24"/>
          <w:szCs w:val="24"/>
        </w:rPr>
        <w:t>) postępuje(-ją) zgodnie z postanowieniami rozporządzenia Parlamentu Europejskiego i Rady (UE) 2</w:t>
      </w:r>
      <w:r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</w:t>
      </w:r>
      <w:r>
        <w:rPr>
          <w:rFonts w:ascii="Times New Roman" w:eastAsia="Calibri" w:hAnsi="Times New Roman" w:cs="Times New Roman"/>
          <w:sz w:val="24"/>
          <w:szCs w:val="24"/>
        </w:rPr>
        <w:t>danych oraz uchylenia dyrektywy </w:t>
      </w:r>
      <w:r w:rsidRPr="00054C92">
        <w:rPr>
          <w:rFonts w:ascii="Times New Roman" w:eastAsia="Calibri" w:hAnsi="Times New Roman" w:cs="Times New Roman"/>
          <w:sz w:val="24"/>
          <w:szCs w:val="24"/>
        </w:rPr>
        <w:t>95/46/WE (ogólnego rozporządzenia o ochronie danych (Dz. Urz. UE L 119 z 04.05.2016 r., str. 1), zwanym dalej RODO.</w:t>
      </w:r>
    </w:p>
    <w:p w:rsidR="00BE28A1" w:rsidRPr="00054C92" w:rsidRDefault="00BE28A1" w:rsidP="00BE28A1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p w:rsidR="00F6761D" w:rsidRDefault="00F6761D"/>
    <w:sectPr w:rsidR="00F6761D" w:rsidSect="00491C72">
      <w:footerReference w:type="even" r:id="rId11"/>
      <w:footerReference w:type="default" r:id="rId12"/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6D" w:rsidRDefault="00227E9D">
      <w:pPr>
        <w:spacing w:after="0" w:line="240" w:lineRule="auto"/>
      </w:pPr>
      <w:r>
        <w:separator/>
      </w:r>
    </w:p>
  </w:endnote>
  <w:endnote w:type="continuationSeparator" w:id="0">
    <w:p w:rsidR="00A4296D" w:rsidRDefault="0022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BE28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C41D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BE28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DC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E4BC1" w:rsidRDefault="00C41D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6D" w:rsidRDefault="00227E9D">
      <w:pPr>
        <w:spacing w:after="0" w:line="240" w:lineRule="auto"/>
      </w:pPr>
      <w:r>
        <w:separator/>
      </w:r>
    </w:p>
  </w:footnote>
  <w:footnote w:type="continuationSeparator" w:id="0">
    <w:p w:rsidR="00A4296D" w:rsidRDefault="0022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F4683E"/>
    <w:multiLevelType w:val="multilevel"/>
    <w:tmpl w:val="337C7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AD78E5"/>
    <w:multiLevelType w:val="hybridMultilevel"/>
    <w:tmpl w:val="427E70A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8" w15:restartNumberingAfterBreak="0">
    <w:nsid w:val="5686234A"/>
    <w:multiLevelType w:val="multilevel"/>
    <w:tmpl w:val="13446A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9"/>
  </w:num>
  <w:num w:numId="5">
    <w:abstractNumId w:val="35"/>
  </w:num>
  <w:num w:numId="6">
    <w:abstractNumId w:val="18"/>
  </w:num>
  <w:num w:numId="7">
    <w:abstractNumId w:val="32"/>
  </w:num>
  <w:num w:numId="8">
    <w:abstractNumId w:val="27"/>
  </w:num>
  <w:num w:numId="9">
    <w:abstractNumId w:val="23"/>
  </w:num>
  <w:num w:numId="10">
    <w:abstractNumId w:val="17"/>
  </w:num>
  <w:num w:numId="11">
    <w:abstractNumId w:val="13"/>
  </w:num>
  <w:num w:numId="12">
    <w:abstractNumId w:val="12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29"/>
  </w:num>
  <w:num w:numId="19">
    <w:abstractNumId w:val="8"/>
  </w:num>
  <w:num w:numId="20">
    <w:abstractNumId w:val="33"/>
  </w:num>
  <w:num w:numId="21">
    <w:abstractNumId w:val="34"/>
  </w:num>
  <w:num w:numId="22">
    <w:abstractNumId w:val="10"/>
  </w:num>
  <w:num w:numId="23">
    <w:abstractNumId w:val="7"/>
  </w:num>
  <w:num w:numId="24">
    <w:abstractNumId w:val="30"/>
  </w:num>
  <w:num w:numId="25">
    <w:abstractNumId w:val="2"/>
  </w:num>
  <w:num w:numId="26">
    <w:abstractNumId w:val="26"/>
  </w:num>
  <w:num w:numId="27">
    <w:abstractNumId w:val="1"/>
  </w:num>
  <w:num w:numId="28">
    <w:abstractNumId w:val="28"/>
  </w:num>
  <w:num w:numId="29">
    <w:abstractNumId w:val="24"/>
  </w:num>
  <w:num w:numId="30">
    <w:abstractNumId w:val="14"/>
  </w:num>
  <w:num w:numId="31">
    <w:abstractNumId w:val="31"/>
  </w:num>
  <w:num w:numId="32">
    <w:abstractNumId w:val="22"/>
  </w:num>
  <w:num w:numId="33">
    <w:abstractNumId w:val="19"/>
  </w:num>
  <w:num w:numId="34">
    <w:abstractNumId w:val="20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A1"/>
    <w:rsid w:val="00227E9D"/>
    <w:rsid w:val="00A4296D"/>
    <w:rsid w:val="00B8591C"/>
    <w:rsid w:val="00BE28A1"/>
    <w:rsid w:val="00C41DCB"/>
    <w:rsid w:val="00F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C539"/>
  <w15:chartTrackingRefBased/>
  <w15:docId w15:val="{312C5016-0E2B-4A9D-94F2-190D7347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8A1"/>
  </w:style>
  <w:style w:type="character" w:styleId="Numerstrony">
    <w:name w:val="page number"/>
    <w:basedOn w:val="Domylnaczcionkaakapitu"/>
    <w:semiHidden/>
    <w:rsid w:val="00BE28A1"/>
  </w:style>
  <w:style w:type="paragraph" w:styleId="Akapitzlist">
    <w:name w:val="List Paragraph"/>
    <w:basedOn w:val="Normalny"/>
    <w:uiPriority w:val="34"/>
    <w:qFormat/>
    <w:rsid w:val="00BE28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8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8A1"/>
  </w:style>
  <w:style w:type="paragraph" w:styleId="Tekstdymka">
    <w:name w:val="Balloon Text"/>
    <w:basedOn w:val="Normalny"/>
    <w:link w:val="TekstdymkaZnak"/>
    <w:uiPriority w:val="99"/>
    <w:semiHidden/>
    <w:unhideWhenUsed/>
    <w:rsid w:val="00C4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6170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2021-02-08T13:29:00Z</cp:lastPrinted>
  <dcterms:created xsi:type="dcterms:W3CDTF">2021-02-04T13:31:00Z</dcterms:created>
  <dcterms:modified xsi:type="dcterms:W3CDTF">2021-02-08T13:29:00Z</dcterms:modified>
</cp:coreProperties>
</file>