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4C882CD6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D297F">
        <w:rPr>
          <w:rFonts w:ascii="Arial" w:hAnsi="Arial" w:cs="Arial"/>
          <w:color w:val="000000" w:themeColor="text1"/>
          <w:sz w:val="28"/>
          <w:szCs w:val="28"/>
        </w:rPr>
        <w:t>7 października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9027A6D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9D297F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D80D7E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0</w:t>
      </w:r>
    </w:p>
    <w:p w14:paraId="275F527D" w14:textId="7BEB3B50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9D297F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303469" w:rsidRPr="00303469">
        <w:rPr>
          <w:rFonts w:ascii="Arial" w:hAnsi="Arial" w:cs="Arial"/>
          <w:bCs/>
          <w:color w:val="000000" w:themeColor="text1"/>
          <w:sz w:val="28"/>
          <w:szCs w:val="28"/>
        </w:rPr>
        <w:t>1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589CB9B3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Na podstawie art. 10 paragraf 1 ustawy z dnia 14 czerwca 1960 r. – Kodeks postępowania administracyjnego (Dziennik Ustaw z 2021 r. poz. 735)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05076182" w:rsidR="00303469" w:rsidRPr="00303469" w:rsidRDefault="00303469" w:rsidP="00303469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o zakończeniu postępowania rozpoznawczego w sprawie o sygn. akt KR VI R </w:t>
      </w:r>
      <w:r w:rsidR="009D297F">
        <w:rPr>
          <w:rFonts w:ascii="Arial" w:eastAsia="Calibri" w:hAnsi="Arial" w:cs="Arial"/>
          <w:sz w:val="28"/>
          <w:szCs w:val="28"/>
          <w:lang w:eastAsia="en-US"/>
        </w:rPr>
        <w:t>6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20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>decyzji Prezydenta m.st. Warszawy z dnia 1</w:t>
      </w:r>
      <w:r w:rsidR="009D297F">
        <w:rPr>
          <w:rStyle w:val="FontStyle11"/>
          <w:rFonts w:ascii="Arial" w:hAnsi="Arial" w:cs="Arial"/>
          <w:sz w:val="28"/>
          <w:szCs w:val="28"/>
        </w:rPr>
        <w:t>4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stycznia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2008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</w:t>
      </w:r>
      <w:r w:rsidR="009D297F">
        <w:rPr>
          <w:rStyle w:val="FontStyle11"/>
          <w:rFonts w:ascii="Arial" w:hAnsi="Arial" w:cs="Arial"/>
          <w:sz w:val="28"/>
          <w:szCs w:val="28"/>
        </w:rPr>
        <w:t>6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2008, </w:t>
      </w:r>
      <w:r w:rsidRPr="00303469">
        <w:rPr>
          <w:rStyle w:val="FontStyle11"/>
          <w:rFonts w:ascii="Arial" w:hAnsi="Arial" w:cs="Arial"/>
          <w:sz w:val="28"/>
          <w:szCs w:val="28"/>
        </w:rPr>
        <w:lastRenderedPageBreak/>
        <w:t>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Pr="00303469">
        <w:rPr>
          <w:rStyle w:val="FontStyle11"/>
          <w:rFonts w:ascii="Arial" w:hAnsi="Arial" w:cs="Arial"/>
          <w:sz w:val="28"/>
          <w:szCs w:val="28"/>
        </w:rPr>
        <w:t>Nieborowskiej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11, stanowiącej działkę ewidencyjną nr </w:t>
      </w:r>
      <w:r w:rsidR="009D297F">
        <w:rPr>
          <w:rStyle w:val="FontStyle11"/>
          <w:rFonts w:ascii="Arial" w:hAnsi="Arial" w:cs="Arial"/>
          <w:sz w:val="28"/>
          <w:szCs w:val="28"/>
        </w:rPr>
        <w:t xml:space="preserve">36, </w:t>
      </w:r>
      <w:r w:rsidRPr="00303469">
        <w:rPr>
          <w:rStyle w:val="FontStyle11"/>
          <w:rFonts w:ascii="Arial" w:hAnsi="Arial" w:cs="Arial"/>
          <w:sz w:val="28"/>
          <w:szCs w:val="28"/>
        </w:rPr>
        <w:t>obręb 2-02-07</w:t>
      </w:r>
      <w:r w:rsidRPr="00303469">
        <w:rPr>
          <w:rFonts w:ascii="Arial" w:hAnsi="Arial" w:cs="Arial"/>
          <w:b/>
          <w:sz w:val="28"/>
          <w:szCs w:val="28"/>
        </w:rPr>
        <w:t>.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732645"/>
    <w:rsid w:val="00765FD4"/>
    <w:rsid w:val="00784956"/>
    <w:rsid w:val="00994608"/>
    <w:rsid w:val="009A5EAA"/>
    <w:rsid w:val="009A779F"/>
    <w:rsid w:val="009D297F"/>
    <w:rsid w:val="00AC0D39"/>
    <w:rsid w:val="00D52587"/>
    <w:rsid w:val="00D56F18"/>
    <w:rsid w:val="00D80D7E"/>
    <w:rsid w:val="00E172A2"/>
    <w:rsid w:val="00EE53F0"/>
    <w:rsid w:val="00F22269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16</cp:revision>
  <dcterms:created xsi:type="dcterms:W3CDTF">2022-04-08T07:01:00Z</dcterms:created>
  <dcterms:modified xsi:type="dcterms:W3CDTF">2022-10-07T09:55:00Z</dcterms:modified>
</cp:coreProperties>
</file>