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4832" w:type="dxa"/>
        <w:tblLayout w:type="fixed"/>
        <w:tblLook w:val="04A0" w:firstRow="1" w:lastRow="0" w:firstColumn="1" w:lastColumn="0" w:noHBand="0" w:noVBand="1"/>
      </w:tblPr>
      <w:tblGrid>
        <w:gridCol w:w="846"/>
        <w:gridCol w:w="1512"/>
        <w:gridCol w:w="1275"/>
        <w:gridCol w:w="5954"/>
        <w:gridCol w:w="5245"/>
      </w:tblGrid>
      <w:tr w:rsidR="00EA4BDA" w:rsidRPr="00EA4BDA" w14:paraId="7CDECF42" w14:textId="77777777" w:rsidTr="00C36C04">
        <w:tc>
          <w:tcPr>
            <w:tcW w:w="14832" w:type="dxa"/>
            <w:gridSpan w:val="5"/>
            <w:shd w:val="clear" w:color="auto" w:fill="auto"/>
          </w:tcPr>
          <w:p w14:paraId="562511FA" w14:textId="77777777" w:rsidR="00A75D15" w:rsidRPr="00EA4BDA" w:rsidRDefault="00A75D15" w:rsidP="00C36C04">
            <w:pPr>
              <w:spacing w:line="276" w:lineRule="auto"/>
              <w:jc w:val="center"/>
              <w:rPr>
                <w:rFonts w:cstheme="minorHAnsi"/>
                <w:b/>
              </w:rPr>
            </w:pPr>
            <w:r w:rsidRPr="00EA4BDA">
              <w:rPr>
                <w:rFonts w:cstheme="minorHAnsi"/>
                <w:b/>
              </w:rPr>
              <w:t>Tabela uwag</w:t>
            </w:r>
          </w:p>
          <w:p w14:paraId="7258C07B" w14:textId="51DD16E8" w:rsidR="00A75D15" w:rsidRPr="00EA4BDA" w:rsidRDefault="00A941EC" w:rsidP="00C36C04">
            <w:pPr>
              <w:spacing w:line="276" w:lineRule="auto"/>
              <w:jc w:val="center"/>
              <w:rPr>
                <w:rFonts w:cstheme="minorHAnsi"/>
                <w:b/>
              </w:rPr>
            </w:pPr>
            <w:r w:rsidRPr="00EA4BDA">
              <w:rPr>
                <w:rFonts w:cstheme="minorHAnsi"/>
                <w:b/>
              </w:rPr>
              <w:t>zgłoszonych</w:t>
            </w:r>
            <w:r w:rsidR="00A75D15" w:rsidRPr="00EA4BDA">
              <w:rPr>
                <w:rFonts w:cstheme="minorHAnsi"/>
                <w:b/>
              </w:rPr>
              <w:t xml:space="preserve"> w ramach uzgodnień</w:t>
            </w:r>
          </w:p>
          <w:p w14:paraId="54BD4A78" w14:textId="710E75AB" w:rsidR="00B7452C" w:rsidRPr="00EA4BDA" w:rsidRDefault="00A941EC" w:rsidP="00C36C04">
            <w:pPr>
              <w:spacing w:line="276" w:lineRule="auto"/>
              <w:jc w:val="center"/>
              <w:rPr>
                <w:rFonts w:cstheme="minorHAnsi"/>
                <w:b/>
              </w:rPr>
            </w:pPr>
            <w:r w:rsidRPr="00EA4BDA">
              <w:rPr>
                <w:rFonts w:cstheme="minorHAnsi"/>
                <w:b/>
              </w:rPr>
              <w:t xml:space="preserve">do </w:t>
            </w:r>
            <w:r w:rsidR="00A615A4" w:rsidRPr="00EA4BDA">
              <w:rPr>
                <w:rFonts w:cstheme="minorHAnsi"/>
                <w:b/>
              </w:rPr>
              <w:t xml:space="preserve">projektu ustawy </w:t>
            </w:r>
            <w:r w:rsidR="00D12111" w:rsidRPr="00EA4BDA">
              <w:rPr>
                <w:rFonts w:cstheme="minorHAnsi"/>
                <w:b/>
              </w:rPr>
              <w:t xml:space="preserve">o zmianie </w:t>
            </w:r>
            <w:r w:rsidR="0016567F" w:rsidRPr="00EA4BDA">
              <w:rPr>
                <w:rFonts w:cstheme="minorHAnsi"/>
                <w:b/>
              </w:rPr>
              <w:t>ustawy – Prawo restrukturyzacyjne oraz niektórych innych ustaw</w:t>
            </w:r>
          </w:p>
        </w:tc>
      </w:tr>
      <w:tr w:rsidR="00EA4BDA" w:rsidRPr="00EA4BDA" w14:paraId="770ED333" w14:textId="77777777" w:rsidTr="00C36C04">
        <w:tc>
          <w:tcPr>
            <w:tcW w:w="846" w:type="dxa"/>
            <w:shd w:val="clear" w:color="auto" w:fill="E7E6E6" w:themeFill="background2"/>
          </w:tcPr>
          <w:p w14:paraId="0AC205E0" w14:textId="77777777" w:rsidR="00D5337F" w:rsidRPr="00EA4BDA" w:rsidRDefault="00D5337F" w:rsidP="00C36C04">
            <w:pPr>
              <w:spacing w:line="276" w:lineRule="auto"/>
              <w:rPr>
                <w:rFonts w:cstheme="minorHAnsi"/>
                <w:b/>
              </w:rPr>
            </w:pPr>
            <w:r w:rsidRPr="00EA4BDA">
              <w:rPr>
                <w:rFonts w:cstheme="minorHAnsi"/>
              </w:rPr>
              <w:t>lp.</w:t>
            </w:r>
          </w:p>
        </w:tc>
        <w:tc>
          <w:tcPr>
            <w:tcW w:w="1512" w:type="dxa"/>
            <w:shd w:val="clear" w:color="auto" w:fill="E7E6E6" w:themeFill="background2"/>
          </w:tcPr>
          <w:p w14:paraId="50680F42" w14:textId="57FE80E4" w:rsidR="00D5337F" w:rsidRPr="00EA4BDA" w:rsidRDefault="00D5337F" w:rsidP="00C36C04">
            <w:pPr>
              <w:spacing w:line="276" w:lineRule="auto"/>
              <w:rPr>
                <w:rFonts w:cstheme="minorHAnsi"/>
                <w:b/>
              </w:rPr>
            </w:pPr>
            <w:r w:rsidRPr="00EA4BDA">
              <w:rPr>
                <w:rFonts w:cstheme="minorHAnsi"/>
                <w:b/>
              </w:rPr>
              <w:t xml:space="preserve">Podmiot </w:t>
            </w:r>
            <w:r w:rsidR="00D12111" w:rsidRPr="00EA4BDA">
              <w:rPr>
                <w:rFonts w:cstheme="minorHAnsi"/>
                <w:b/>
              </w:rPr>
              <w:t xml:space="preserve">zgłaszający </w:t>
            </w:r>
            <w:r w:rsidRPr="00EA4BDA">
              <w:rPr>
                <w:rFonts w:cstheme="minorHAnsi"/>
                <w:b/>
              </w:rPr>
              <w:t>uwagi</w:t>
            </w:r>
          </w:p>
        </w:tc>
        <w:tc>
          <w:tcPr>
            <w:tcW w:w="1275" w:type="dxa"/>
            <w:shd w:val="clear" w:color="auto" w:fill="E7E6E6" w:themeFill="background2"/>
          </w:tcPr>
          <w:p w14:paraId="431E293F" w14:textId="59A38DE2" w:rsidR="00D5337F" w:rsidRPr="00EA4BDA" w:rsidRDefault="00D5337F" w:rsidP="00C36C04">
            <w:pPr>
              <w:spacing w:line="276" w:lineRule="auto"/>
              <w:rPr>
                <w:rFonts w:cstheme="minorHAnsi"/>
                <w:b/>
              </w:rPr>
            </w:pPr>
            <w:r w:rsidRPr="00EA4BDA">
              <w:rPr>
                <w:rFonts w:cstheme="minorHAnsi"/>
                <w:b/>
              </w:rPr>
              <w:t>Jednostka redakcyjna</w:t>
            </w:r>
          </w:p>
        </w:tc>
        <w:tc>
          <w:tcPr>
            <w:tcW w:w="5954" w:type="dxa"/>
            <w:shd w:val="clear" w:color="auto" w:fill="E7E6E6" w:themeFill="background2"/>
          </w:tcPr>
          <w:p w14:paraId="772140A8" w14:textId="77777777" w:rsidR="00D5337F" w:rsidRPr="00EA4BDA" w:rsidRDefault="00D5337F" w:rsidP="00C36C04">
            <w:pPr>
              <w:spacing w:line="276" w:lineRule="auto"/>
              <w:rPr>
                <w:rFonts w:cstheme="minorHAnsi"/>
                <w:b/>
              </w:rPr>
            </w:pPr>
            <w:r w:rsidRPr="00EA4BDA">
              <w:rPr>
                <w:rFonts w:cstheme="minorHAnsi"/>
                <w:b/>
              </w:rPr>
              <w:t>Zgłoszone uwagi</w:t>
            </w:r>
          </w:p>
        </w:tc>
        <w:tc>
          <w:tcPr>
            <w:tcW w:w="5245" w:type="dxa"/>
            <w:shd w:val="clear" w:color="auto" w:fill="E7E6E6" w:themeFill="background2"/>
          </w:tcPr>
          <w:p w14:paraId="51BA6704" w14:textId="7286F5E2" w:rsidR="00D5337F" w:rsidRPr="00EA4BDA" w:rsidRDefault="00C21C84" w:rsidP="00C36C04">
            <w:pPr>
              <w:spacing w:line="276" w:lineRule="auto"/>
              <w:rPr>
                <w:rFonts w:cstheme="minorHAnsi"/>
                <w:b/>
              </w:rPr>
            </w:pPr>
            <w:r w:rsidRPr="00EA4BDA">
              <w:rPr>
                <w:rFonts w:cstheme="minorHAnsi"/>
                <w:b/>
              </w:rPr>
              <w:t>Stanowisko</w:t>
            </w:r>
            <w:r w:rsidR="00D12111" w:rsidRPr="00EA4BDA">
              <w:rPr>
                <w:rFonts w:cstheme="minorHAnsi"/>
                <w:b/>
              </w:rPr>
              <w:t xml:space="preserve"> projektodawcy</w:t>
            </w:r>
          </w:p>
        </w:tc>
      </w:tr>
      <w:tr w:rsidR="00EA4BDA" w:rsidRPr="00EA4BDA" w14:paraId="13359F10" w14:textId="77777777" w:rsidTr="00C36C04">
        <w:tc>
          <w:tcPr>
            <w:tcW w:w="846" w:type="dxa"/>
          </w:tcPr>
          <w:p w14:paraId="6D8BBDDE" w14:textId="77777777" w:rsidR="007C4664" w:rsidRPr="00EA4BDA" w:rsidRDefault="007C4664" w:rsidP="00C36C04">
            <w:pPr>
              <w:pStyle w:val="Akapitzlist"/>
              <w:numPr>
                <w:ilvl w:val="0"/>
                <w:numId w:val="32"/>
              </w:numPr>
              <w:spacing w:line="276" w:lineRule="auto"/>
              <w:rPr>
                <w:rFonts w:asciiTheme="minorHAnsi" w:hAnsiTheme="minorHAnsi" w:cstheme="minorHAnsi"/>
              </w:rPr>
            </w:pPr>
          </w:p>
        </w:tc>
        <w:tc>
          <w:tcPr>
            <w:tcW w:w="1512" w:type="dxa"/>
          </w:tcPr>
          <w:p w14:paraId="24FFD5BA" w14:textId="6D430759" w:rsidR="007C4664" w:rsidRPr="00EA4BDA" w:rsidRDefault="007C4664" w:rsidP="00C36C04">
            <w:pPr>
              <w:spacing w:line="276" w:lineRule="auto"/>
              <w:rPr>
                <w:rFonts w:cstheme="minorHAnsi"/>
                <w:b/>
              </w:rPr>
            </w:pPr>
            <w:r w:rsidRPr="00EA4BDA">
              <w:rPr>
                <w:rFonts w:cstheme="minorHAnsi"/>
                <w:b/>
              </w:rPr>
              <w:t>Minister Cyfryzacji</w:t>
            </w:r>
          </w:p>
        </w:tc>
        <w:tc>
          <w:tcPr>
            <w:tcW w:w="1275" w:type="dxa"/>
          </w:tcPr>
          <w:p w14:paraId="05B6FF97" w14:textId="69928578" w:rsidR="007C4664" w:rsidRPr="00EA4BDA" w:rsidRDefault="007C4664" w:rsidP="00C36C04">
            <w:pPr>
              <w:spacing w:line="276" w:lineRule="auto"/>
              <w:rPr>
                <w:rFonts w:cstheme="minorHAnsi"/>
                <w:b/>
              </w:rPr>
            </w:pPr>
            <w:r w:rsidRPr="00EA4BDA">
              <w:rPr>
                <w:rFonts w:cstheme="minorHAnsi"/>
                <w:b/>
              </w:rPr>
              <w:t>art. 1 pkt 5 lit. a (projektowany art. 10 ust. 1 pkt 8b i 8c Prawa restrukturyzacyjnego)</w:t>
            </w:r>
          </w:p>
        </w:tc>
        <w:tc>
          <w:tcPr>
            <w:tcW w:w="5954" w:type="dxa"/>
          </w:tcPr>
          <w:p w14:paraId="5877EE1D" w14:textId="6ED0991F" w:rsidR="007C4664" w:rsidRPr="00EA4BDA" w:rsidRDefault="007C4664" w:rsidP="007C4664">
            <w:pPr>
              <w:autoSpaceDE w:val="0"/>
              <w:autoSpaceDN w:val="0"/>
              <w:adjustRightInd w:val="0"/>
              <w:jc w:val="both"/>
              <w:rPr>
                <w:rFonts w:cstheme="minorHAnsi"/>
              </w:rPr>
            </w:pPr>
            <w:r w:rsidRPr="00EA4BDA">
              <w:rPr>
                <w:rFonts w:cstheme="minorHAnsi"/>
              </w:rPr>
              <w:t>Projektodawca powinien precyzyjnie określić, o jakie konkretnie dane osobowe chodzi w przypadku osób fizycznych, w myśl zasady przejrzystości oraz zasady minimalizacji danych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(art. 5 ust. 1 lit. a i c). Jeżeli katalog tych danych osobowych jest określony w odrębnych przepisach to należy je wskazać w projektowanym przepisie.</w:t>
            </w:r>
          </w:p>
        </w:tc>
        <w:tc>
          <w:tcPr>
            <w:tcW w:w="5245" w:type="dxa"/>
          </w:tcPr>
          <w:p w14:paraId="51A8BF31" w14:textId="77777777" w:rsidR="00D4163E" w:rsidRPr="00D4163E" w:rsidRDefault="002A1A4C" w:rsidP="00D4163E">
            <w:pPr>
              <w:spacing w:line="276" w:lineRule="auto"/>
              <w:jc w:val="both"/>
              <w:rPr>
                <w:rFonts w:cstheme="minorHAnsi"/>
              </w:rPr>
            </w:pPr>
            <w:r w:rsidRPr="00D4163E">
              <w:rPr>
                <w:rFonts w:cstheme="minorHAnsi"/>
              </w:rPr>
              <w:t xml:space="preserve">Uwaga uwzględniona. </w:t>
            </w:r>
            <w:r w:rsidR="00D4163E" w:rsidRPr="00D4163E">
              <w:rPr>
                <w:rFonts w:cstheme="minorHAnsi"/>
              </w:rPr>
              <w:t>Proponuje się nadać projektowanym art. 10 ust. 1 pkt 8b i 8c Prawa restrukturyzacyjnego</w:t>
            </w:r>
          </w:p>
          <w:p w14:paraId="51BB98D6" w14:textId="77777777" w:rsidR="00D4163E" w:rsidRPr="00D4163E" w:rsidRDefault="00D4163E" w:rsidP="00D4163E">
            <w:pPr>
              <w:spacing w:line="276" w:lineRule="auto"/>
              <w:jc w:val="both"/>
              <w:rPr>
                <w:rFonts w:cstheme="minorHAnsi"/>
              </w:rPr>
            </w:pPr>
            <w:r w:rsidRPr="00D4163E">
              <w:rPr>
                <w:rFonts w:cstheme="minorHAnsi"/>
              </w:rPr>
              <w:t>następujące brzmienie:</w:t>
            </w:r>
          </w:p>
          <w:p w14:paraId="24E32202" w14:textId="77777777" w:rsidR="00D4163E" w:rsidRPr="00D4163E" w:rsidRDefault="00D4163E" w:rsidP="00D4163E">
            <w:pPr>
              <w:spacing w:line="276" w:lineRule="auto"/>
              <w:jc w:val="both"/>
              <w:rPr>
                <w:rFonts w:cstheme="minorHAnsi"/>
              </w:rPr>
            </w:pPr>
            <w:r w:rsidRPr="00D4163E">
              <w:rPr>
                <w:rFonts w:cstheme="minorHAnsi"/>
              </w:rPr>
              <w:t>„8b) informację o wierzycielach, którzy będą objęci układem, z podaniem imienia</w:t>
            </w:r>
          </w:p>
          <w:p w14:paraId="389C7F84" w14:textId="77777777" w:rsidR="00D4163E" w:rsidRPr="00D4163E" w:rsidRDefault="00D4163E" w:rsidP="00D4163E">
            <w:pPr>
              <w:spacing w:line="276" w:lineRule="auto"/>
              <w:jc w:val="both"/>
              <w:rPr>
                <w:rFonts w:cstheme="minorHAnsi"/>
              </w:rPr>
            </w:pPr>
            <w:r w:rsidRPr="00D4163E">
              <w:rPr>
                <w:rFonts w:cstheme="minorHAnsi"/>
              </w:rPr>
              <w:t>i nazwiska albo nazwy każdego z nich, wraz z wysokością przysługujących</w:t>
            </w:r>
          </w:p>
          <w:p w14:paraId="66D4CE28" w14:textId="77777777" w:rsidR="00D4163E" w:rsidRPr="00D4163E" w:rsidRDefault="00D4163E" w:rsidP="00D4163E">
            <w:pPr>
              <w:spacing w:line="276" w:lineRule="auto"/>
              <w:jc w:val="both"/>
              <w:rPr>
                <w:rFonts w:cstheme="minorHAnsi"/>
              </w:rPr>
            </w:pPr>
            <w:r w:rsidRPr="00D4163E">
              <w:rPr>
                <w:rFonts w:cstheme="minorHAnsi"/>
              </w:rPr>
              <w:t>im wierzytelności oraz wskazaniem grup do których należą, jeżeli przewidziano taki</w:t>
            </w:r>
          </w:p>
          <w:p w14:paraId="0CF5C141" w14:textId="77777777" w:rsidR="00D4163E" w:rsidRPr="00D4163E" w:rsidRDefault="00D4163E" w:rsidP="00D4163E">
            <w:pPr>
              <w:spacing w:line="276" w:lineRule="auto"/>
              <w:jc w:val="both"/>
              <w:rPr>
                <w:rFonts w:cstheme="minorHAnsi"/>
              </w:rPr>
            </w:pPr>
            <w:r w:rsidRPr="00D4163E">
              <w:rPr>
                <w:rFonts w:cstheme="minorHAnsi"/>
              </w:rPr>
              <w:t>podział;</w:t>
            </w:r>
          </w:p>
          <w:p w14:paraId="4B03A398" w14:textId="77777777" w:rsidR="00D4163E" w:rsidRPr="00D4163E" w:rsidRDefault="00D4163E" w:rsidP="00D4163E">
            <w:pPr>
              <w:spacing w:line="276" w:lineRule="auto"/>
              <w:jc w:val="both"/>
              <w:rPr>
                <w:rFonts w:cstheme="minorHAnsi"/>
              </w:rPr>
            </w:pPr>
            <w:r w:rsidRPr="00D4163E">
              <w:rPr>
                <w:rFonts w:cstheme="minorHAnsi"/>
              </w:rPr>
              <w:t>8c) informację o wspólnikach lub akcjonariuszach dłużnika, z podaniem imienia i nazwiska</w:t>
            </w:r>
          </w:p>
          <w:p w14:paraId="0BF6B976" w14:textId="65A7D4E9" w:rsidR="007C4664" w:rsidRPr="00EA4BDA" w:rsidRDefault="00D4163E" w:rsidP="00D4163E">
            <w:pPr>
              <w:spacing w:line="276" w:lineRule="auto"/>
              <w:jc w:val="both"/>
              <w:rPr>
                <w:rFonts w:cstheme="minorHAnsi"/>
              </w:rPr>
            </w:pPr>
            <w:r w:rsidRPr="00D4163E">
              <w:rPr>
                <w:rFonts w:cstheme="minorHAnsi"/>
              </w:rPr>
              <w:t>albo nazwy każdego z nich, wraz ze wskazaniem przysługujących im udziałów lub akcji;”</w:t>
            </w:r>
          </w:p>
        </w:tc>
      </w:tr>
      <w:tr w:rsidR="00EA4BDA" w:rsidRPr="00EA4BDA" w14:paraId="0F420CEC" w14:textId="77777777" w:rsidTr="00C36C04">
        <w:tc>
          <w:tcPr>
            <w:tcW w:w="846" w:type="dxa"/>
          </w:tcPr>
          <w:p w14:paraId="4E597D02" w14:textId="77777777" w:rsidR="00F45C59" w:rsidRPr="00EA4BDA" w:rsidRDefault="00F45C59" w:rsidP="00C36C04">
            <w:pPr>
              <w:pStyle w:val="Akapitzlist"/>
              <w:numPr>
                <w:ilvl w:val="0"/>
                <w:numId w:val="32"/>
              </w:numPr>
              <w:spacing w:line="276" w:lineRule="auto"/>
              <w:rPr>
                <w:rFonts w:asciiTheme="minorHAnsi" w:hAnsiTheme="minorHAnsi" w:cstheme="minorHAnsi"/>
              </w:rPr>
            </w:pPr>
          </w:p>
        </w:tc>
        <w:tc>
          <w:tcPr>
            <w:tcW w:w="1512" w:type="dxa"/>
          </w:tcPr>
          <w:p w14:paraId="5A1DA43F" w14:textId="2FB8742D" w:rsidR="00F45C59" w:rsidRPr="00EA4BDA" w:rsidRDefault="00A917CB" w:rsidP="00C36C04">
            <w:pPr>
              <w:spacing w:line="276" w:lineRule="auto"/>
              <w:rPr>
                <w:rFonts w:cstheme="minorHAnsi"/>
                <w:b/>
              </w:rPr>
            </w:pPr>
            <w:r w:rsidRPr="00EA4BDA">
              <w:rPr>
                <w:rFonts w:cstheme="minorHAnsi"/>
                <w:b/>
              </w:rPr>
              <w:t>Minister Obrony Narodowej</w:t>
            </w:r>
          </w:p>
        </w:tc>
        <w:tc>
          <w:tcPr>
            <w:tcW w:w="1275" w:type="dxa"/>
          </w:tcPr>
          <w:p w14:paraId="3E32DBA7" w14:textId="2D414E44" w:rsidR="00F45C59" w:rsidRPr="00EA4BDA" w:rsidRDefault="00A917CB" w:rsidP="00C36C04">
            <w:pPr>
              <w:spacing w:line="276" w:lineRule="auto"/>
              <w:rPr>
                <w:rFonts w:cstheme="minorHAnsi"/>
                <w:b/>
              </w:rPr>
            </w:pPr>
            <w:r w:rsidRPr="00EA4BDA">
              <w:rPr>
                <w:rFonts w:cstheme="minorHAnsi"/>
                <w:b/>
              </w:rPr>
              <w:t>1 pkt 14 lit. a</w:t>
            </w:r>
          </w:p>
        </w:tc>
        <w:tc>
          <w:tcPr>
            <w:tcW w:w="5954" w:type="dxa"/>
          </w:tcPr>
          <w:p w14:paraId="486276E6" w14:textId="7ED85810" w:rsidR="00A917CB" w:rsidRPr="00EA4BDA" w:rsidRDefault="00A917CB" w:rsidP="00A917CB">
            <w:pPr>
              <w:autoSpaceDE w:val="0"/>
              <w:autoSpaceDN w:val="0"/>
              <w:adjustRightInd w:val="0"/>
              <w:jc w:val="both"/>
              <w:rPr>
                <w:rFonts w:cstheme="minorHAnsi"/>
              </w:rPr>
            </w:pPr>
            <w:r w:rsidRPr="00EA4BDA">
              <w:rPr>
                <w:rFonts w:cstheme="minorHAnsi"/>
              </w:rPr>
              <w:t>Proponuje się w art. 1 pkt 14 lit. a projektu ustawy nadać następujące brzmienie art. 38 ust. 1c pkt 3 ustawy z dnia 15 maja 2015 r. – Prawo restrukturyzacyjne (Dz. U. z 2021 r. poz. 1588 i 2140 oraz z 2022 r. poz. 655):</w:t>
            </w:r>
          </w:p>
          <w:p w14:paraId="39123E0A" w14:textId="1AE5F995" w:rsidR="00A917CB" w:rsidRPr="00EA4BDA" w:rsidRDefault="00A917CB" w:rsidP="00A917CB">
            <w:pPr>
              <w:autoSpaceDE w:val="0"/>
              <w:autoSpaceDN w:val="0"/>
              <w:adjustRightInd w:val="0"/>
              <w:jc w:val="both"/>
              <w:rPr>
                <w:rFonts w:cstheme="minorHAnsi"/>
              </w:rPr>
            </w:pPr>
            <w:r w:rsidRPr="00EA4BDA">
              <w:rPr>
                <w:rFonts w:cstheme="minorHAnsi"/>
              </w:rPr>
              <w:t>„3) przedsiębiorcy, na którego Minister Obrony Narodowej decyzją administracyjną nałożył zadania określone w dokumencie, o którym mowa w art. 651 ustawy z dnia 11 marca 2022 r. o obronie Ojczyzny (Dz. U. z poz. 2305 oraz z 2023 r. poz. 347 i 641);”.</w:t>
            </w:r>
          </w:p>
          <w:p w14:paraId="40217C8B" w14:textId="0DDDA8FB" w:rsidR="00F45C59" w:rsidRPr="00EA4BDA" w:rsidRDefault="00A917CB" w:rsidP="00A917CB">
            <w:pPr>
              <w:autoSpaceDE w:val="0"/>
              <w:autoSpaceDN w:val="0"/>
              <w:adjustRightInd w:val="0"/>
              <w:jc w:val="both"/>
              <w:rPr>
                <w:rFonts w:cstheme="minorHAnsi"/>
              </w:rPr>
            </w:pPr>
            <w:r w:rsidRPr="00EA4BDA">
              <w:rPr>
                <w:rFonts w:cstheme="minorHAnsi"/>
              </w:rPr>
              <w:t xml:space="preserve">Zgodnie z przedłożonym do uzgodnień projektem, szczególne rozwiązania w zakresie wyznaczania osoby do pełnienia funkcji nadzorcy sądowego przez sąd w postanowieniu o otwarciu </w:t>
            </w:r>
            <w:r w:rsidRPr="00EA4BDA">
              <w:rPr>
                <w:rFonts w:cstheme="minorHAnsi"/>
              </w:rPr>
              <w:lastRenderedPageBreak/>
              <w:t>przyspieszonego postępowania układowego lub postępowania układowego mają dotyczyć m.in. przedsiębiorcy o szczególnym znaczeniu gospodarczo-obronnym, umieszczonego w wykazie określonym w przepisach wykonawczych wydanych na podstawie art. 6 nieobowiązującej już ustawy z dnia 23 sierpnia 2001 r. o organizowaniu zadań na rzecz obronności państwa realizowanych przez przedsiębiorców (Dz. U. z 2020 r. poz. 1669). Zasadnym jest zatem dostosowanie przedmiotowej regulacji do przepisów ustawy o obronie Ojczyzny i objęcie jej zakresem przedsiębiorcy, na którego Minister Obrony Narodowej decyzją administracyjną nałożył zadania określone w dokumencie, o którym mowa w art. 651 ustawy z dnia 11 marca 2022 r. o obronie Ojczyzny.</w:t>
            </w:r>
          </w:p>
        </w:tc>
        <w:tc>
          <w:tcPr>
            <w:tcW w:w="5245" w:type="dxa"/>
          </w:tcPr>
          <w:p w14:paraId="575AC426" w14:textId="77777777" w:rsidR="00AD5E8D" w:rsidRPr="00D4163E" w:rsidRDefault="002A1A4C" w:rsidP="00C36C04">
            <w:pPr>
              <w:spacing w:line="276" w:lineRule="auto"/>
              <w:jc w:val="both"/>
              <w:rPr>
                <w:rFonts w:cstheme="minorHAnsi"/>
              </w:rPr>
            </w:pPr>
            <w:r w:rsidRPr="00D4163E">
              <w:rPr>
                <w:rFonts w:cstheme="minorHAnsi"/>
              </w:rPr>
              <w:lastRenderedPageBreak/>
              <w:t>Uwaga uwzględniona</w:t>
            </w:r>
          </w:p>
          <w:p w14:paraId="5C2B2C8C" w14:textId="77777777" w:rsidR="00E05C47" w:rsidRPr="00E05C47" w:rsidRDefault="00E05C47" w:rsidP="00E05C47">
            <w:pPr>
              <w:spacing w:line="276" w:lineRule="auto"/>
              <w:jc w:val="both"/>
              <w:rPr>
                <w:rFonts w:cstheme="minorHAnsi"/>
              </w:rPr>
            </w:pPr>
            <w:r w:rsidRPr="00E05C47">
              <w:rPr>
                <w:rFonts w:cstheme="minorHAnsi"/>
              </w:rPr>
              <w:t>proponuje się w art. 1 pkt 14 lit. a projektu ustawy nadać</w:t>
            </w:r>
          </w:p>
          <w:p w14:paraId="7F58F0D7" w14:textId="77777777" w:rsidR="00E05C47" w:rsidRPr="00E05C47" w:rsidRDefault="00E05C47" w:rsidP="00E05C47">
            <w:pPr>
              <w:spacing w:line="276" w:lineRule="auto"/>
              <w:jc w:val="both"/>
              <w:rPr>
                <w:rFonts w:cstheme="minorHAnsi"/>
              </w:rPr>
            </w:pPr>
            <w:r w:rsidRPr="00E05C47">
              <w:rPr>
                <w:rFonts w:cstheme="minorHAnsi"/>
              </w:rPr>
              <w:t xml:space="preserve">następujące brzmienie art. 38 ust. 1c pkt 3 </w:t>
            </w:r>
            <w:proofErr w:type="spellStart"/>
            <w:r w:rsidRPr="00E05C47">
              <w:rPr>
                <w:rFonts w:cstheme="minorHAnsi"/>
              </w:rPr>
              <w:t>p.r.</w:t>
            </w:r>
            <w:proofErr w:type="spellEnd"/>
            <w:r w:rsidRPr="00E05C47">
              <w:rPr>
                <w:rFonts w:cstheme="minorHAnsi"/>
              </w:rPr>
              <w:t>:</w:t>
            </w:r>
          </w:p>
          <w:p w14:paraId="5FB3C965" w14:textId="4ACB9402" w:rsidR="00C2654F" w:rsidRPr="00EA4BDA" w:rsidRDefault="00E05C47" w:rsidP="00E05C47">
            <w:pPr>
              <w:spacing w:line="276" w:lineRule="auto"/>
              <w:jc w:val="both"/>
              <w:rPr>
                <w:rFonts w:cstheme="minorHAnsi"/>
              </w:rPr>
            </w:pPr>
            <w:r w:rsidRPr="00E05C47">
              <w:rPr>
                <w:rFonts w:cstheme="minorHAnsi"/>
              </w:rPr>
              <w:t>„3) przedsiębiorcy realizującego zadania na rzecz Sił Zbrojnych, o których mowa w art. 648</w:t>
            </w:r>
            <w:r>
              <w:rPr>
                <w:rFonts w:cstheme="minorHAnsi"/>
              </w:rPr>
              <w:t xml:space="preserve"> </w:t>
            </w:r>
            <w:r w:rsidRPr="00E05C47">
              <w:rPr>
                <w:rFonts w:cstheme="minorHAnsi"/>
              </w:rPr>
              <w:t>ustawy z dnia 11 marca 2022 r. o obronie Ojczyzny (Dz. U. poz. 2305 oraz z 2023 r. poz.</w:t>
            </w:r>
            <w:r>
              <w:rPr>
                <w:rFonts w:cstheme="minorHAnsi"/>
              </w:rPr>
              <w:t xml:space="preserve"> </w:t>
            </w:r>
            <w:r w:rsidRPr="00E05C47">
              <w:rPr>
                <w:rFonts w:cstheme="minorHAnsi"/>
              </w:rPr>
              <w:t>347 i 641);”.</w:t>
            </w:r>
          </w:p>
        </w:tc>
      </w:tr>
      <w:tr w:rsidR="00EA4BDA" w:rsidRPr="00EA4BDA" w14:paraId="5D931AAA" w14:textId="77777777" w:rsidTr="00C36C04">
        <w:tc>
          <w:tcPr>
            <w:tcW w:w="846" w:type="dxa"/>
          </w:tcPr>
          <w:p w14:paraId="0DAF9A69" w14:textId="77777777" w:rsidR="00E60AB1" w:rsidRPr="00EA4BDA" w:rsidRDefault="00E60AB1" w:rsidP="00C36C04">
            <w:pPr>
              <w:pStyle w:val="Akapitzlist"/>
              <w:numPr>
                <w:ilvl w:val="0"/>
                <w:numId w:val="32"/>
              </w:numPr>
              <w:spacing w:line="276" w:lineRule="auto"/>
              <w:rPr>
                <w:rFonts w:asciiTheme="minorHAnsi" w:hAnsiTheme="minorHAnsi" w:cstheme="minorHAnsi"/>
              </w:rPr>
            </w:pPr>
          </w:p>
        </w:tc>
        <w:tc>
          <w:tcPr>
            <w:tcW w:w="1512" w:type="dxa"/>
          </w:tcPr>
          <w:p w14:paraId="24C35AF4" w14:textId="33B0F63A" w:rsidR="00E60AB1" w:rsidRPr="00EA4BDA" w:rsidRDefault="00E60AB1" w:rsidP="00C36C04">
            <w:pPr>
              <w:spacing w:line="276" w:lineRule="auto"/>
              <w:rPr>
                <w:rFonts w:cstheme="minorHAnsi"/>
                <w:b/>
              </w:rPr>
            </w:pPr>
            <w:r w:rsidRPr="00EA4BDA">
              <w:rPr>
                <w:rFonts w:cstheme="minorHAnsi"/>
                <w:b/>
              </w:rPr>
              <w:t>RCL</w:t>
            </w:r>
          </w:p>
        </w:tc>
        <w:tc>
          <w:tcPr>
            <w:tcW w:w="1275" w:type="dxa"/>
          </w:tcPr>
          <w:p w14:paraId="75850DF1" w14:textId="0CCE86F0" w:rsidR="00E60AB1" w:rsidRPr="00EA4BDA" w:rsidRDefault="00E60AB1" w:rsidP="00C36C04">
            <w:pPr>
              <w:spacing w:line="276" w:lineRule="auto"/>
              <w:rPr>
                <w:rFonts w:cstheme="minorHAnsi"/>
                <w:b/>
              </w:rPr>
            </w:pPr>
            <w:r w:rsidRPr="00EA4BDA">
              <w:rPr>
                <w:rFonts w:cstheme="minorHAnsi"/>
                <w:b/>
              </w:rPr>
              <w:t xml:space="preserve">1 pkt 14 </w:t>
            </w:r>
            <w:r w:rsidR="00EF7AF5" w:rsidRPr="00EA4BDA">
              <w:rPr>
                <w:rFonts w:cstheme="minorHAnsi"/>
                <w:b/>
              </w:rPr>
              <w:t>i 15</w:t>
            </w:r>
          </w:p>
        </w:tc>
        <w:tc>
          <w:tcPr>
            <w:tcW w:w="5954" w:type="dxa"/>
          </w:tcPr>
          <w:p w14:paraId="0C74C573" w14:textId="46B3CA7E" w:rsidR="00E60AB1" w:rsidRPr="00EA4BDA" w:rsidRDefault="00551B5B" w:rsidP="00EA4BDA">
            <w:pPr>
              <w:autoSpaceDE w:val="0"/>
              <w:autoSpaceDN w:val="0"/>
              <w:adjustRightInd w:val="0"/>
              <w:jc w:val="both"/>
              <w:rPr>
                <w:rFonts w:cstheme="minorHAnsi"/>
              </w:rPr>
            </w:pPr>
            <w:r w:rsidRPr="00EA4BDA">
              <w:rPr>
                <w:rFonts w:cstheme="minorHAnsi"/>
              </w:rPr>
              <w:t>projektowane art. 38 ust. 1c pkt 3 i art. 51 ust. 1c pkt 3 Prawa restrukturyzacyjnego</w:t>
            </w:r>
            <w:r w:rsidR="00EA4BDA">
              <w:rPr>
                <w:rFonts w:cstheme="minorHAnsi"/>
              </w:rPr>
              <w:t xml:space="preserve"> </w:t>
            </w:r>
            <w:r w:rsidRPr="00EA4BDA">
              <w:rPr>
                <w:rFonts w:cstheme="minorHAnsi"/>
              </w:rPr>
              <w:t>odsyłają do ustawy uchylonej przez ustawę z dnia 11 marca 2022 r. o obronie</w:t>
            </w:r>
            <w:r w:rsidR="00EA4BDA">
              <w:rPr>
                <w:rFonts w:cstheme="minorHAnsi"/>
              </w:rPr>
              <w:t xml:space="preserve"> </w:t>
            </w:r>
            <w:r w:rsidRPr="00EA4BDA">
              <w:rPr>
                <w:rFonts w:cstheme="minorHAnsi"/>
              </w:rPr>
              <w:t>Ojczyzny, co wymaga korekty; na marginesie warto zauważyć, że obecnie</w:t>
            </w:r>
            <w:r w:rsidR="00EA4BDA">
              <w:rPr>
                <w:rFonts w:cstheme="minorHAnsi"/>
              </w:rPr>
              <w:t xml:space="preserve"> </w:t>
            </w:r>
            <w:r w:rsidRPr="00EA4BDA">
              <w:rPr>
                <w:rFonts w:cstheme="minorHAnsi"/>
              </w:rPr>
              <w:t>obowiązujący przepis art. 51 ust. 1c pkt 3 Prawa restrukturyzacyjnego uwzględnia</w:t>
            </w:r>
            <w:r w:rsidR="00EA4BDA">
              <w:rPr>
                <w:rFonts w:cstheme="minorHAnsi"/>
              </w:rPr>
              <w:t xml:space="preserve"> </w:t>
            </w:r>
            <w:r w:rsidRPr="00EA4BDA">
              <w:rPr>
                <w:rFonts w:cstheme="minorHAnsi"/>
              </w:rPr>
              <w:t>ten fakt i odesłanie następuje do art. 648 ustawy z dnia 11 marca 2022 r. o obronie</w:t>
            </w:r>
            <w:r w:rsidR="00EA4BDA">
              <w:rPr>
                <w:rFonts w:cstheme="minorHAnsi"/>
              </w:rPr>
              <w:t xml:space="preserve"> </w:t>
            </w:r>
            <w:r w:rsidRPr="00EA4BDA">
              <w:rPr>
                <w:rFonts w:cstheme="minorHAnsi"/>
              </w:rPr>
              <w:t>Ojczyzny;</w:t>
            </w:r>
          </w:p>
        </w:tc>
        <w:tc>
          <w:tcPr>
            <w:tcW w:w="5245" w:type="dxa"/>
          </w:tcPr>
          <w:p w14:paraId="40EFBE6E" w14:textId="77777777" w:rsidR="00D4163E" w:rsidRPr="00606D20" w:rsidRDefault="00D4163E" w:rsidP="00D4163E">
            <w:pPr>
              <w:autoSpaceDE w:val="0"/>
              <w:autoSpaceDN w:val="0"/>
              <w:adjustRightInd w:val="0"/>
              <w:jc w:val="both"/>
              <w:rPr>
                <w:rFonts w:cstheme="minorHAnsi"/>
              </w:rPr>
            </w:pPr>
            <w:r w:rsidRPr="00606D20">
              <w:rPr>
                <w:rFonts w:cstheme="minorHAnsi"/>
              </w:rPr>
              <w:t xml:space="preserve">Uwagę uwzględniono. Proponuje się w art. 1 pkt 14 lit. a projektu ustawy nadać następujące brzmienie art. 38 ust. 1c pkt 3 ustawy z dnia 15 maja 2015 r. – Prawo restrukturyzacyjne </w:t>
            </w:r>
            <w:bookmarkStart w:id="0" w:name="_Hlk136461876"/>
            <w:r w:rsidRPr="00606D20">
              <w:rPr>
                <w:rFonts w:cstheme="minorHAnsi"/>
              </w:rPr>
              <w:t>(Dz. U. z 2022 r. poz. 2309)</w:t>
            </w:r>
            <w:bookmarkEnd w:id="0"/>
            <w:r w:rsidRPr="00606D20">
              <w:rPr>
                <w:rFonts w:cstheme="minorHAnsi"/>
              </w:rPr>
              <w:t>:</w:t>
            </w:r>
          </w:p>
          <w:p w14:paraId="48695D86" w14:textId="77777777" w:rsidR="00D4163E" w:rsidRPr="00606D20" w:rsidRDefault="00D4163E" w:rsidP="00D4163E">
            <w:pPr>
              <w:autoSpaceDE w:val="0"/>
              <w:autoSpaceDN w:val="0"/>
              <w:adjustRightInd w:val="0"/>
              <w:ind w:firstLine="708"/>
              <w:jc w:val="both"/>
              <w:rPr>
                <w:rFonts w:cstheme="minorHAnsi"/>
              </w:rPr>
            </w:pPr>
          </w:p>
          <w:p w14:paraId="0D35B62C" w14:textId="77777777" w:rsidR="00D4163E" w:rsidRPr="00606D20" w:rsidRDefault="00D4163E" w:rsidP="00D4163E">
            <w:pPr>
              <w:autoSpaceDE w:val="0"/>
              <w:autoSpaceDN w:val="0"/>
              <w:adjustRightInd w:val="0"/>
              <w:jc w:val="both"/>
              <w:rPr>
                <w:rFonts w:cstheme="minorHAnsi"/>
              </w:rPr>
            </w:pPr>
            <w:r w:rsidRPr="00606D20">
              <w:rPr>
                <w:rFonts w:cstheme="minorHAnsi"/>
              </w:rPr>
              <w:t>„3) przedsiębiorcy realizującego zadania na rzecz Sił Zbrojnych, o których mowa w art. 648 ustawy z dnia 11 marca 2022 r. o obronie Ojczyzny (Dz. U. poz. 2305 oraz z 2023 r. poz. 347 i 641);”.</w:t>
            </w:r>
          </w:p>
          <w:p w14:paraId="76C779A8" w14:textId="362BDF3B" w:rsidR="00900C99" w:rsidRPr="00EA4BDA" w:rsidRDefault="00900C99" w:rsidP="00C36C04">
            <w:pPr>
              <w:spacing w:line="276" w:lineRule="auto"/>
              <w:jc w:val="both"/>
              <w:rPr>
                <w:rFonts w:cstheme="minorHAnsi"/>
              </w:rPr>
            </w:pPr>
          </w:p>
        </w:tc>
      </w:tr>
      <w:tr w:rsidR="00EA4BDA" w:rsidRPr="00EA4BDA" w14:paraId="255B9B37" w14:textId="77777777" w:rsidTr="00C36C04">
        <w:tc>
          <w:tcPr>
            <w:tcW w:w="846" w:type="dxa"/>
          </w:tcPr>
          <w:p w14:paraId="0D19FE69" w14:textId="25FC62B7" w:rsidR="004D3AE4" w:rsidRPr="00EA4BDA" w:rsidRDefault="004D3AE4" w:rsidP="00C36C04">
            <w:pPr>
              <w:pStyle w:val="Akapitzlist"/>
              <w:numPr>
                <w:ilvl w:val="0"/>
                <w:numId w:val="32"/>
              </w:numPr>
              <w:spacing w:line="276" w:lineRule="auto"/>
              <w:rPr>
                <w:rFonts w:asciiTheme="minorHAnsi" w:hAnsiTheme="minorHAnsi" w:cstheme="minorHAnsi"/>
              </w:rPr>
            </w:pPr>
          </w:p>
        </w:tc>
        <w:tc>
          <w:tcPr>
            <w:tcW w:w="1512" w:type="dxa"/>
          </w:tcPr>
          <w:p w14:paraId="3941BF83" w14:textId="142DF3F4" w:rsidR="004D3AE4" w:rsidRPr="00EA4BDA" w:rsidRDefault="003B1B7B" w:rsidP="00C36C04">
            <w:pPr>
              <w:spacing w:line="276" w:lineRule="auto"/>
              <w:rPr>
                <w:rFonts w:cstheme="minorHAnsi"/>
                <w:b/>
              </w:rPr>
            </w:pPr>
            <w:r w:rsidRPr="00EA4BDA">
              <w:rPr>
                <w:rFonts w:cstheme="minorHAnsi"/>
                <w:b/>
              </w:rPr>
              <w:t>Minister Finansów</w:t>
            </w:r>
          </w:p>
        </w:tc>
        <w:tc>
          <w:tcPr>
            <w:tcW w:w="1275" w:type="dxa"/>
          </w:tcPr>
          <w:p w14:paraId="2A5CD55D" w14:textId="75C3D244" w:rsidR="004D3AE4" w:rsidRPr="00EA4BDA" w:rsidRDefault="003B1B7B" w:rsidP="00C36C04">
            <w:pPr>
              <w:spacing w:line="276" w:lineRule="auto"/>
              <w:rPr>
                <w:rFonts w:cstheme="minorHAnsi"/>
                <w:b/>
              </w:rPr>
            </w:pPr>
            <w:r w:rsidRPr="00EA4BDA">
              <w:rPr>
                <w:rFonts w:cstheme="minorHAnsi"/>
                <w:b/>
              </w:rPr>
              <w:t>art. 1 pkt 36 projektu ustawy</w:t>
            </w:r>
            <w:r w:rsidR="00BF7DA8">
              <w:rPr>
                <w:rFonts w:cstheme="minorHAnsi"/>
                <w:b/>
              </w:rPr>
              <w:t xml:space="preserve"> </w:t>
            </w:r>
            <w:r w:rsidR="00BF7DA8" w:rsidRPr="007C474F">
              <w:rPr>
                <w:b/>
                <w:bCs/>
              </w:rPr>
              <w:t xml:space="preserve">projektu (projektowany </w:t>
            </w:r>
            <w:bookmarkStart w:id="1" w:name="_Hlk136440773"/>
            <w:r w:rsidR="00BF7DA8" w:rsidRPr="007C474F">
              <w:rPr>
                <w:b/>
                <w:bCs/>
              </w:rPr>
              <w:t xml:space="preserve">art. </w:t>
            </w:r>
            <w:r w:rsidR="00BF7DA8" w:rsidRPr="00407083">
              <w:rPr>
                <w:b/>
                <w:bCs/>
              </w:rPr>
              <w:t xml:space="preserve">189a </w:t>
            </w:r>
            <w:r w:rsidR="00BF7DA8">
              <w:rPr>
                <w:b/>
                <w:bCs/>
              </w:rPr>
              <w:t>ust.</w:t>
            </w:r>
            <w:r w:rsidR="00BF7DA8" w:rsidRPr="00407083">
              <w:rPr>
                <w:b/>
                <w:bCs/>
              </w:rPr>
              <w:t xml:space="preserve"> 4</w:t>
            </w:r>
            <w:r w:rsidR="00BF7DA8">
              <w:rPr>
                <w:b/>
                <w:bCs/>
              </w:rPr>
              <w:t xml:space="preserve"> </w:t>
            </w:r>
            <w:r w:rsidR="00BF7DA8" w:rsidRPr="007C474F">
              <w:rPr>
                <w:b/>
                <w:bCs/>
              </w:rPr>
              <w:t>ustawy - Prawo restrukturyzacyjne</w:t>
            </w:r>
            <w:bookmarkEnd w:id="1"/>
            <w:r w:rsidR="00BF7DA8" w:rsidRPr="007C474F">
              <w:rPr>
                <w:b/>
                <w:bCs/>
              </w:rPr>
              <w:t>)</w:t>
            </w:r>
            <w:r w:rsidR="00BF7DA8">
              <w:rPr>
                <w:b/>
                <w:bCs/>
              </w:rPr>
              <w:t>.</w:t>
            </w:r>
          </w:p>
        </w:tc>
        <w:tc>
          <w:tcPr>
            <w:tcW w:w="5954" w:type="dxa"/>
          </w:tcPr>
          <w:p w14:paraId="64B5746A" w14:textId="5F941DF9" w:rsidR="003B1B7B" w:rsidRPr="00EA4BDA" w:rsidRDefault="003B1B7B" w:rsidP="00834299">
            <w:pPr>
              <w:autoSpaceDE w:val="0"/>
              <w:autoSpaceDN w:val="0"/>
              <w:adjustRightInd w:val="0"/>
              <w:jc w:val="both"/>
              <w:rPr>
                <w:rFonts w:cstheme="minorHAnsi"/>
              </w:rPr>
            </w:pPr>
            <w:r w:rsidRPr="00EA4BDA">
              <w:rPr>
                <w:rFonts w:cstheme="minorHAnsi"/>
              </w:rPr>
              <w:t>Wymaga wyjaśnienia, czy zawieszenie biegu terminu przedawnienia będzie dotyczyć należności objętych</w:t>
            </w:r>
          </w:p>
          <w:p w14:paraId="46722348" w14:textId="203FE525" w:rsidR="004D3AE4" w:rsidRPr="00EA4BDA" w:rsidRDefault="003B1B7B" w:rsidP="00834299">
            <w:pPr>
              <w:autoSpaceDE w:val="0"/>
              <w:autoSpaceDN w:val="0"/>
              <w:adjustRightInd w:val="0"/>
              <w:jc w:val="both"/>
              <w:rPr>
                <w:rFonts w:cstheme="minorHAnsi"/>
              </w:rPr>
            </w:pPr>
            <w:r w:rsidRPr="00EA4BDA">
              <w:rPr>
                <w:rFonts w:cstheme="minorHAnsi"/>
              </w:rPr>
              <w:t>zawieszonym postępowaniem egzekucyjnym.</w:t>
            </w:r>
          </w:p>
        </w:tc>
        <w:tc>
          <w:tcPr>
            <w:tcW w:w="5245" w:type="dxa"/>
          </w:tcPr>
          <w:p w14:paraId="6E227987" w14:textId="77777777" w:rsidR="00BF7DA8" w:rsidRDefault="00BF7DA8" w:rsidP="00BF7DA8">
            <w:pPr>
              <w:autoSpaceDE w:val="0"/>
              <w:autoSpaceDN w:val="0"/>
              <w:adjustRightInd w:val="0"/>
              <w:jc w:val="both"/>
              <w:rPr>
                <w:rFonts w:cstheme="minorHAnsi"/>
              </w:rPr>
            </w:pPr>
            <w:r>
              <w:t xml:space="preserve">Uprzejmie wyjaśniam, że projektowany przepis art. </w:t>
            </w:r>
            <w:r w:rsidRPr="00177D42">
              <w:t xml:space="preserve">189a. </w:t>
            </w:r>
            <w:r>
              <w:t xml:space="preserve">ust. </w:t>
            </w:r>
            <w:r w:rsidRPr="00177D42">
              <w:t>1</w:t>
            </w:r>
            <w:r>
              <w:t xml:space="preserve"> ustawy – Prawo restrukturyzacyjne zakłada, że kwestia</w:t>
            </w:r>
            <w:r w:rsidRPr="00177D42">
              <w:t xml:space="preserve"> </w:t>
            </w:r>
            <w:r>
              <w:t xml:space="preserve">zawieszenia </w:t>
            </w:r>
            <w:r w:rsidRPr="00E5659A">
              <w:t>bieg</w:t>
            </w:r>
            <w:r>
              <w:t>u terminu</w:t>
            </w:r>
            <w:r w:rsidRPr="00E5659A">
              <w:t xml:space="preserve"> przedawnienia nie</w:t>
            </w:r>
            <w:r>
              <w:t> odnosi się do</w:t>
            </w:r>
            <w:r w:rsidRPr="00E5659A">
              <w:t xml:space="preserve"> </w:t>
            </w:r>
            <w:r>
              <w:t>należności</w:t>
            </w:r>
            <w:r w:rsidRPr="00E5659A">
              <w:t>, co do których postępowanie egzekucyjne zostało wszczęte przed otwarciem postępowania restrukturyzacyjnego</w:t>
            </w:r>
            <w:r>
              <w:t xml:space="preserve">. Podkreślenia bowiem wymaga, że zgodnie z art. 123 </w:t>
            </w:r>
            <w:r w:rsidRPr="00793B73">
              <w:t>§  1</w:t>
            </w:r>
            <w:r>
              <w:t xml:space="preserve"> pkt 1 ustawy z dnia </w:t>
            </w:r>
            <w:r w:rsidRPr="003836F9">
              <w:t>23 kwietnia 1964 r.</w:t>
            </w:r>
            <w:r>
              <w:t xml:space="preserve"> </w:t>
            </w:r>
            <w:r w:rsidRPr="003836F9">
              <w:t xml:space="preserve">Kodeks cywilny </w:t>
            </w:r>
            <w:r w:rsidRPr="00E5659A">
              <w:t>(</w:t>
            </w:r>
            <w:r w:rsidRPr="003836F9">
              <w:t>Dz.</w:t>
            </w:r>
            <w:r>
              <w:t> </w:t>
            </w:r>
            <w:r w:rsidRPr="003836F9">
              <w:t>U.</w:t>
            </w:r>
            <w:r>
              <w:t> z </w:t>
            </w:r>
            <w:r w:rsidRPr="003836F9">
              <w:t>2022</w:t>
            </w:r>
            <w:r>
              <w:t xml:space="preserve"> r</w:t>
            </w:r>
            <w:r w:rsidRPr="003836F9">
              <w:t>.</w:t>
            </w:r>
            <w:r>
              <w:t xml:space="preserve"> poz. </w:t>
            </w:r>
            <w:r w:rsidRPr="003836F9">
              <w:t>1360</w:t>
            </w:r>
            <w:r>
              <w:t xml:space="preserve">, z </w:t>
            </w:r>
            <w:proofErr w:type="spellStart"/>
            <w:r>
              <w:t>późn</w:t>
            </w:r>
            <w:proofErr w:type="spellEnd"/>
            <w:r>
              <w:t>. zm., dalej „k.c.”</w:t>
            </w:r>
            <w:r w:rsidRPr="00E5659A">
              <w:t>)</w:t>
            </w:r>
            <w:r>
              <w:t xml:space="preserve">  b</w:t>
            </w:r>
            <w:r w:rsidRPr="00AE6C75">
              <w:t>ieg przedawnienia przerywa się</w:t>
            </w:r>
            <w:r>
              <w:t xml:space="preserve"> </w:t>
            </w:r>
            <w:r w:rsidRPr="00AE6C75">
              <w:t xml:space="preserve">przez każdą czynność przed sądem lub innym organem powołanym do rozpoznawania spraw lub egzekwowania roszczeń danego rodzaju albo przed sądem polubownym, </w:t>
            </w:r>
            <w:r w:rsidRPr="00AE6C75">
              <w:lastRenderedPageBreak/>
              <w:t>przedsięwziętą bezpośrednio w celu dochodzenia lub ustalenia albo zaspokojenia lub</w:t>
            </w:r>
            <w:r>
              <w:t> </w:t>
            </w:r>
            <w:r w:rsidRPr="00AE6C75">
              <w:t>zabezpieczenia roszczenia</w:t>
            </w:r>
            <w:r>
              <w:t xml:space="preserve">. Tym samym przedawnienie wobec należności </w:t>
            </w:r>
            <w:r w:rsidRPr="00EA4BDA">
              <w:rPr>
                <w:rFonts w:cstheme="minorHAnsi"/>
              </w:rPr>
              <w:t>objętych</w:t>
            </w:r>
            <w:r>
              <w:rPr>
                <w:rFonts w:cstheme="minorHAnsi"/>
              </w:rPr>
              <w:t xml:space="preserve"> </w:t>
            </w:r>
            <w:r w:rsidRPr="00EA4BDA">
              <w:rPr>
                <w:rFonts w:cstheme="minorHAnsi"/>
              </w:rPr>
              <w:t>zawieszonym postępowaniem egzekucyjnym</w:t>
            </w:r>
            <w:r>
              <w:rPr>
                <w:rFonts w:cstheme="minorHAnsi"/>
              </w:rPr>
              <w:t xml:space="preserve">, o którym mowa w projektowanym </w:t>
            </w:r>
            <w:r w:rsidRPr="000A48F8">
              <w:rPr>
                <w:rFonts w:cstheme="minorHAnsi"/>
              </w:rPr>
              <w:t>art. 189a ust. 4 ustawy - Prawo restrukturyzacyjne</w:t>
            </w:r>
            <w:r>
              <w:rPr>
                <w:rFonts w:cstheme="minorHAnsi"/>
              </w:rPr>
              <w:t xml:space="preserve"> nie biegnie, bowiem bieg tego przedawnienia został już przerwany wskutek wszczęcia postępowania egzekucyjnego. Rozważania kwestii zawieszenia biegu przedawnienia w stosunku do roszczeń objętych takim postępowaniem jest zatem bezprzedmiotowe. Podkreślenia również wymaga, że regulacja analogiczna do projektowanej występuje już w obecnym stanie prawnym. </w:t>
            </w:r>
          </w:p>
          <w:p w14:paraId="3B9D31D2" w14:textId="77777777" w:rsidR="00BF7DA8" w:rsidRPr="00AE251E" w:rsidRDefault="00BF7DA8" w:rsidP="00BF7DA8">
            <w:pPr>
              <w:autoSpaceDE w:val="0"/>
              <w:autoSpaceDN w:val="0"/>
              <w:adjustRightInd w:val="0"/>
              <w:jc w:val="both"/>
              <w:rPr>
                <w:rFonts w:cstheme="minorHAnsi"/>
                <w:sz w:val="12"/>
                <w:szCs w:val="12"/>
              </w:rPr>
            </w:pPr>
          </w:p>
          <w:p w14:paraId="188D0FD8" w14:textId="77777777" w:rsidR="00BF7DA8" w:rsidRDefault="00BF7DA8" w:rsidP="00BF7DA8">
            <w:pPr>
              <w:autoSpaceDE w:val="0"/>
              <w:autoSpaceDN w:val="0"/>
              <w:adjustRightInd w:val="0"/>
              <w:jc w:val="both"/>
            </w:pPr>
            <w:r>
              <w:rPr>
                <w:rFonts w:cstheme="minorHAnsi"/>
              </w:rPr>
              <w:t xml:space="preserve">W projektowanym </w:t>
            </w:r>
            <w:r>
              <w:t xml:space="preserve">art. </w:t>
            </w:r>
            <w:r w:rsidRPr="00177D42">
              <w:t xml:space="preserve">189a </w:t>
            </w:r>
            <w:r>
              <w:t xml:space="preserve">ust. 4 ustawy – Prawo restrukturyzacyjne przewidziano natomiast nową instytucję polegającą na ochronie roszczeń, co do których wszczęcie postępowania egzekucyjnego oraz wykonanie postanowienia o zabezpieczeniu roszczenia lub zarządzenia zabezpieczenia roszczenia jest niedopuszczalne z uwagi na bieg czteromiesięcznego terminu od dnia otwarcia postępowania restrukturyzacyjnego. W tym przypadku przyjęto, że bieg przedawnienia roszczenia nie rozpoczyna się, a rozpoczęty ulega zawieszeniu przez czas trwania postępowania restrukturyzacyjnego. </w:t>
            </w:r>
          </w:p>
          <w:p w14:paraId="23C05A79" w14:textId="476AFAC0" w:rsidR="00A11385" w:rsidRPr="00EA4BDA" w:rsidRDefault="00A11385" w:rsidP="003B1B7B">
            <w:pPr>
              <w:shd w:val="clear" w:color="auto" w:fill="FFFFFF" w:themeFill="background1"/>
              <w:spacing w:line="276" w:lineRule="auto"/>
              <w:jc w:val="both"/>
              <w:rPr>
                <w:rFonts w:cstheme="minorHAnsi"/>
              </w:rPr>
            </w:pPr>
          </w:p>
        </w:tc>
      </w:tr>
      <w:tr w:rsidR="00EA4BDA" w:rsidRPr="00EA4BDA" w14:paraId="5A7F89F0" w14:textId="77777777" w:rsidTr="00C36C04">
        <w:tc>
          <w:tcPr>
            <w:tcW w:w="846" w:type="dxa"/>
          </w:tcPr>
          <w:p w14:paraId="39BFC6CE" w14:textId="77777777" w:rsidR="001A72A6" w:rsidRPr="00EA4BDA" w:rsidRDefault="001A72A6" w:rsidP="00C36C04">
            <w:pPr>
              <w:pStyle w:val="Akapitzlist"/>
              <w:numPr>
                <w:ilvl w:val="0"/>
                <w:numId w:val="32"/>
              </w:numPr>
              <w:spacing w:line="276" w:lineRule="auto"/>
              <w:rPr>
                <w:rFonts w:asciiTheme="minorHAnsi" w:hAnsiTheme="minorHAnsi" w:cstheme="minorHAnsi"/>
              </w:rPr>
            </w:pPr>
          </w:p>
        </w:tc>
        <w:tc>
          <w:tcPr>
            <w:tcW w:w="1512" w:type="dxa"/>
          </w:tcPr>
          <w:p w14:paraId="0D3A8C74" w14:textId="41F48319" w:rsidR="001A72A6" w:rsidRPr="00EA4BDA" w:rsidRDefault="003B1B7B" w:rsidP="00C36C04">
            <w:pPr>
              <w:spacing w:line="276" w:lineRule="auto"/>
              <w:rPr>
                <w:rFonts w:cstheme="minorHAnsi"/>
                <w:b/>
              </w:rPr>
            </w:pPr>
            <w:r w:rsidRPr="00EA4BDA">
              <w:rPr>
                <w:rFonts w:cstheme="minorHAnsi"/>
                <w:b/>
              </w:rPr>
              <w:t>Minister</w:t>
            </w:r>
            <w:r w:rsidR="00A50C33" w:rsidRPr="00EA4BDA">
              <w:rPr>
                <w:rFonts w:cstheme="minorHAnsi"/>
                <w:b/>
              </w:rPr>
              <w:t xml:space="preserve"> </w:t>
            </w:r>
            <w:r w:rsidRPr="00EA4BDA">
              <w:rPr>
                <w:rFonts w:cstheme="minorHAnsi"/>
                <w:b/>
              </w:rPr>
              <w:t>Finansów</w:t>
            </w:r>
          </w:p>
        </w:tc>
        <w:tc>
          <w:tcPr>
            <w:tcW w:w="1275" w:type="dxa"/>
          </w:tcPr>
          <w:p w14:paraId="22AB2451" w14:textId="77777777" w:rsidR="001A72A6" w:rsidRDefault="003B1B7B" w:rsidP="00C36C04">
            <w:pPr>
              <w:spacing w:line="276" w:lineRule="auto"/>
              <w:rPr>
                <w:rFonts w:cstheme="minorHAnsi"/>
                <w:b/>
              </w:rPr>
            </w:pPr>
            <w:r w:rsidRPr="00EA4BDA">
              <w:rPr>
                <w:rFonts w:cstheme="minorHAnsi"/>
                <w:b/>
              </w:rPr>
              <w:t>art. 2 projektu ustawy</w:t>
            </w:r>
          </w:p>
          <w:p w14:paraId="1A2AF9C9" w14:textId="1A9CFE89" w:rsidR="00BF7DA8" w:rsidRPr="00EA4BDA" w:rsidRDefault="00BF7DA8" w:rsidP="00C36C04">
            <w:pPr>
              <w:spacing w:line="276" w:lineRule="auto"/>
              <w:rPr>
                <w:rFonts w:cstheme="minorHAnsi"/>
                <w:b/>
              </w:rPr>
            </w:pPr>
            <w:r w:rsidRPr="00A83ECB">
              <w:rPr>
                <w:rFonts w:cstheme="minorHAnsi"/>
                <w:b/>
                <w:bCs/>
              </w:rPr>
              <w:t xml:space="preserve">(projektowany art. 54c ust. 1 ustawy – </w:t>
            </w:r>
            <w:r w:rsidRPr="00A83ECB">
              <w:rPr>
                <w:rFonts w:cstheme="minorHAnsi"/>
                <w:b/>
                <w:bCs/>
              </w:rPr>
              <w:lastRenderedPageBreak/>
              <w:t>Prawo restrukturyzacyjne)</w:t>
            </w:r>
            <w:r>
              <w:rPr>
                <w:rFonts w:cstheme="minorHAnsi"/>
                <w:b/>
                <w:bCs/>
              </w:rPr>
              <w:t>.</w:t>
            </w:r>
          </w:p>
        </w:tc>
        <w:tc>
          <w:tcPr>
            <w:tcW w:w="5954" w:type="dxa"/>
          </w:tcPr>
          <w:p w14:paraId="799C07A2" w14:textId="43D09992" w:rsidR="003B1B7B" w:rsidRPr="00EA4BDA" w:rsidRDefault="003B1B7B" w:rsidP="00834299">
            <w:pPr>
              <w:autoSpaceDE w:val="0"/>
              <w:autoSpaceDN w:val="0"/>
              <w:adjustRightInd w:val="0"/>
              <w:jc w:val="both"/>
              <w:rPr>
                <w:rFonts w:cstheme="minorHAnsi"/>
              </w:rPr>
            </w:pPr>
            <w:r w:rsidRPr="00EA4BDA">
              <w:rPr>
                <w:rFonts w:cstheme="minorHAnsi"/>
              </w:rPr>
              <w:lastRenderedPageBreak/>
              <w:t>W odniesieniu do proponowanej zmiany ustawy o postępowaniu egzekucyjnym w administracji (art. 2 projektu ustawy) należy wskazać, że przesłanka uchylenia czynności egzekucyjnej ujęta w projektowanym art. 54c § 1 jest nieprecyzyjna. Nie jest jasne, w jakich przepisach odrębnych należy poszukiwać podstawy do</w:t>
            </w:r>
          </w:p>
          <w:p w14:paraId="612C6C05" w14:textId="1A083619" w:rsidR="003B1B7B" w:rsidRPr="00EA4BDA" w:rsidRDefault="003B1B7B" w:rsidP="00834299">
            <w:pPr>
              <w:autoSpaceDE w:val="0"/>
              <w:autoSpaceDN w:val="0"/>
              <w:adjustRightInd w:val="0"/>
              <w:jc w:val="both"/>
              <w:rPr>
                <w:rFonts w:cstheme="minorHAnsi"/>
              </w:rPr>
            </w:pPr>
            <w:r w:rsidRPr="00EA4BDA">
              <w:rPr>
                <w:rFonts w:cstheme="minorHAnsi"/>
              </w:rPr>
              <w:t xml:space="preserve">uchylenia czynności egzekucyjnej. Ponadto należy wskazać, że kwestie dotyczące uchylania czynności egzekucyjnych regulowane są w art. 54b ustawy o postępowaniu egzekucyjnym w administracji. Przesłanki, w przypadku których możliwe jest </w:t>
            </w:r>
            <w:r w:rsidRPr="00EA4BDA">
              <w:rPr>
                <w:rFonts w:cstheme="minorHAnsi"/>
              </w:rPr>
              <w:lastRenderedPageBreak/>
              <w:t>uchylenie czynności egzekucyjnej określono w § 1 i 2 tego artykułu.</w:t>
            </w:r>
          </w:p>
          <w:p w14:paraId="6CCE1B83" w14:textId="5A0F49A3" w:rsidR="003B1B7B" w:rsidRPr="00EA4BDA" w:rsidRDefault="003B1B7B" w:rsidP="00834299">
            <w:pPr>
              <w:autoSpaceDE w:val="0"/>
              <w:autoSpaceDN w:val="0"/>
              <w:adjustRightInd w:val="0"/>
              <w:jc w:val="both"/>
              <w:rPr>
                <w:rFonts w:cstheme="minorHAnsi"/>
              </w:rPr>
            </w:pPr>
            <w:r w:rsidRPr="00EA4BDA">
              <w:rPr>
                <w:rFonts w:cstheme="minorHAnsi"/>
              </w:rPr>
              <w:t>Zauważenia wymaga również, że projektowane przepisy art. 54c § 2 i 3 ustawy o postepowaniu egzekucyjnym w administracji stanowią powtórzenie regulacji art. 54b § 3 i 4 tej ustawy.</w:t>
            </w:r>
          </w:p>
          <w:p w14:paraId="7DBD5DF8" w14:textId="34C37974" w:rsidR="001A72A6" w:rsidRPr="00EA4BDA" w:rsidRDefault="003B1B7B" w:rsidP="00834299">
            <w:pPr>
              <w:autoSpaceDE w:val="0"/>
              <w:autoSpaceDN w:val="0"/>
              <w:adjustRightInd w:val="0"/>
              <w:jc w:val="both"/>
              <w:rPr>
                <w:rFonts w:cstheme="minorHAnsi"/>
              </w:rPr>
            </w:pPr>
            <w:r w:rsidRPr="00EA4BDA">
              <w:rPr>
                <w:rFonts w:cstheme="minorHAnsi"/>
              </w:rPr>
              <w:t>Mając na</w:t>
            </w:r>
            <w:r w:rsidR="00A50C33" w:rsidRPr="00EA4BDA">
              <w:rPr>
                <w:rFonts w:cstheme="minorHAnsi"/>
              </w:rPr>
              <w:t xml:space="preserve"> względzie powyższe proponuję, aby odpowiednio doprecyzowany projektowany przepis art. 54c § 1 ustawy o postępowaniu egzekucyjnym w administracji został wprowadzony do przesłanek uchylenia czynności egzekucyjnej jako § 2a w art. 54b tej ustawy przy rezygnacji z przepisów art. 54c § 2 i 3. Przy czym w przypadku uchylenia czynności egzekucyjnej postanowieniem sędziego komisarza nie ma uzasadnienia dla obarczania organu egzekucyjnego obowiązkiem ponownego zawiadamiania zobowiązanego (dłużnika) oraz dłużnika zajętej wierzytelności o uchyleniu czynności egzekucyjnej.</w:t>
            </w:r>
          </w:p>
        </w:tc>
        <w:tc>
          <w:tcPr>
            <w:tcW w:w="5245" w:type="dxa"/>
          </w:tcPr>
          <w:p w14:paraId="037B7C07" w14:textId="77777777" w:rsidR="00FF4505" w:rsidRDefault="00FF4505" w:rsidP="00FF4505">
            <w:pPr>
              <w:jc w:val="both"/>
            </w:pPr>
            <w:r w:rsidRPr="00FF4505">
              <w:rPr>
                <w:rFonts w:cstheme="minorHAnsi"/>
              </w:rPr>
              <w:lastRenderedPageBreak/>
              <w:t xml:space="preserve">Uwaga uwzględniona. </w:t>
            </w:r>
            <w:r>
              <w:t>Proponuje się nadanie art. 2 projektu następującego brzmienia:</w:t>
            </w:r>
          </w:p>
          <w:p w14:paraId="3351D2EA" w14:textId="77777777" w:rsidR="00FF4505" w:rsidRDefault="00FF4505" w:rsidP="00FF4505">
            <w:pPr>
              <w:jc w:val="both"/>
            </w:pPr>
          </w:p>
          <w:p w14:paraId="65152197" w14:textId="77777777" w:rsidR="00FF4505" w:rsidRDefault="00FF4505" w:rsidP="00FF4505">
            <w:pPr>
              <w:jc w:val="both"/>
            </w:pPr>
            <w:r>
              <w:t>„Art. 2. W ustawie z dnia 17 czerwca 1966 r. o postępowaniu egzekucyjnym w administracji (Dz. U. z 2022 r. poz. 479[1]) w art. 54b wprowadza się następujące zmiany:</w:t>
            </w:r>
          </w:p>
          <w:p w14:paraId="76B67BBD" w14:textId="77777777" w:rsidR="00FF4505" w:rsidRDefault="00FF4505" w:rsidP="00FF4505">
            <w:pPr>
              <w:jc w:val="both"/>
            </w:pPr>
            <w:r>
              <w:t>1) po § 2 dodaje się § 2a w brzmieniu:</w:t>
            </w:r>
          </w:p>
          <w:p w14:paraId="51B5F25A" w14:textId="77777777" w:rsidR="00FF4505" w:rsidRDefault="00FF4505" w:rsidP="00FF4505">
            <w:pPr>
              <w:jc w:val="both"/>
            </w:pPr>
            <w:r>
              <w:lastRenderedPageBreak/>
              <w:t>„§ 2a. Uchylenie czynności egzekucyjnej może nastąpić również w przypadku, o którym mowa w art. 189a ust. 3 ustawy z dnia 15 maja 2015 r. – Prawo restrukturyzacyjne (Dz. U. z 2022 r. poz. 2309).</w:t>
            </w:r>
          </w:p>
          <w:p w14:paraId="4C1F47BA" w14:textId="77777777" w:rsidR="00FF4505" w:rsidRDefault="00FF4505" w:rsidP="00FF4505">
            <w:pPr>
              <w:jc w:val="both"/>
            </w:pPr>
            <w:r>
              <w:t>2) § 3 otrzymuje brzmienie:</w:t>
            </w:r>
          </w:p>
          <w:p w14:paraId="670F8D06" w14:textId="77777777" w:rsidR="00FF4505" w:rsidRDefault="00FF4505" w:rsidP="00FF4505">
            <w:pPr>
              <w:jc w:val="both"/>
            </w:pPr>
            <w:r>
              <w:t>„§ 3. W przypadkach, o którym mowa w § 2 i § 2a, pozostają w mocy skutki związane z zastosowaniem środka egzekucyjnego, w ramach którego dokonano uchylonej czynności egzekucyjnej.”;</w:t>
            </w:r>
          </w:p>
          <w:p w14:paraId="5AA212F1" w14:textId="77777777" w:rsidR="00FF4505" w:rsidRDefault="00FF4505" w:rsidP="00FF4505">
            <w:pPr>
              <w:jc w:val="both"/>
            </w:pPr>
            <w:r>
              <w:t>3) w § 4 dodaje się zdanie drugie w brzmieniu:</w:t>
            </w:r>
          </w:p>
          <w:p w14:paraId="16BD99BF" w14:textId="77777777" w:rsidR="00FF4505" w:rsidRDefault="00FF4505" w:rsidP="00FF4505">
            <w:pPr>
              <w:jc w:val="both"/>
            </w:pPr>
            <w:r>
              <w:t>„W przypadku, o którym mowa w § 2a, przepisu zdania pierwszego nie stosuje się.”.”.</w:t>
            </w:r>
          </w:p>
          <w:p w14:paraId="058F60F9" w14:textId="02BFE0F9" w:rsidR="00BD01EC" w:rsidRPr="00AB6B05" w:rsidRDefault="00BD01EC" w:rsidP="00C36C04">
            <w:pPr>
              <w:spacing w:line="276" w:lineRule="auto"/>
              <w:jc w:val="both"/>
              <w:rPr>
                <w:rFonts w:cstheme="minorHAnsi"/>
                <w:color w:val="FF0000"/>
              </w:rPr>
            </w:pPr>
          </w:p>
          <w:p w14:paraId="64CAFE02" w14:textId="4A171C60" w:rsidR="00BD01EC" w:rsidRPr="00EA4BDA" w:rsidRDefault="00BD01EC" w:rsidP="00C36C04">
            <w:pPr>
              <w:spacing w:line="276" w:lineRule="auto"/>
              <w:jc w:val="both"/>
              <w:rPr>
                <w:rFonts w:cstheme="minorHAnsi"/>
              </w:rPr>
            </w:pPr>
          </w:p>
        </w:tc>
      </w:tr>
      <w:tr w:rsidR="00EA4BDA" w:rsidRPr="00EA4BDA" w14:paraId="4F2E6FE9" w14:textId="77777777" w:rsidTr="00C36C04">
        <w:tc>
          <w:tcPr>
            <w:tcW w:w="846" w:type="dxa"/>
          </w:tcPr>
          <w:p w14:paraId="2A0AB011" w14:textId="77777777" w:rsidR="002A6E89" w:rsidRPr="00EA4BDA" w:rsidRDefault="002A6E89" w:rsidP="00C36C04">
            <w:pPr>
              <w:pStyle w:val="Akapitzlist"/>
              <w:numPr>
                <w:ilvl w:val="0"/>
                <w:numId w:val="32"/>
              </w:numPr>
              <w:spacing w:line="276" w:lineRule="auto"/>
              <w:rPr>
                <w:rFonts w:asciiTheme="minorHAnsi" w:hAnsiTheme="minorHAnsi" w:cstheme="minorHAnsi"/>
              </w:rPr>
            </w:pPr>
          </w:p>
        </w:tc>
        <w:tc>
          <w:tcPr>
            <w:tcW w:w="1512" w:type="dxa"/>
          </w:tcPr>
          <w:p w14:paraId="771134BE" w14:textId="0BBF06D7" w:rsidR="002A6E89" w:rsidRPr="00EA4BDA" w:rsidRDefault="002A6E89" w:rsidP="00C36C04">
            <w:pPr>
              <w:spacing w:line="276" w:lineRule="auto"/>
              <w:rPr>
                <w:rFonts w:cstheme="minorHAnsi"/>
                <w:b/>
              </w:rPr>
            </w:pPr>
            <w:r w:rsidRPr="00EA4BDA">
              <w:rPr>
                <w:rFonts w:cstheme="minorHAnsi"/>
                <w:b/>
              </w:rPr>
              <w:t>RCL</w:t>
            </w:r>
          </w:p>
        </w:tc>
        <w:tc>
          <w:tcPr>
            <w:tcW w:w="1275" w:type="dxa"/>
          </w:tcPr>
          <w:p w14:paraId="6A21628B" w14:textId="68E203F2" w:rsidR="002A6E89" w:rsidRPr="00EA4BDA" w:rsidRDefault="002A6E89" w:rsidP="00C36C04">
            <w:pPr>
              <w:spacing w:line="276" w:lineRule="auto"/>
              <w:rPr>
                <w:rFonts w:cstheme="minorHAnsi"/>
                <w:b/>
              </w:rPr>
            </w:pPr>
            <w:r w:rsidRPr="00EA4BDA">
              <w:rPr>
                <w:rFonts w:cstheme="minorHAnsi"/>
                <w:b/>
              </w:rPr>
              <w:t>Art. 3 pkt 11</w:t>
            </w:r>
          </w:p>
        </w:tc>
        <w:tc>
          <w:tcPr>
            <w:tcW w:w="5954" w:type="dxa"/>
          </w:tcPr>
          <w:p w14:paraId="520C1DC6" w14:textId="77777777" w:rsidR="000901F5" w:rsidRPr="00EA4BDA" w:rsidRDefault="000901F5" w:rsidP="000901F5">
            <w:pPr>
              <w:autoSpaceDE w:val="0"/>
              <w:autoSpaceDN w:val="0"/>
              <w:adjustRightInd w:val="0"/>
              <w:jc w:val="both"/>
              <w:rPr>
                <w:rFonts w:cstheme="minorHAnsi"/>
              </w:rPr>
            </w:pPr>
            <w:r w:rsidRPr="00EA4BDA">
              <w:rPr>
                <w:rFonts w:cstheme="minorHAnsi"/>
              </w:rPr>
              <w:t xml:space="preserve">W odniesieniu do projektowanego art. 176 ust. 2b Prawa upadłościowego zauważa się, że: </w:t>
            </w:r>
          </w:p>
          <w:p w14:paraId="5670B146" w14:textId="77777777" w:rsidR="000901F5" w:rsidRPr="00EA4BDA" w:rsidRDefault="000901F5" w:rsidP="00E40839">
            <w:pPr>
              <w:autoSpaceDE w:val="0"/>
              <w:autoSpaceDN w:val="0"/>
              <w:adjustRightInd w:val="0"/>
              <w:jc w:val="both"/>
              <w:rPr>
                <w:rFonts w:cstheme="minorHAnsi"/>
              </w:rPr>
            </w:pPr>
            <w:r w:rsidRPr="00EA4BDA">
              <w:rPr>
                <w:rFonts w:cstheme="minorHAnsi"/>
              </w:rPr>
              <w:t xml:space="preserve">a) </w:t>
            </w:r>
            <w:r w:rsidR="00E40839" w:rsidRPr="00EA4BDA">
              <w:rPr>
                <w:rFonts w:cstheme="minorHAnsi"/>
              </w:rPr>
              <w:t>Minister Obrony Narodowej powinien zostać wskazany nazwą własną, a nie przez określenie działu administracji rządowej. Jednocześnie wymaga wyjaśnienia, dlaczego w przypadku, „jeżeli upadły wykonuje działalność gospodarczą, o której mowa w ustawie z dnia 13 czerwca 2019 r. o wykonywaniu działalności gospodarczej w zakresie wytwarzania i obrotu materiałami wybuchowymi, bronią, amunicją oraz wyrobami i technologią o przeznaczeniu wojskowym lub policyjnym”, jest powiadamiany jedynie Minister Obrony Narodowej, podczas gdy organem koncesyjnym w tym przypadku jest minister właściwy do spraw wewnętrznych, natomiast zezwolenia na wywóz broni palnej, części, istotnych komponentów lub amunicji udziela minister właściwy do spraw gospodarki,</w:t>
            </w:r>
            <w:r w:rsidRPr="00EA4BDA">
              <w:rPr>
                <w:rFonts w:cstheme="minorHAnsi"/>
              </w:rPr>
              <w:t xml:space="preserve"> </w:t>
            </w:r>
          </w:p>
          <w:p w14:paraId="00DECA4A" w14:textId="44388435" w:rsidR="00E40839" w:rsidRPr="00EA4BDA" w:rsidRDefault="000901F5" w:rsidP="00E40839">
            <w:pPr>
              <w:autoSpaceDE w:val="0"/>
              <w:autoSpaceDN w:val="0"/>
              <w:adjustRightInd w:val="0"/>
              <w:jc w:val="both"/>
              <w:rPr>
                <w:rFonts w:cstheme="minorHAnsi"/>
              </w:rPr>
            </w:pPr>
            <w:r w:rsidRPr="00EA4BDA">
              <w:rPr>
                <w:rFonts w:cstheme="minorHAnsi"/>
              </w:rPr>
              <w:t xml:space="preserve">b) </w:t>
            </w:r>
            <w:r w:rsidR="00E40839" w:rsidRPr="00EA4BDA">
              <w:rPr>
                <w:rFonts w:cstheme="minorHAnsi"/>
              </w:rPr>
              <w:t>jeśli intencją prawodawcy ma być jedynie, jak wynika z uzasadnienia,</w:t>
            </w:r>
            <w:r w:rsidRPr="00EA4BDA">
              <w:rPr>
                <w:rFonts w:cstheme="minorHAnsi"/>
              </w:rPr>
              <w:t xml:space="preserve"> </w:t>
            </w:r>
            <w:r w:rsidR="00E40839" w:rsidRPr="00EA4BDA">
              <w:rPr>
                <w:rFonts w:cstheme="minorHAnsi"/>
              </w:rPr>
              <w:t>nałożenie obowiązku powiadomienia w związku z możliwym zastosowaniem</w:t>
            </w:r>
            <w:r w:rsidRPr="00EA4BDA">
              <w:rPr>
                <w:rFonts w:cstheme="minorHAnsi"/>
              </w:rPr>
              <w:t xml:space="preserve"> </w:t>
            </w:r>
            <w:r w:rsidR="00E40839" w:rsidRPr="00EA4BDA">
              <w:rPr>
                <w:rFonts w:cstheme="minorHAnsi"/>
              </w:rPr>
              <w:t>przepisów Prawa upadłościowego do składników majątku służących do</w:t>
            </w:r>
            <w:r w:rsidRPr="00EA4BDA">
              <w:rPr>
                <w:rFonts w:cstheme="minorHAnsi"/>
              </w:rPr>
              <w:t xml:space="preserve"> </w:t>
            </w:r>
            <w:r w:rsidR="00E40839" w:rsidRPr="00EA4BDA">
              <w:rPr>
                <w:rFonts w:cstheme="minorHAnsi"/>
              </w:rPr>
              <w:t>prowadzenia działalności w dziedzinie obronności i bezpieczeństwa państwa,</w:t>
            </w:r>
            <w:r w:rsidRPr="00EA4BDA">
              <w:rPr>
                <w:rFonts w:cstheme="minorHAnsi"/>
              </w:rPr>
              <w:t xml:space="preserve"> </w:t>
            </w:r>
            <w:r w:rsidR="00E40839" w:rsidRPr="00EA4BDA">
              <w:rPr>
                <w:rFonts w:cstheme="minorHAnsi"/>
              </w:rPr>
              <w:t xml:space="preserve">wydaje się, że </w:t>
            </w:r>
            <w:r w:rsidR="00E40839" w:rsidRPr="00EA4BDA">
              <w:rPr>
                <w:rFonts w:cstheme="minorHAnsi"/>
              </w:rPr>
              <w:lastRenderedPageBreak/>
              <w:t>zasadne byłoby ograniczenie tego powiadomienia tylko do</w:t>
            </w:r>
            <w:r w:rsidRPr="00EA4BDA">
              <w:rPr>
                <w:rFonts w:cstheme="minorHAnsi"/>
              </w:rPr>
              <w:t xml:space="preserve"> </w:t>
            </w:r>
            <w:r w:rsidR="00E40839" w:rsidRPr="00EA4BDA">
              <w:rPr>
                <w:rFonts w:cstheme="minorHAnsi"/>
              </w:rPr>
              <w:t>działalności gospodarczej spójnej z zakresem wyznaczanym przez art. 6 ust. 2</w:t>
            </w:r>
            <w:r w:rsidRPr="00EA4BDA">
              <w:rPr>
                <w:rFonts w:cstheme="minorHAnsi"/>
              </w:rPr>
              <w:t xml:space="preserve"> </w:t>
            </w:r>
            <w:r w:rsidR="00E40839" w:rsidRPr="00EA4BDA">
              <w:rPr>
                <w:rFonts w:cstheme="minorHAnsi"/>
              </w:rPr>
              <w:t>ustawy z dnia 17 listopada 2006 r. o systemie oceny zgodności wyrobów</w:t>
            </w:r>
            <w:r w:rsidRPr="00EA4BDA">
              <w:rPr>
                <w:rFonts w:cstheme="minorHAnsi"/>
              </w:rPr>
              <w:t xml:space="preserve"> </w:t>
            </w:r>
            <w:r w:rsidR="00E40839" w:rsidRPr="00EA4BDA">
              <w:rPr>
                <w:rFonts w:cstheme="minorHAnsi"/>
              </w:rPr>
              <w:t>przeznaczonych na potrzeby obronności i bezpieczeństwa państwa, z</w:t>
            </w:r>
            <w:r w:rsidRPr="00EA4BDA">
              <w:rPr>
                <w:rFonts w:cstheme="minorHAnsi"/>
              </w:rPr>
              <w:t xml:space="preserve"> </w:t>
            </w:r>
            <w:r w:rsidR="00E40839" w:rsidRPr="00EA4BDA">
              <w:rPr>
                <w:rFonts w:cstheme="minorHAnsi"/>
              </w:rPr>
              <w:t xml:space="preserve">uwzględnieniem wskazanych tam </w:t>
            </w:r>
            <w:proofErr w:type="spellStart"/>
            <w:r w:rsidR="00E40839" w:rsidRPr="00EA4BDA">
              <w:rPr>
                <w:rFonts w:cstheme="minorHAnsi"/>
              </w:rPr>
              <w:t>wyłączeń</w:t>
            </w:r>
            <w:proofErr w:type="spellEnd"/>
            <w:r w:rsidR="00E40839" w:rsidRPr="00EA4BDA">
              <w:rPr>
                <w:rFonts w:cstheme="minorHAnsi"/>
              </w:rPr>
              <w:t>,</w:t>
            </w:r>
          </w:p>
          <w:p w14:paraId="1DCE62B6" w14:textId="08FCCC8D" w:rsidR="00E40839" w:rsidRPr="00EA4BDA" w:rsidRDefault="00E40839" w:rsidP="000901F5">
            <w:pPr>
              <w:autoSpaceDE w:val="0"/>
              <w:autoSpaceDN w:val="0"/>
              <w:adjustRightInd w:val="0"/>
              <w:jc w:val="both"/>
              <w:rPr>
                <w:rFonts w:cstheme="minorHAnsi"/>
              </w:rPr>
            </w:pPr>
            <w:r w:rsidRPr="00EA4BDA">
              <w:rPr>
                <w:rFonts w:cstheme="minorHAnsi"/>
              </w:rPr>
              <w:t>c) wymaga wyjaśnienia, czy działalność regulowana ustawą z dnia 13 czerwca</w:t>
            </w:r>
            <w:r w:rsidR="000901F5" w:rsidRPr="00EA4BDA">
              <w:rPr>
                <w:rFonts w:cstheme="minorHAnsi"/>
              </w:rPr>
              <w:t xml:space="preserve"> </w:t>
            </w:r>
            <w:r w:rsidRPr="00EA4BDA">
              <w:rPr>
                <w:rFonts w:cstheme="minorHAnsi"/>
              </w:rPr>
              <w:t>2019 r. o wykonywaniu działalności gospodarczej w zakresie wytwarzania</w:t>
            </w:r>
            <w:r w:rsidR="000901F5" w:rsidRPr="00EA4BDA">
              <w:rPr>
                <w:rFonts w:cstheme="minorHAnsi"/>
              </w:rPr>
              <w:t xml:space="preserve"> </w:t>
            </w:r>
            <w:r w:rsidRPr="00EA4BDA">
              <w:rPr>
                <w:rFonts w:cstheme="minorHAnsi"/>
              </w:rPr>
              <w:t>i obrotu materiałami wybuchowymi, bronią, amunicją oraz wyrobami</w:t>
            </w:r>
            <w:r w:rsidR="000901F5" w:rsidRPr="00EA4BDA">
              <w:rPr>
                <w:rFonts w:cstheme="minorHAnsi"/>
              </w:rPr>
              <w:t xml:space="preserve"> </w:t>
            </w:r>
            <w:r w:rsidRPr="00EA4BDA">
              <w:rPr>
                <w:rFonts w:cstheme="minorHAnsi"/>
              </w:rPr>
              <w:t>i technologią o przeznaczeniu wojskowym lub policyjnym jest jedyną,</w:t>
            </w:r>
            <w:r w:rsidR="000901F5" w:rsidRPr="00EA4BDA">
              <w:rPr>
                <w:rFonts w:cstheme="minorHAnsi"/>
              </w:rPr>
              <w:t xml:space="preserve"> </w:t>
            </w:r>
            <w:r w:rsidRPr="00EA4BDA">
              <w:rPr>
                <w:rFonts w:cstheme="minorHAnsi"/>
              </w:rPr>
              <w:t>w przypadku której powinno następować powiadomienie Ministra Obrony</w:t>
            </w:r>
            <w:r w:rsidR="000901F5" w:rsidRPr="00EA4BDA">
              <w:rPr>
                <w:rFonts w:cstheme="minorHAnsi"/>
              </w:rPr>
              <w:t xml:space="preserve"> </w:t>
            </w:r>
            <w:r w:rsidRPr="00EA4BDA">
              <w:rPr>
                <w:rFonts w:cstheme="minorHAnsi"/>
              </w:rPr>
              <w:t>Narodowej w celu ewentualnego zastosowania art. 311 ust. 1aa Prawa</w:t>
            </w:r>
            <w:r w:rsidR="000901F5" w:rsidRPr="00EA4BDA">
              <w:rPr>
                <w:rFonts w:cstheme="minorHAnsi"/>
              </w:rPr>
              <w:t xml:space="preserve"> </w:t>
            </w:r>
            <w:r w:rsidRPr="00EA4BDA">
              <w:rPr>
                <w:rFonts w:cstheme="minorHAnsi"/>
              </w:rPr>
              <w:t>upadłościowego</w:t>
            </w:r>
            <w:r w:rsidR="00E3185B" w:rsidRPr="00EA4BDA">
              <w:rPr>
                <w:rFonts w:cstheme="minorHAnsi"/>
              </w:rPr>
              <w:t>.</w:t>
            </w:r>
          </w:p>
        </w:tc>
        <w:tc>
          <w:tcPr>
            <w:tcW w:w="5245" w:type="dxa"/>
          </w:tcPr>
          <w:p w14:paraId="509541CD" w14:textId="77777777" w:rsidR="009B6B53" w:rsidRPr="00606D20" w:rsidRDefault="009B6B53" w:rsidP="009B6B53">
            <w:pPr>
              <w:jc w:val="both"/>
              <w:rPr>
                <w:rFonts w:cstheme="minorHAnsi"/>
              </w:rPr>
            </w:pPr>
            <w:r w:rsidRPr="00606D20">
              <w:rPr>
                <w:rFonts w:cstheme="minorHAnsi"/>
              </w:rPr>
              <w:lastRenderedPageBreak/>
              <w:t xml:space="preserve">Uwagę uwzględniono częściowo. W treści przepisu Minister Obrony Narodowej zostanie wskazany nazwą własną, a nie poprzez określenie działu administracji rządowej. </w:t>
            </w:r>
          </w:p>
          <w:p w14:paraId="090A3157" w14:textId="77777777" w:rsidR="009B6B53" w:rsidRPr="00606D20" w:rsidRDefault="009B6B53" w:rsidP="009B6B53">
            <w:pPr>
              <w:jc w:val="both"/>
              <w:rPr>
                <w:rFonts w:cstheme="minorHAnsi"/>
              </w:rPr>
            </w:pPr>
          </w:p>
          <w:p w14:paraId="67137E3E" w14:textId="77777777" w:rsidR="009B6B53" w:rsidRPr="00606D20" w:rsidRDefault="009B6B53" w:rsidP="009B6B53">
            <w:pPr>
              <w:jc w:val="both"/>
              <w:rPr>
                <w:rFonts w:cstheme="minorHAnsi"/>
              </w:rPr>
            </w:pPr>
            <w:r w:rsidRPr="00606D20">
              <w:rPr>
                <w:rFonts w:cstheme="minorHAnsi"/>
              </w:rPr>
              <w:t>Odnosząc się do pozostałych uwag należy wyjaśnić, że opiniowany przepis został dodany do projektu z inicjatywy Ministerstwa Obrony Narodowej, a jego brzmienie uwzględnia postulaty przedstawione przez to Ministerstwo. W toku uzgodnień międzyresortowych ani minister właściwy do spraw wewnętrznych, ani minister właściwy do spraw gospodarki nie zgłaszali zastrzeżeń co do obecnego brzmienia przepisu, w szczególności nie wskazywali na konieczność wymienienia ich w jego treści. Projektodawca nie sprzeciwia się wprowadzeniu obowiązku zawiadamiania innych podmiotów, jednak nie może to odbyć się bez ich woli. Jak wyżej wskazano, potrzeby w tym zakresie nie były zgłaszane w toku procesu legislacyjnego.</w:t>
            </w:r>
          </w:p>
          <w:p w14:paraId="71DEEDBB" w14:textId="77777777" w:rsidR="009B6B53" w:rsidRPr="00606D20" w:rsidRDefault="009B6B53" w:rsidP="009B6B53">
            <w:pPr>
              <w:jc w:val="both"/>
              <w:rPr>
                <w:rFonts w:cstheme="minorHAnsi"/>
              </w:rPr>
            </w:pPr>
          </w:p>
          <w:p w14:paraId="10531DA4" w14:textId="77777777" w:rsidR="009B6B53" w:rsidRPr="00606D20" w:rsidRDefault="009B6B53" w:rsidP="009B6B53">
            <w:pPr>
              <w:jc w:val="both"/>
              <w:rPr>
                <w:rFonts w:cstheme="minorHAnsi"/>
              </w:rPr>
            </w:pPr>
            <w:r w:rsidRPr="00606D20">
              <w:rPr>
                <w:rFonts w:cstheme="minorHAnsi"/>
              </w:rPr>
              <w:lastRenderedPageBreak/>
              <w:t>Niezależnie od powyższego podkreślenia wymaga, że zainteresowane organy mogą uzyskać informację o ogłoszeniu upadłości podmiotów prowadzących określoną działalność gospodarczą za pośrednictwem systemu elektronicznego – Krajowego Rejestru Zadłużonych.</w:t>
            </w:r>
          </w:p>
          <w:p w14:paraId="5FA4D60C" w14:textId="77777777" w:rsidR="009B6B53" w:rsidRPr="00606D20" w:rsidRDefault="009B6B53" w:rsidP="009B6B53">
            <w:pPr>
              <w:jc w:val="both"/>
              <w:rPr>
                <w:rFonts w:cstheme="minorHAnsi"/>
              </w:rPr>
            </w:pPr>
          </w:p>
          <w:p w14:paraId="51B47069" w14:textId="77777777" w:rsidR="009B6B53" w:rsidRPr="00606D20" w:rsidRDefault="009B6B53" w:rsidP="009B6B53">
            <w:pPr>
              <w:jc w:val="both"/>
              <w:rPr>
                <w:rFonts w:cstheme="minorHAnsi"/>
              </w:rPr>
            </w:pPr>
            <w:r w:rsidRPr="00606D20">
              <w:rPr>
                <w:rFonts w:cstheme="minorHAnsi"/>
              </w:rPr>
              <w:t>W zakresie pozostałych uwag dotyczących tego przepisu projektodawca wyjaśnia, że zakres i przesłanki powiadomienia zostały określone przez Ministra Obrony Narodowej. Przepis odpowiada na potrzeby zgłoszone przez ten organ administracji. Projektodawca nie sprzeciwia się wprowadzeniu do jego treści proponowanych przez Prezesa RCL modyfikacji, jednak to do Ministra Obrony Narodowej należy ocena, czy jest to konieczne.</w:t>
            </w:r>
          </w:p>
          <w:p w14:paraId="1249551F" w14:textId="77777777" w:rsidR="009B6B53" w:rsidRPr="00606D20" w:rsidRDefault="009B6B53" w:rsidP="009B6B53">
            <w:pPr>
              <w:jc w:val="both"/>
              <w:rPr>
                <w:rFonts w:cstheme="minorHAnsi"/>
              </w:rPr>
            </w:pPr>
          </w:p>
          <w:p w14:paraId="11ADAF65" w14:textId="14A417EE" w:rsidR="002A6E89" w:rsidRPr="009B6B53" w:rsidRDefault="009B6B53" w:rsidP="009B6B53">
            <w:pPr>
              <w:jc w:val="both"/>
              <w:rPr>
                <w:rFonts w:eastAsia="Times New Roman" w:cstheme="minorHAnsi"/>
              </w:rPr>
            </w:pPr>
            <w:r w:rsidRPr="00606D20">
              <w:rPr>
                <w:rFonts w:cstheme="minorHAnsi"/>
              </w:rPr>
              <w:t xml:space="preserve">Jak wynika ze stanowiska przedstawionego przez Ministra Obrony Narodowej (znak </w:t>
            </w:r>
            <w:r w:rsidRPr="00606D20">
              <w:rPr>
                <w:rFonts w:eastAsia="Times New Roman" w:cstheme="minorHAnsi"/>
              </w:rPr>
              <w:t xml:space="preserve">DP-WUPiPRz.0212.781.2023.IG) </w:t>
            </w:r>
            <w:r w:rsidRPr="00606D20">
              <w:rPr>
                <w:rFonts w:eastAsia="Calibri" w:cstheme="minorHAnsi"/>
                <w:bCs/>
                <w:iCs/>
              </w:rPr>
              <w:t xml:space="preserve">przywołanie </w:t>
            </w:r>
            <w:r w:rsidRPr="00606D20">
              <w:rPr>
                <w:rFonts w:eastAsia="Calibri" w:cstheme="minorHAnsi"/>
                <w:bCs/>
                <w:i/>
                <w:iCs/>
              </w:rPr>
              <w:t xml:space="preserve">ustawy z dnia 17 listopada 2006 r. </w:t>
            </w:r>
            <w:r w:rsidRPr="00606D20">
              <w:rPr>
                <w:rFonts w:eastAsia="Calibri" w:cstheme="minorHAnsi"/>
                <w:bCs/>
                <w:i/>
                <w:iCs/>
              </w:rPr>
              <w:br/>
              <w:t xml:space="preserve">o systemie oceny zgodności wyrobów przeznaczonych na potrzeby obronności </w:t>
            </w:r>
            <w:r w:rsidRPr="00606D20">
              <w:rPr>
                <w:rFonts w:eastAsia="Calibri" w:cstheme="minorHAnsi"/>
                <w:bCs/>
                <w:i/>
                <w:iCs/>
              </w:rPr>
              <w:br/>
              <w:t>i bezpieczeństwa państwa</w:t>
            </w:r>
            <w:r w:rsidRPr="00606D20">
              <w:rPr>
                <w:rFonts w:eastAsia="Calibri" w:cstheme="minorHAnsi"/>
                <w:bCs/>
                <w:iCs/>
              </w:rPr>
              <w:t xml:space="preserve"> (Dz. U. z 2022 r. poz. 747), w ocenie resortu, wydaje się być nieuzasadnione i może skutkować pewnymi ograniczeniami. Powyższa ustawa odnosi się bowiem do procedur kontroli jakości wyrobów w ramach oceny zgodności, nie zaś do procesów produkcyjnych (naprawczych) stosowanych przy prowadzeniu działalności gospodarczej. Nie wszystkie wyroby o przeznaczeniu wojskowym lub policyjnym podlegają ocenie zgodności w procedurach opisanych wyżej przywołaną ustawą, ponieważ mogą podlegać kontroli jakości na zasadach ogólnych, określonych w </w:t>
            </w:r>
            <w:r w:rsidRPr="00606D20">
              <w:rPr>
                <w:rFonts w:eastAsia="Calibri" w:cstheme="minorHAnsi"/>
                <w:bCs/>
                <w:i/>
                <w:iCs/>
              </w:rPr>
              <w:t xml:space="preserve">ustawie z dnia 30 sierpnia 2002 r. o systemie oceny zgodności </w:t>
            </w:r>
            <w:r w:rsidRPr="00606D20">
              <w:rPr>
                <w:rFonts w:eastAsia="Calibri" w:cstheme="minorHAnsi"/>
                <w:bCs/>
                <w:iCs/>
              </w:rPr>
              <w:t xml:space="preserve">(Dz.U. z 2023 r. poz. 215). Ponadto, </w:t>
            </w:r>
            <w:r w:rsidRPr="00606D20">
              <w:rPr>
                <w:rFonts w:eastAsia="Calibri" w:cstheme="minorHAnsi"/>
                <w:bCs/>
                <w:iCs/>
              </w:rPr>
              <w:lastRenderedPageBreak/>
              <w:t xml:space="preserve">odniesienie do </w:t>
            </w:r>
            <w:r w:rsidRPr="00606D20">
              <w:rPr>
                <w:rFonts w:eastAsia="Calibri" w:cstheme="minorHAnsi"/>
                <w:bCs/>
                <w:i/>
                <w:iCs/>
              </w:rPr>
              <w:t xml:space="preserve">ustawy z dnia 13 czerwca 2019 r. o wykonywaniu działalności gospodarczej w zakresie wytwarzania i obrotu materiałami wybuchowymi, bronią, amunicją oraz wyrobami i technologią o przeznaczeniu wojskowym lub policyjnym </w:t>
            </w:r>
            <w:r w:rsidRPr="00606D20">
              <w:rPr>
                <w:rFonts w:eastAsia="Calibri" w:cstheme="minorHAnsi"/>
                <w:bCs/>
                <w:iCs/>
              </w:rPr>
              <w:t xml:space="preserve">(Dz. U. z 2022 r. poz. 1650 z </w:t>
            </w:r>
            <w:proofErr w:type="spellStart"/>
            <w:r w:rsidRPr="00606D20">
              <w:rPr>
                <w:rFonts w:eastAsia="Calibri" w:cstheme="minorHAnsi"/>
                <w:bCs/>
                <w:iCs/>
              </w:rPr>
              <w:t>późn</w:t>
            </w:r>
            <w:proofErr w:type="spellEnd"/>
            <w:r w:rsidRPr="00606D20">
              <w:rPr>
                <w:rFonts w:eastAsia="Calibri" w:cstheme="minorHAnsi"/>
                <w:bCs/>
                <w:iCs/>
              </w:rPr>
              <w:t xml:space="preserve">. zm.), a nie do art. 6 ust. 2 </w:t>
            </w:r>
            <w:r w:rsidRPr="00606D20">
              <w:rPr>
                <w:rFonts w:eastAsia="Calibri" w:cstheme="minorHAnsi"/>
                <w:bCs/>
                <w:i/>
                <w:iCs/>
              </w:rPr>
              <w:t>ustawy z dnia 17 listopada 2006 r. o systemie oceny zgodności wyrobów przeznaczonych na potrzeby obronności i bezpieczeństwa państwa</w:t>
            </w:r>
            <w:r w:rsidRPr="00606D20">
              <w:rPr>
                <w:rFonts w:eastAsia="Calibri" w:cstheme="minorHAnsi"/>
                <w:bCs/>
                <w:iCs/>
              </w:rPr>
              <w:t xml:space="preserve">, jest ściśle związane z uprawnieniami Ministra Obrony Narodowej wynikającymi z art. 311 </w:t>
            </w:r>
            <w:r w:rsidRPr="00606D20">
              <w:rPr>
                <w:rFonts w:eastAsia="Calibri" w:cstheme="minorHAnsi"/>
                <w:bCs/>
                <w:i/>
                <w:iCs/>
              </w:rPr>
              <w:t>ustawy – Prawo upadłościowe</w:t>
            </w:r>
            <w:r w:rsidRPr="00606D20">
              <w:rPr>
                <w:rFonts w:eastAsia="Calibri" w:cstheme="minorHAnsi"/>
                <w:bCs/>
                <w:iCs/>
              </w:rPr>
              <w:t xml:space="preserve">, tj. wobec upadłego, wykorzystującego w procesie produkcji (naprawy) składniki majątku służące do prowadzenia działalności w dziedzinie obronności i bezpieczeństwa państwa. Prowadzenie działalności w dziedzinie obronności i bezpieczeństwa państwa jest pojęciem szerszym niż określenie wyrobów w art. 6 ust. 2 </w:t>
            </w:r>
            <w:r w:rsidRPr="00606D20">
              <w:rPr>
                <w:rFonts w:eastAsia="Calibri" w:cstheme="minorHAnsi"/>
                <w:bCs/>
                <w:i/>
                <w:iCs/>
              </w:rPr>
              <w:t>ustawy z dnia 17 listopada 2006 r. o systemie oceny zgodności wyrobów przeznaczonych na potrzeby obronności i bezpieczeństwa państwa</w:t>
            </w:r>
            <w:r w:rsidRPr="00606D20">
              <w:rPr>
                <w:rFonts w:eastAsia="Calibri" w:cstheme="minorHAnsi"/>
                <w:bCs/>
                <w:iCs/>
              </w:rPr>
              <w:t xml:space="preserve">. Przepis ten odnosi się jedynie do wyrobów (sprzętu wojskowego i pozostałego uzbrojenia), a więc tylko do nieznacznej części składników majątku upadłego, które są wykorzystywane w procesie produkcji (naprawy, modernizacji, modyfikacji) sprzętu wojskowego. Należy zauważyć, iż Minister Obrony Narodowej, w ramach przysługującego mu prawa wykupu, może zgłosić chęć skorzystania z prawa wykupu także do całego przedsiębiorstwa upadłego lub jego zorganizowanej części, środków trwałych oraz wartości niematerialnych i prawnych, tj. w szczególności praw własności przemysłowej, dokumentacji technicznej, eksploatacyjnej, serwisowej. Odniesienie się do </w:t>
            </w:r>
            <w:r w:rsidRPr="00606D20">
              <w:rPr>
                <w:rFonts w:eastAsia="Calibri" w:cstheme="minorHAnsi"/>
                <w:bCs/>
                <w:i/>
                <w:iCs/>
              </w:rPr>
              <w:t>ustawy z dnia 13 czerwca 2019 r. o wykonywaniu działalności gospodarczej w zakresie wytwarzania i obrotu materia</w:t>
            </w:r>
            <w:r w:rsidRPr="00BA0E6F">
              <w:rPr>
                <w:rFonts w:eastAsia="Calibri" w:cstheme="minorHAnsi"/>
                <w:bCs/>
                <w:i/>
                <w:iCs/>
              </w:rPr>
              <w:t xml:space="preserve">łami wybuchowymi, bronią, amunicją oraz </w:t>
            </w:r>
            <w:r w:rsidRPr="00BA0E6F">
              <w:rPr>
                <w:rFonts w:eastAsia="Calibri" w:cstheme="minorHAnsi"/>
                <w:bCs/>
                <w:i/>
                <w:iCs/>
              </w:rPr>
              <w:lastRenderedPageBreak/>
              <w:t>wyrobami i technologią o przeznaczeniu wojskowym lub policyjnym</w:t>
            </w:r>
            <w:r w:rsidRPr="00BA0E6F">
              <w:rPr>
                <w:rFonts w:eastAsia="Calibri" w:cstheme="minorHAnsi"/>
                <w:bCs/>
                <w:iCs/>
              </w:rPr>
              <w:t xml:space="preserve">, </w:t>
            </w:r>
            <w:r w:rsidRPr="00606D20">
              <w:rPr>
                <w:rFonts w:eastAsia="Calibri" w:cstheme="minorHAnsi"/>
                <w:bCs/>
                <w:iCs/>
              </w:rPr>
              <w:t xml:space="preserve">stanowi możliwie najszersze określenie woli ustawodawcy w zakresie definicji i norm prawnych ujętych między innymi w </w:t>
            </w:r>
            <w:r w:rsidRPr="00606D20">
              <w:rPr>
                <w:rFonts w:eastAsia="Calibri" w:cstheme="minorHAnsi"/>
                <w:bCs/>
                <w:i/>
                <w:iCs/>
              </w:rPr>
              <w:t xml:space="preserve">rozporządzeniu Rady Ministrów z dnia 17 września 2019 r. w sprawie klasyfikacji rodzajów materiałów wybuchowych, broni, amunicji oraz wyrobów i technologii o przeznaczeniu wojskowym lub policyjnym, na których wytwarzanie lub obrót jest wymagane uzyskanie koncesji  </w:t>
            </w:r>
            <w:r w:rsidRPr="00606D20">
              <w:rPr>
                <w:rFonts w:eastAsia="Calibri" w:cstheme="minorHAnsi"/>
                <w:bCs/>
                <w:iCs/>
              </w:rPr>
              <w:t xml:space="preserve">(Dz. U. poz. 1888), tj. akcie wykonawczym do przywołanej powyżej ustawy, a także jest najbardziej zbliżone do określenia tej działalności w rozumieniu prawa wspólnotowego, w szczególności art. 346 Traktatu o Funkcjonowaniu Unii Europejskiej. </w:t>
            </w:r>
            <w:r w:rsidRPr="00606D20">
              <w:rPr>
                <w:rFonts w:eastAsia="Times New Roman" w:cstheme="minorHAnsi"/>
              </w:rPr>
              <w:t xml:space="preserve"> Ponadto w ocenie resortu obrony narodowej ustawa z dnia 13 czerwca 2019 r. o wykonywaniu działalności gospodarczej w zakresie wytwarzania i obrotu materiałami wybuchowymi, bronią, amunicją oraz wyrobami i technologią o przeznaczeniu wojskowym lub policyjnym  wraz z rozporządzeniem Rady Ministrów z dnia 17 września 2019 r. w sprawie klasyfikacji rodzajów materiałów wybuchowych, broni, amunicji oraz wyrobów i technologii o przeznaczeniu wojskowym lub policyjnym, na których wytwarzanie lub obrót jest wymagane uzyskanie koncesji w sposób kompleksowy reguluje problematykę prowadzenia działalności w dziedzinie obronności i bezpieczeństwa państwa, także w rozumieniu prawa wspólnotowego. Należy wskazać, iż ustawa z dnia 6 marca 2018 r. – Prawo przedsiębiorców (Dz. U. z 2023 r. poz. 221 z </w:t>
            </w:r>
            <w:proofErr w:type="spellStart"/>
            <w:r w:rsidRPr="00606D20">
              <w:rPr>
                <w:rFonts w:eastAsia="Times New Roman" w:cstheme="minorHAnsi"/>
              </w:rPr>
              <w:t>późn</w:t>
            </w:r>
            <w:proofErr w:type="spellEnd"/>
            <w:r w:rsidRPr="00606D20">
              <w:rPr>
                <w:rFonts w:eastAsia="Times New Roman" w:cstheme="minorHAnsi"/>
              </w:rPr>
              <w:t xml:space="preserve">. zm.) w art. 37 i nast. w zakresie wykonywania działalności koncesjonowanej – a taką jest działalność w dziedzinie obronności i bezpieczeństwa państwa – odsyła właśnie do przepisów przywołanej powyżej ustawy. Wydaje się zatem za uzasadnione, iż działalność regulowana ustawą z dnia 13 czerwca 2019 r. o wykonywaniu działalności gospodarczej w zakresie wytwarzania i obrotu </w:t>
            </w:r>
            <w:r w:rsidRPr="00606D20">
              <w:rPr>
                <w:rFonts w:eastAsia="Times New Roman" w:cstheme="minorHAnsi"/>
              </w:rPr>
              <w:lastRenderedPageBreak/>
              <w:t>materiałami wybuchowymi, bronią, amunicją oraz wyrobami i technologią o przeznaczeniu wojskowym lub policyjnym, powinna być jedyną, w przypadku której winno następować powiadomienie Ministra Obrony Narodowej w celu ewentualnego zastosowania art. 311 ust. 1aa Prawa upadłościowego.</w:t>
            </w:r>
            <w:r w:rsidRPr="00606D20">
              <w:rPr>
                <w:rFonts w:cstheme="minorHAnsi"/>
              </w:rPr>
              <w:t xml:space="preserve"> </w:t>
            </w:r>
          </w:p>
        </w:tc>
      </w:tr>
      <w:tr w:rsidR="00EA4BDA" w:rsidRPr="00EA4BDA" w14:paraId="715D7A1F" w14:textId="77777777" w:rsidTr="00C36C04">
        <w:tc>
          <w:tcPr>
            <w:tcW w:w="846" w:type="dxa"/>
          </w:tcPr>
          <w:p w14:paraId="22545FE3" w14:textId="77777777" w:rsidR="00136C75" w:rsidRPr="00EA4BDA" w:rsidRDefault="00136C75" w:rsidP="00C36C04">
            <w:pPr>
              <w:pStyle w:val="Akapitzlist"/>
              <w:numPr>
                <w:ilvl w:val="0"/>
                <w:numId w:val="32"/>
              </w:numPr>
              <w:spacing w:line="276" w:lineRule="auto"/>
              <w:rPr>
                <w:rFonts w:asciiTheme="minorHAnsi" w:hAnsiTheme="minorHAnsi" w:cstheme="minorHAnsi"/>
              </w:rPr>
            </w:pPr>
          </w:p>
        </w:tc>
        <w:tc>
          <w:tcPr>
            <w:tcW w:w="1512" w:type="dxa"/>
          </w:tcPr>
          <w:p w14:paraId="19EF54DE" w14:textId="5C2A1FBF" w:rsidR="00136C75" w:rsidRPr="00EA4BDA" w:rsidRDefault="00136C75" w:rsidP="00C36C04">
            <w:pPr>
              <w:spacing w:line="276" w:lineRule="auto"/>
              <w:rPr>
                <w:rFonts w:cstheme="minorHAnsi"/>
                <w:b/>
              </w:rPr>
            </w:pPr>
            <w:r w:rsidRPr="00EA4BDA">
              <w:rPr>
                <w:rFonts w:cstheme="minorHAnsi"/>
                <w:b/>
              </w:rPr>
              <w:t xml:space="preserve">Minister </w:t>
            </w:r>
            <w:r w:rsidR="00A50C33" w:rsidRPr="00EA4BDA">
              <w:rPr>
                <w:rFonts w:cstheme="minorHAnsi"/>
                <w:b/>
              </w:rPr>
              <w:t>Finansów</w:t>
            </w:r>
          </w:p>
        </w:tc>
        <w:tc>
          <w:tcPr>
            <w:tcW w:w="1275" w:type="dxa"/>
          </w:tcPr>
          <w:p w14:paraId="0D97947B" w14:textId="32DFC226" w:rsidR="00136C75" w:rsidRPr="00EA4BDA" w:rsidRDefault="00A50C33" w:rsidP="00C36C04">
            <w:pPr>
              <w:spacing w:line="276" w:lineRule="auto"/>
              <w:rPr>
                <w:rFonts w:cstheme="minorHAnsi"/>
                <w:b/>
              </w:rPr>
            </w:pPr>
            <w:r w:rsidRPr="00EA4BDA">
              <w:rPr>
                <w:rFonts w:cstheme="minorHAnsi"/>
                <w:b/>
              </w:rPr>
              <w:t>art. 3 pkt 23 projektu ustawy</w:t>
            </w:r>
          </w:p>
        </w:tc>
        <w:tc>
          <w:tcPr>
            <w:tcW w:w="5954" w:type="dxa"/>
          </w:tcPr>
          <w:p w14:paraId="0B27DF45" w14:textId="44E05017" w:rsidR="00136C75" w:rsidRPr="00EA4BDA" w:rsidRDefault="00A50C33" w:rsidP="00834299">
            <w:pPr>
              <w:autoSpaceDE w:val="0"/>
              <w:autoSpaceDN w:val="0"/>
              <w:adjustRightInd w:val="0"/>
              <w:jc w:val="both"/>
              <w:rPr>
                <w:rFonts w:cstheme="minorHAnsi"/>
              </w:rPr>
            </w:pPr>
            <w:r w:rsidRPr="00EA4BDA">
              <w:rPr>
                <w:rFonts w:cstheme="minorHAnsi"/>
              </w:rPr>
              <w:t>Proponuję, aby w zakresie zmiany zawartej w art. 3 pkt 23 projektu ustawy (projektowany art. 491</w:t>
            </w:r>
            <w:r w:rsidRPr="00EF45FD">
              <w:rPr>
                <w:rFonts w:cstheme="minorHAnsi"/>
                <w:vertAlign w:val="superscript"/>
              </w:rPr>
              <w:t>11</w:t>
            </w:r>
            <w:r w:rsidRPr="00EA4BDA">
              <w:rPr>
                <w:rFonts w:cstheme="minorHAnsi"/>
              </w:rPr>
              <w:t>b ustawy - Prawo upadłościowe), która, jak wynika z uzasadnienia, ma na celu zwiększenie transparentności i bezpieczeństwa środków pieniężnych powierzanych doradcom restrukturyzacyjnym w ramach postępowań upadłościowych osób nieprowadzących działalności gospodarczej, rozszerzyć projektowany przepis art. 49111b ust. 1 pkt 2 ustawy − Prawo upadłościowe o możliwość przechowywania środków pieniężnych również na rachunku depozytowym Ministra Finansów, analogicznie jak w art. 227 ustawy – Prawo upadłościowe, zgodnie z którym sumy pieniężne wchodzące do masy upadłości oraz sumy uzyskane ze zbycia rzeczy i praw obciążonych rzeczowo, jeżeli nie podlegają natychmiastowemu wydaniu, syndyk składa na oprocentowany rachunek bankowy lub na rachunek depozytowy Ministra Finansów.</w:t>
            </w:r>
          </w:p>
        </w:tc>
        <w:tc>
          <w:tcPr>
            <w:tcW w:w="5245" w:type="dxa"/>
          </w:tcPr>
          <w:p w14:paraId="517BC29F" w14:textId="77777777" w:rsidR="00FF4505" w:rsidRDefault="00FF4505" w:rsidP="00FF4505">
            <w:pPr>
              <w:jc w:val="both"/>
            </w:pPr>
            <w:r w:rsidRPr="0051308A">
              <w:t>Uwaga została uwzględniona</w:t>
            </w:r>
            <w:r>
              <w:t>.</w:t>
            </w:r>
          </w:p>
          <w:p w14:paraId="13E6225C" w14:textId="77777777" w:rsidR="00FF4505" w:rsidRDefault="00FF4505" w:rsidP="00FF4505">
            <w:pPr>
              <w:jc w:val="both"/>
            </w:pPr>
          </w:p>
          <w:p w14:paraId="7EC0D9AB" w14:textId="77777777" w:rsidR="00FF4505" w:rsidRPr="00A23214" w:rsidRDefault="00FF4505" w:rsidP="00FF4505">
            <w:pPr>
              <w:jc w:val="both"/>
            </w:pPr>
            <w:r w:rsidRPr="00A23214">
              <w:t>Proponuje się nadanie projektowanemu art. 491</w:t>
            </w:r>
            <w:r w:rsidRPr="00CB47D1">
              <w:rPr>
                <w:vertAlign w:val="superscript"/>
              </w:rPr>
              <w:t>11</w:t>
            </w:r>
            <w:r w:rsidRPr="00A23214">
              <w:t>b ustawy - Prawo upadłościowe następującego brzmienia:</w:t>
            </w:r>
          </w:p>
          <w:p w14:paraId="476B6271" w14:textId="77777777" w:rsidR="00FF4505" w:rsidRDefault="00FF4505" w:rsidP="00FF4505">
            <w:pPr>
              <w:jc w:val="both"/>
            </w:pPr>
          </w:p>
          <w:p w14:paraId="7DAC637C" w14:textId="77777777" w:rsidR="00FF4505" w:rsidRPr="00A23214" w:rsidRDefault="00FF4505" w:rsidP="00FF4505">
            <w:pPr>
              <w:jc w:val="both"/>
            </w:pPr>
            <w:r w:rsidRPr="00A23214">
              <w:t>„Art. 491</w:t>
            </w:r>
            <w:r w:rsidRPr="00A23214">
              <w:rPr>
                <w:vertAlign w:val="superscript"/>
              </w:rPr>
              <w:t>11b</w:t>
            </w:r>
            <w:r w:rsidRPr="00A23214">
              <w:t>. 1. Syndyk przechowuje środki pieniężne wchodzące w skład masy upadłości na:</w:t>
            </w:r>
          </w:p>
          <w:p w14:paraId="59719577" w14:textId="77777777" w:rsidR="00FF4505" w:rsidRPr="00A23214" w:rsidRDefault="00FF4505" w:rsidP="00FF4505">
            <w:pPr>
              <w:jc w:val="both"/>
            </w:pPr>
            <w:r w:rsidRPr="00A23214">
              <w:t>1) rachunku upadłego do którego uzyskał dostęp w związku z pełnieniem funkcji</w:t>
            </w:r>
          </w:p>
          <w:p w14:paraId="757FD529" w14:textId="77777777" w:rsidR="00FF4505" w:rsidRPr="00A23214" w:rsidRDefault="00FF4505" w:rsidP="00FF4505">
            <w:pPr>
              <w:jc w:val="both"/>
            </w:pPr>
            <w:r w:rsidRPr="00A23214">
              <w:t xml:space="preserve">syndyka upadłego </w:t>
            </w:r>
            <w:r>
              <w:t>lub</w:t>
            </w:r>
          </w:p>
          <w:p w14:paraId="44218B6B" w14:textId="77777777" w:rsidR="00FF4505" w:rsidRPr="00A23214" w:rsidRDefault="00FF4505" w:rsidP="00FF4505">
            <w:pPr>
              <w:jc w:val="both"/>
            </w:pPr>
            <w:r w:rsidRPr="00A23214">
              <w:t>2) na należącym do syndyka, wyodrębnionym rachunku bankowym</w:t>
            </w:r>
            <w:r>
              <w:t xml:space="preserve"> lub</w:t>
            </w:r>
          </w:p>
          <w:p w14:paraId="55EE55B8" w14:textId="77777777" w:rsidR="00FF4505" w:rsidRDefault="00FF4505" w:rsidP="00FF4505">
            <w:pPr>
              <w:jc w:val="both"/>
              <w:rPr>
                <w:u w:val="single"/>
              </w:rPr>
            </w:pPr>
            <w:r w:rsidRPr="00A23214">
              <w:rPr>
                <w:u w:val="single"/>
              </w:rPr>
              <w:t>3) na rachunku depozytowym Ministra Finansów.</w:t>
            </w:r>
            <w:r>
              <w:rPr>
                <w:u w:val="single"/>
              </w:rPr>
              <w:t>”</w:t>
            </w:r>
          </w:p>
          <w:p w14:paraId="13AD1078" w14:textId="056E4C21" w:rsidR="001545F9" w:rsidRPr="00EA4BDA" w:rsidRDefault="001545F9" w:rsidP="00C36C04">
            <w:pPr>
              <w:spacing w:line="276" w:lineRule="auto"/>
              <w:jc w:val="both"/>
              <w:rPr>
                <w:rFonts w:cstheme="minorHAnsi"/>
              </w:rPr>
            </w:pPr>
          </w:p>
        </w:tc>
      </w:tr>
      <w:tr w:rsidR="00EA4BDA" w:rsidRPr="00EA4BDA" w14:paraId="0FD01D82" w14:textId="77777777" w:rsidTr="00C36C04">
        <w:tc>
          <w:tcPr>
            <w:tcW w:w="846" w:type="dxa"/>
          </w:tcPr>
          <w:p w14:paraId="6A88E543" w14:textId="77777777" w:rsidR="009C4897" w:rsidRPr="00EA4BDA" w:rsidRDefault="009C4897" w:rsidP="00C36C04">
            <w:pPr>
              <w:pStyle w:val="Akapitzlist"/>
              <w:numPr>
                <w:ilvl w:val="0"/>
                <w:numId w:val="32"/>
              </w:numPr>
              <w:spacing w:line="276" w:lineRule="auto"/>
              <w:rPr>
                <w:rFonts w:asciiTheme="minorHAnsi" w:hAnsiTheme="minorHAnsi" w:cstheme="minorHAnsi"/>
              </w:rPr>
            </w:pPr>
          </w:p>
        </w:tc>
        <w:tc>
          <w:tcPr>
            <w:tcW w:w="1512" w:type="dxa"/>
          </w:tcPr>
          <w:p w14:paraId="20D038FF" w14:textId="6470D4CA" w:rsidR="009C4897" w:rsidRPr="00EA4BDA" w:rsidRDefault="009C4897" w:rsidP="00C36C04">
            <w:pPr>
              <w:spacing w:line="276" w:lineRule="auto"/>
              <w:rPr>
                <w:rFonts w:cstheme="minorHAnsi"/>
                <w:b/>
              </w:rPr>
            </w:pPr>
            <w:r w:rsidRPr="00EA4BDA">
              <w:rPr>
                <w:rFonts w:cstheme="minorHAnsi"/>
                <w:b/>
              </w:rPr>
              <w:t>RCL</w:t>
            </w:r>
          </w:p>
        </w:tc>
        <w:tc>
          <w:tcPr>
            <w:tcW w:w="1275" w:type="dxa"/>
          </w:tcPr>
          <w:p w14:paraId="3A344708" w14:textId="28D5D3C2" w:rsidR="00DF45CE" w:rsidRPr="00EA4BDA" w:rsidRDefault="009C4897" w:rsidP="00DF45CE">
            <w:pPr>
              <w:spacing w:line="276" w:lineRule="auto"/>
              <w:rPr>
                <w:rFonts w:cstheme="minorHAnsi"/>
                <w:b/>
              </w:rPr>
            </w:pPr>
            <w:r w:rsidRPr="00EA4BDA">
              <w:rPr>
                <w:rFonts w:cstheme="minorHAnsi"/>
                <w:b/>
              </w:rPr>
              <w:t xml:space="preserve">art. 5 pkt 1 projektu </w:t>
            </w:r>
          </w:p>
          <w:p w14:paraId="6F275990" w14:textId="29CB03AE" w:rsidR="009C4897" w:rsidRPr="00EA4BDA" w:rsidRDefault="009C4897" w:rsidP="009C4897">
            <w:pPr>
              <w:spacing w:line="276" w:lineRule="auto"/>
              <w:rPr>
                <w:rFonts w:cstheme="minorHAnsi"/>
                <w:b/>
              </w:rPr>
            </w:pPr>
          </w:p>
        </w:tc>
        <w:tc>
          <w:tcPr>
            <w:tcW w:w="5954" w:type="dxa"/>
          </w:tcPr>
          <w:p w14:paraId="53A3DBBA" w14:textId="35865102" w:rsidR="009C4897" w:rsidRPr="00EA4BDA" w:rsidRDefault="00DF45CE" w:rsidP="00DF45CE">
            <w:pPr>
              <w:autoSpaceDE w:val="0"/>
              <w:autoSpaceDN w:val="0"/>
              <w:adjustRightInd w:val="0"/>
              <w:jc w:val="both"/>
              <w:rPr>
                <w:rFonts w:cstheme="minorHAnsi"/>
              </w:rPr>
            </w:pPr>
            <w:r w:rsidRPr="00EA4BDA">
              <w:rPr>
                <w:rFonts w:cstheme="minorHAnsi"/>
              </w:rPr>
              <w:t>w art. 5 pkt 1 projektu, dotyczącym zmiany art. 7 ustawy z dnia 15 czerwca 2007 r. o licencji doradcy restrukturyzacyjnego, proponuje się skreślenie użytego w nawiasie zwrotu „bez rozpoznania”, ponieważ wystarczające jest sformułowanie o pozostawieniu wniosku o dopuszczenie do egzaminu bez biegu;</w:t>
            </w:r>
          </w:p>
        </w:tc>
        <w:tc>
          <w:tcPr>
            <w:tcW w:w="5245" w:type="dxa"/>
          </w:tcPr>
          <w:p w14:paraId="016F3DE6" w14:textId="77777777" w:rsidR="00027E0F" w:rsidRPr="00606D20" w:rsidRDefault="00027E0F" w:rsidP="00027E0F">
            <w:pPr>
              <w:jc w:val="both"/>
              <w:rPr>
                <w:rFonts w:cstheme="minorHAnsi"/>
              </w:rPr>
            </w:pPr>
            <w:r w:rsidRPr="00606D20">
              <w:rPr>
                <w:rFonts w:cstheme="minorHAnsi"/>
              </w:rPr>
              <w:t>Uwaga została uwzględniona. Skreślono użyty w nawiasie zwrot „bez rozpoznania”.</w:t>
            </w:r>
          </w:p>
          <w:p w14:paraId="5031567F" w14:textId="154E8C76" w:rsidR="009C4897" w:rsidRPr="00EA4BDA" w:rsidRDefault="009C4897" w:rsidP="00C36C04">
            <w:pPr>
              <w:spacing w:line="276" w:lineRule="auto"/>
              <w:jc w:val="both"/>
              <w:rPr>
                <w:rFonts w:cstheme="minorHAnsi"/>
              </w:rPr>
            </w:pPr>
          </w:p>
        </w:tc>
      </w:tr>
      <w:tr w:rsidR="00EA4BDA" w:rsidRPr="00EA4BDA" w14:paraId="4E8FF2EB" w14:textId="77777777" w:rsidTr="00C36C04">
        <w:tc>
          <w:tcPr>
            <w:tcW w:w="846" w:type="dxa"/>
          </w:tcPr>
          <w:p w14:paraId="0031EE32" w14:textId="77777777" w:rsidR="00DF45CE" w:rsidRPr="00EA4BDA" w:rsidRDefault="00DF45CE" w:rsidP="00C36C04">
            <w:pPr>
              <w:pStyle w:val="Akapitzlist"/>
              <w:numPr>
                <w:ilvl w:val="0"/>
                <w:numId w:val="32"/>
              </w:numPr>
              <w:spacing w:line="276" w:lineRule="auto"/>
              <w:rPr>
                <w:rFonts w:asciiTheme="minorHAnsi" w:hAnsiTheme="minorHAnsi" w:cstheme="minorHAnsi"/>
              </w:rPr>
            </w:pPr>
          </w:p>
        </w:tc>
        <w:tc>
          <w:tcPr>
            <w:tcW w:w="1512" w:type="dxa"/>
          </w:tcPr>
          <w:p w14:paraId="168B9177" w14:textId="0FF37801" w:rsidR="00DF45CE" w:rsidRPr="00EA4BDA" w:rsidRDefault="00C61E76" w:rsidP="00C36C04">
            <w:pPr>
              <w:spacing w:line="276" w:lineRule="auto"/>
              <w:rPr>
                <w:rFonts w:cstheme="minorHAnsi"/>
                <w:b/>
              </w:rPr>
            </w:pPr>
            <w:r w:rsidRPr="00EA4BDA">
              <w:rPr>
                <w:rFonts w:cstheme="minorHAnsi"/>
                <w:b/>
              </w:rPr>
              <w:t>RCL</w:t>
            </w:r>
          </w:p>
        </w:tc>
        <w:tc>
          <w:tcPr>
            <w:tcW w:w="1275" w:type="dxa"/>
          </w:tcPr>
          <w:p w14:paraId="7E8E2206" w14:textId="77777777" w:rsidR="00DF45CE" w:rsidRPr="00EA4BDA" w:rsidRDefault="00DF45CE" w:rsidP="00DF45CE">
            <w:pPr>
              <w:spacing w:line="276" w:lineRule="auto"/>
              <w:rPr>
                <w:rFonts w:cstheme="minorHAnsi"/>
                <w:b/>
              </w:rPr>
            </w:pPr>
            <w:r w:rsidRPr="00EA4BDA">
              <w:rPr>
                <w:rFonts w:cstheme="minorHAnsi"/>
                <w:b/>
              </w:rPr>
              <w:t>art. 5 pkt 2</w:t>
            </w:r>
          </w:p>
          <w:p w14:paraId="03583689" w14:textId="2DBC3F09" w:rsidR="00DF45CE" w:rsidRPr="00EA4BDA" w:rsidRDefault="00DF45CE" w:rsidP="00DF45CE">
            <w:pPr>
              <w:spacing w:line="276" w:lineRule="auto"/>
              <w:rPr>
                <w:rFonts w:cstheme="minorHAnsi"/>
                <w:b/>
              </w:rPr>
            </w:pPr>
            <w:r w:rsidRPr="00EA4BDA">
              <w:rPr>
                <w:rFonts w:cstheme="minorHAnsi"/>
                <w:b/>
              </w:rPr>
              <w:t>i 3 projektu</w:t>
            </w:r>
          </w:p>
        </w:tc>
        <w:tc>
          <w:tcPr>
            <w:tcW w:w="5954" w:type="dxa"/>
          </w:tcPr>
          <w:p w14:paraId="730CD589" w14:textId="105B27E9" w:rsidR="00DF45CE" w:rsidRPr="00EA4BDA" w:rsidRDefault="00DF45CE" w:rsidP="00DF45CE">
            <w:pPr>
              <w:autoSpaceDE w:val="0"/>
              <w:autoSpaceDN w:val="0"/>
              <w:adjustRightInd w:val="0"/>
              <w:jc w:val="both"/>
              <w:rPr>
                <w:rFonts w:cstheme="minorHAnsi"/>
              </w:rPr>
            </w:pPr>
            <w:r w:rsidRPr="00EA4BDA">
              <w:rPr>
                <w:rFonts w:cstheme="minorHAnsi"/>
              </w:rPr>
              <w:t>odnosząc się do projektowanej zmiany ustawy z dnia 15 czerwca 2007 r. o licencji doradcy restrukturyzacyjnego w zakresie wprowadzenia listy doradców restrukturyzacyjnych w związku z wprowadzanym obowiązkiem składania przez doradców restrukturyzacyjnych oświadczeń o wskazaniu trzech sądów (art. 5 pkt 2 i 3 projektu), zauważa się, że:</w:t>
            </w:r>
          </w:p>
          <w:p w14:paraId="6D126DB4" w14:textId="436CF3C4" w:rsidR="00DF45CE" w:rsidRPr="00EA4BDA" w:rsidRDefault="00DF45CE" w:rsidP="00DF45CE">
            <w:pPr>
              <w:autoSpaceDE w:val="0"/>
              <w:autoSpaceDN w:val="0"/>
              <w:adjustRightInd w:val="0"/>
              <w:jc w:val="both"/>
              <w:rPr>
                <w:rFonts w:cstheme="minorHAnsi"/>
              </w:rPr>
            </w:pPr>
            <w:r w:rsidRPr="00EA4BDA">
              <w:rPr>
                <w:rFonts w:cstheme="minorHAnsi"/>
              </w:rPr>
              <w:t xml:space="preserve">a) ograniczenie osobom posiadającym licencję doradcy restrukturyzacyjnego możliwości wykonywania swoich funkcji jedynie do trzech sądów wymaga uzasadnienia, w tym wykazania </w:t>
            </w:r>
            <w:r w:rsidRPr="00EA4BDA">
              <w:rPr>
                <w:rFonts w:cstheme="minorHAnsi"/>
              </w:rPr>
              <w:lastRenderedPageBreak/>
              <w:t>ważnego interesu publicznego, gdyż stanowi to ograniczenie sposobu korzystania z konstytucyjnej zasady wolności działalności gospodarczej,</w:t>
            </w:r>
          </w:p>
          <w:p w14:paraId="6A30DF5E" w14:textId="3632ABCA" w:rsidR="00DF45CE" w:rsidRPr="00EA4BDA" w:rsidRDefault="00DF45CE" w:rsidP="00DF45CE">
            <w:pPr>
              <w:autoSpaceDE w:val="0"/>
              <w:autoSpaceDN w:val="0"/>
              <w:adjustRightInd w:val="0"/>
              <w:jc w:val="both"/>
              <w:rPr>
                <w:rFonts w:cstheme="minorHAnsi"/>
              </w:rPr>
            </w:pPr>
            <w:r w:rsidRPr="00EA4BDA">
              <w:rPr>
                <w:rFonts w:cstheme="minorHAnsi"/>
              </w:rPr>
              <w:t>b) brak projektu aktu wykonawczego uniemożliwia ocenę zupełności regulacji w zakresie zasad tworzenia list doradców restrukturyzacyjnych w sądach – kwestia ta ma istotne znaczenie, gdyż lista ta i jej budowa stanowią istotny czynnik wpływający na zasady powoływania przez sąd nadzorcy sądowego (art. 38 ust. 1 Prawa restrukturyzacyjnego), zarządcy (art. 51 ust. 1 Prawa restrukturyzacyjnego) oraz wyznaczania syndyka (art. 157</w:t>
            </w:r>
            <w:r w:rsidRPr="00EA4BDA">
              <w:rPr>
                <w:rFonts w:cstheme="minorHAnsi"/>
                <w:vertAlign w:val="superscript"/>
              </w:rPr>
              <w:t>1</w:t>
            </w:r>
            <w:r w:rsidRPr="00EA4BDA">
              <w:rPr>
                <w:rFonts w:cstheme="minorHAnsi"/>
              </w:rPr>
              <w:t xml:space="preserve"> ust. 1 Prawa upadłościowego) – ocena zarówno przepisów ustawy o licencji doradcy restrukturyzacyjnego w tym zakresie, jak i wskazanych przepisów Prawa restrukturyzacyjnego i Prawa upadłościowego będzie możliwa po nadesłaniu projektu aktu wykonawczego;</w:t>
            </w:r>
          </w:p>
        </w:tc>
        <w:tc>
          <w:tcPr>
            <w:tcW w:w="5245" w:type="dxa"/>
          </w:tcPr>
          <w:p w14:paraId="3F8F4F73" w14:textId="77777777" w:rsidR="00344E72" w:rsidRPr="00606D20" w:rsidRDefault="00344E72" w:rsidP="00344E72">
            <w:pPr>
              <w:jc w:val="both"/>
              <w:rPr>
                <w:rFonts w:cstheme="minorHAnsi"/>
              </w:rPr>
            </w:pPr>
            <w:r w:rsidRPr="00606D20">
              <w:rPr>
                <w:rFonts w:cstheme="minorHAnsi"/>
              </w:rPr>
              <w:lastRenderedPageBreak/>
              <w:t>Uprzejmie wyjaśniamy, że:</w:t>
            </w:r>
          </w:p>
          <w:p w14:paraId="77E7B3B5" w14:textId="77777777" w:rsidR="00344E72" w:rsidRPr="00606D20" w:rsidRDefault="00344E72" w:rsidP="00344E72">
            <w:pPr>
              <w:jc w:val="both"/>
              <w:rPr>
                <w:rFonts w:cstheme="minorHAnsi"/>
              </w:rPr>
            </w:pPr>
            <w:r w:rsidRPr="00606D20">
              <w:rPr>
                <w:rFonts w:cstheme="minorHAnsi"/>
              </w:rPr>
              <w:t xml:space="preserve">1) proponowana regulacja zachowuje w pełni rynkowy mechanizm wyboru doradcy restrukturyzacyjnego/spółki w przypadku pełnienia funkcji nadzorcy układu. W tego typu postępowaniach, to dłużnik swobodnie wybiera podmiot, który będzie pełnił funkcję w tym postępowaniu, bez ograniczeń związanych z sądową listą doradców restrukturyzacyjnych. Statystycznie, tego typu </w:t>
            </w:r>
            <w:r w:rsidRPr="00606D20">
              <w:rPr>
                <w:rFonts w:cstheme="minorHAnsi"/>
              </w:rPr>
              <w:lastRenderedPageBreak/>
              <w:t>postępowań jest najwięcej spośród postępowań restrukturyzacyjnych;</w:t>
            </w:r>
          </w:p>
          <w:p w14:paraId="0EE62B28" w14:textId="77777777" w:rsidR="00344E72" w:rsidRPr="00606D20" w:rsidRDefault="00344E72" w:rsidP="00344E72">
            <w:pPr>
              <w:jc w:val="both"/>
              <w:rPr>
                <w:rFonts w:cstheme="minorHAnsi"/>
              </w:rPr>
            </w:pPr>
            <w:r w:rsidRPr="00606D20">
              <w:rPr>
                <w:rFonts w:cstheme="minorHAnsi"/>
              </w:rPr>
              <w:t>2) sąd ma zachowaną możliwość pominięcia sądowej listy, co jednak wymaga uzasadnienia i podlega kontroli zażaleniowej;</w:t>
            </w:r>
          </w:p>
          <w:p w14:paraId="2F124F83" w14:textId="77777777" w:rsidR="00344E72" w:rsidRPr="00606D20" w:rsidRDefault="00344E72" w:rsidP="00344E72">
            <w:pPr>
              <w:jc w:val="both"/>
              <w:rPr>
                <w:rFonts w:cstheme="minorHAnsi"/>
              </w:rPr>
            </w:pPr>
            <w:r w:rsidRPr="00606D20">
              <w:rPr>
                <w:rFonts w:cstheme="minorHAnsi"/>
              </w:rPr>
              <w:t>3) w postępowaniach upadłościowych, wierzyciele nie mają ograniczenia w wyborze doradcy restrukturyzacyjnego/spółki doradców restrukturyzacyjnych, który to podmiot wskażą do pełnienia funkcji syndyka;</w:t>
            </w:r>
          </w:p>
          <w:p w14:paraId="6FF614FC" w14:textId="00F0F8DA" w:rsidR="00DF45CE" w:rsidRPr="00EA4BDA" w:rsidRDefault="00344E72" w:rsidP="00344E72">
            <w:pPr>
              <w:jc w:val="both"/>
              <w:rPr>
                <w:rFonts w:cstheme="minorHAnsi"/>
              </w:rPr>
            </w:pPr>
            <w:r w:rsidRPr="00606D20">
              <w:rPr>
                <w:rFonts w:cstheme="minorHAnsi"/>
              </w:rPr>
              <w:t xml:space="preserve">4) pełnienie funkcji w postępowaniu upadłościowym lub restrukturyzacyjnym nadzorcy sądowego, zarządu lub syndyka nie może być traktowane na równi z prowadzeniem działalności gospodarczej na wolnym rynku, gdyż wskazane pozasądowe organy postępowania są wyznaczane przez organ władzy publicznej - sądy, przy ograniczonej liczbie postępowań. Ustawodawca, chcąc zapewnić zobiektywizowany model wyboru nadzorcy sądowego, zarządcy lub syndyka musi brać pod uwagę złożoność wykonywania zawodu doradcy restrukturyzacyjnego w tym liczbę doradców restrukturyzacyjnych, licencyjny model uzyskiwania uprawnień, ograniczoną liczbę postępowań i możliwe nadużycia przyjętego modelu wyboru danego podmiotu do pełnienia funkcji. Skoro ustawodawca dopuścił możliwość tworzenia spółek  doradców restrukturyzacyjnych, model przewidujący wybór z listy doradców restrukturyzacyjnych skłaniałby doradców do tworzenia dużej liczby spółek z tym samym lub zbliżonym składem osobowym, wpisywanych na listy doradców w tym samym sądzie jak i w innych sądach. Takie rozwiązanie umożliwiałoby maksymalizowanie liczby postępowań, w których te same osoby pełniłby funkcje jako osoby fizyczne lub spółki. Podobnie, brak ograniczenia liczby sądów, w których dany doradca może być wpisany na sądową listę premiowałby tych </w:t>
            </w:r>
            <w:r w:rsidRPr="00606D20">
              <w:rPr>
                <w:rFonts w:cstheme="minorHAnsi"/>
              </w:rPr>
              <w:lastRenderedPageBreak/>
              <w:t xml:space="preserve">doradców, którzy pełniliby funkcje w obszarach właściwości wielu sądów, co musiałoby oddziaływać na zwiększenie kosztów tych postępowań i ich sprawność. Co istotne, sądowe listy nie wyłączają korygującego mechanizmu, opisanego wyżej, który wymaga jednak decyzji sądu podlegającej kontroli instancyjnej. </w:t>
            </w:r>
            <w:r>
              <w:rPr>
                <w:rFonts w:cstheme="minorHAnsi"/>
              </w:rPr>
              <w:t>Akty wykonawcze zostały przekazane celem konsultacji.</w:t>
            </w:r>
          </w:p>
        </w:tc>
      </w:tr>
      <w:tr w:rsidR="00EA4BDA" w:rsidRPr="00EA4BDA" w14:paraId="4B882628" w14:textId="77777777" w:rsidTr="00C36C04">
        <w:tc>
          <w:tcPr>
            <w:tcW w:w="846" w:type="dxa"/>
          </w:tcPr>
          <w:p w14:paraId="5A6A0827" w14:textId="77777777" w:rsidR="00C61E76" w:rsidRPr="00EA4BDA" w:rsidRDefault="00C61E76" w:rsidP="00C36C04">
            <w:pPr>
              <w:pStyle w:val="Akapitzlist"/>
              <w:numPr>
                <w:ilvl w:val="0"/>
                <w:numId w:val="32"/>
              </w:numPr>
              <w:spacing w:line="276" w:lineRule="auto"/>
              <w:rPr>
                <w:rFonts w:asciiTheme="minorHAnsi" w:hAnsiTheme="minorHAnsi" w:cstheme="minorHAnsi"/>
              </w:rPr>
            </w:pPr>
          </w:p>
        </w:tc>
        <w:tc>
          <w:tcPr>
            <w:tcW w:w="1512" w:type="dxa"/>
          </w:tcPr>
          <w:p w14:paraId="30C79763" w14:textId="0A4F6A93" w:rsidR="00C61E76" w:rsidRPr="00EA4BDA" w:rsidRDefault="00C61E76" w:rsidP="00C36C04">
            <w:pPr>
              <w:spacing w:line="276" w:lineRule="auto"/>
              <w:rPr>
                <w:rFonts w:cstheme="minorHAnsi"/>
                <w:b/>
              </w:rPr>
            </w:pPr>
            <w:r w:rsidRPr="00EA4BDA">
              <w:rPr>
                <w:rFonts w:cstheme="minorHAnsi"/>
                <w:b/>
              </w:rPr>
              <w:t>RCL</w:t>
            </w:r>
          </w:p>
        </w:tc>
        <w:tc>
          <w:tcPr>
            <w:tcW w:w="1275" w:type="dxa"/>
          </w:tcPr>
          <w:p w14:paraId="740774EC" w14:textId="4E21AFDD" w:rsidR="00C61E76" w:rsidRPr="00EA4BDA" w:rsidRDefault="000D2D71" w:rsidP="00DF45CE">
            <w:pPr>
              <w:spacing w:line="276" w:lineRule="auto"/>
              <w:rPr>
                <w:rFonts w:cstheme="minorHAnsi"/>
                <w:b/>
              </w:rPr>
            </w:pPr>
            <w:r w:rsidRPr="00EA4BDA">
              <w:rPr>
                <w:rFonts w:cstheme="minorHAnsi"/>
                <w:b/>
              </w:rPr>
              <w:t>Art. 7</w:t>
            </w:r>
          </w:p>
        </w:tc>
        <w:tc>
          <w:tcPr>
            <w:tcW w:w="5954" w:type="dxa"/>
          </w:tcPr>
          <w:p w14:paraId="5D1D7845" w14:textId="10D4369A" w:rsidR="00C61E76" w:rsidRPr="00EA4BDA" w:rsidRDefault="000D2D71" w:rsidP="000D2D71">
            <w:pPr>
              <w:autoSpaceDE w:val="0"/>
              <w:autoSpaceDN w:val="0"/>
              <w:adjustRightInd w:val="0"/>
              <w:jc w:val="both"/>
              <w:rPr>
                <w:rFonts w:cstheme="minorHAnsi"/>
              </w:rPr>
            </w:pPr>
            <w:r w:rsidRPr="00EA4BDA">
              <w:rPr>
                <w:rFonts w:cstheme="minorHAnsi"/>
              </w:rPr>
              <w:t>W przepisach przejściowych reguluje się wpływ nowej albo znowelizowanej regulacji na stosunki powstałe pod działaniem regulacji dotychczasowych, natomiast proponowany art. 7 projektu reguluje sytuację powstałą po dniu wejścia w życie projektowanej ustawy, w związku z czym wymaga wykreślenia bądź korekty.</w:t>
            </w:r>
          </w:p>
        </w:tc>
        <w:tc>
          <w:tcPr>
            <w:tcW w:w="5245" w:type="dxa"/>
          </w:tcPr>
          <w:p w14:paraId="1D49FC0B" w14:textId="77777777" w:rsidR="00E12823" w:rsidRPr="00606D20" w:rsidRDefault="00E12823" w:rsidP="00E12823">
            <w:pPr>
              <w:jc w:val="both"/>
              <w:rPr>
                <w:rFonts w:cstheme="minorHAnsi"/>
              </w:rPr>
            </w:pPr>
            <w:r w:rsidRPr="00606D20">
              <w:rPr>
                <w:rFonts w:cstheme="minorHAnsi"/>
              </w:rPr>
              <w:t>Uwaga została uwzględniona. Proponuje się nadania art. 7 projektu następującego brzmienia:</w:t>
            </w:r>
          </w:p>
          <w:p w14:paraId="3A56F402" w14:textId="77777777" w:rsidR="00E12823" w:rsidRPr="00606D20" w:rsidRDefault="00E12823" w:rsidP="00E12823">
            <w:pPr>
              <w:jc w:val="both"/>
              <w:rPr>
                <w:rFonts w:cstheme="minorHAnsi"/>
              </w:rPr>
            </w:pPr>
          </w:p>
          <w:p w14:paraId="34DBCB8A" w14:textId="77777777" w:rsidR="00E12823" w:rsidRPr="00606D20" w:rsidRDefault="00E12823" w:rsidP="00E12823">
            <w:pPr>
              <w:jc w:val="both"/>
              <w:rPr>
                <w:rFonts w:cstheme="minorHAnsi"/>
              </w:rPr>
            </w:pPr>
            <w:r w:rsidRPr="00606D20">
              <w:rPr>
                <w:rFonts w:cstheme="minorHAnsi"/>
              </w:rPr>
              <w:t>„</w:t>
            </w:r>
            <w:r w:rsidRPr="00606D20">
              <w:rPr>
                <w:rFonts w:cstheme="minorHAnsi"/>
                <w:i/>
                <w:iCs/>
              </w:rPr>
              <w:t>art. 7. Przepisu art. 7 ust. 3 ustawy zmienianej w art. 5 pkt 1 nie stosuje się do opłat egzaminacyjnych uiszczonych przed dniem wejścia w życie tego przepisu”.</w:t>
            </w:r>
          </w:p>
          <w:p w14:paraId="4E9BD6B1" w14:textId="77777777" w:rsidR="00C61E76" w:rsidRPr="00EA4BDA" w:rsidRDefault="00C61E76" w:rsidP="00C36C04">
            <w:pPr>
              <w:spacing w:line="276" w:lineRule="auto"/>
              <w:jc w:val="both"/>
              <w:rPr>
                <w:rFonts w:cstheme="minorHAnsi"/>
              </w:rPr>
            </w:pPr>
          </w:p>
        </w:tc>
      </w:tr>
      <w:tr w:rsidR="00EA4BDA" w:rsidRPr="00EA4BDA" w14:paraId="65331E12" w14:textId="77777777" w:rsidTr="00C36C04">
        <w:tc>
          <w:tcPr>
            <w:tcW w:w="846" w:type="dxa"/>
          </w:tcPr>
          <w:p w14:paraId="0BACC364" w14:textId="3255433A" w:rsidR="009230F7" w:rsidRPr="00EA4BDA" w:rsidRDefault="009D6752" w:rsidP="00C36C04">
            <w:pPr>
              <w:pStyle w:val="Akapitzlist"/>
              <w:numPr>
                <w:ilvl w:val="0"/>
                <w:numId w:val="32"/>
              </w:numPr>
              <w:spacing w:line="276" w:lineRule="auto"/>
              <w:rPr>
                <w:rFonts w:asciiTheme="minorHAnsi" w:hAnsiTheme="minorHAnsi" w:cstheme="minorHAnsi"/>
              </w:rPr>
            </w:pPr>
            <w:r w:rsidRPr="00EA4BDA">
              <w:rPr>
                <w:rFonts w:asciiTheme="minorHAnsi" w:hAnsiTheme="minorHAnsi" w:cstheme="minorHAnsi"/>
              </w:rPr>
              <w:t>a</w:t>
            </w:r>
          </w:p>
        </w:tc>
        <w:tc>
          <w:tcPr>
            <w:tcW w:w="1512" w:type="dxa"/>
          </w:tcPr>
          <w:p w14:paraId="7DD08049" w14:textId="48D92AEB" w:rsidR="009230F7" w:rsidRPr="00EA4BDA" w:rsidRDefault="009230F7" w:rsidP="00C36C04">
            <w:pPr>
              <w:spacing w:line="276" w:lineRule="auto"/>
              <w:rPr>
                <w:rFonts w:cstheme="minorHAnsi"/>
                <w:b/>
              </w:rPr>
            </w:pPr>
            <w:r w:rsidRPr="00EA4BDA">
              <w:rPr>
                <w:rFonts w:cstheme="minorHAnsi"/>
                <w:b/>
              </w:rPr>
              <w:t xml:space="preserve">Minister </w:t>
            </w:r>
            <w:r w:rsidR="00A93773" w:rsidRPr="00EA4BDA">
              <w:rPr>
                <w:rFonts w:cstheme="minorHAnsi"/>
                <w:b/>
              </w:rPr>
              <w:t>Rodziny i Polityki Społecznej</w:t>
            </w:r>
          </w:p>
        </w:tc>
        <w:tc>
          <w:tcPr>
            <w:tcW w:w="1275" w:type="dxa"/>
          </w:tcPr>
          <w:p w14:paraId="42D660C1" w14:textId="29DCE2B7" w:rsidR="009230F7" w:rsidRPr="00EA4BDA" w:rsidRDefault="009230F7" w:rsidP="00C36C04">
            <w:pPr>
              <w:spacing w:line="276" w:lineRule="auto"/>
              <w:rPr>
                <w:rFonts w:cstheme="minorHAnsi"/>
                <w:b/>
              </w:rPr>
            </w:pPr>
            <w:r w:rsidRPr="00EA4BDA">
              <w:rPr>
                <w:rFonts w:cstheme="minorHAnsi"/>
                <w:b/>
              </w:rPr>
              <w:t>Art. 9</w:t>
            </w:r>
          </w:p>
        </w:tc>
        <w:tc>
          <w:tcPr>
            <w:tcW w:w="5954" w:type="dxa"/>
          </w:tcPr>
          <w:p w14:paraId="5F5C3D3C" w14:textId="77777777" w:rsidR="00A93773" w:rsidRPr="00EA4BDA" w:rsidRDefault="00A93773" w:rsidP="00A93773">
            <w:pPr>
              <w:autoSpaceDE w:val="0"/>
              <w:autoSpaceDN w:val="0"/>
              <w:adjustRightInd w:val="0"/>
              <w:jc w:val="both"/>
              <w:rPr>
                <w:rFonts w:cstheme="minorHAnsi"/>
              </w:rPr>
            </w:pPr>
            <w:r w:rsidRPr="00EA4BDA">
              <w:rPr>
                <w:rFonts w:cstheme="minorHAnsi"/>
              </w:rPr>
              <w:t xml:space="preserve">Wejście w życie art. 1 pkt 1 projektowanej ustawy, który jest w tym przypadku kluczowy i wpływa na konieczność zmiany wskazanej w art. 4 projektu, planowane jest na dzień 1 marca 2024 r. Jednocześnie projekt zgodnie z art. 9 zakłada, </w:t>
            </w:r>
          </w:p>
          <w:p w14:paraId="70A614B7" w14:textId="77777777" w:rsidR="00A93773" w:rsidRPr="00EA4BDA" w:rsidRDefault="00A93773" w:rsidP="00A93773">
            <w:pPr>
              <w:autoSpaceDE w:val="0"/>
              <w:autoSpaceDN w:val="0"/>
              <w:adjustRightInd w:val="0"/>
              <w:jc w:val="both"/>
              <w:rPr>
                <w:rFonts w:cstheme="minorHAnsi"/>
              </w:rPr>
            </w:pPr>
            <w:r w:rsidRPr="00EA4BDA">
              <w:rPr>
                <w:rFonts w:cstheme="minorHAnsi"/>
              </w:rPr>
              <w:t xml:space="preserve">że art. 4 wejdzie w życie w terminie po upływie 14 dni od dnia ogłoszenia, a więc wcześniej niż merytoryczna zmiana prawa restrukturyzacyjnego, do której się odnosi. </w:t>
            </w:r>
          </w:p>
          <w:p w14:paraId="2E759C3B" w14:textId="77777777" w:rsidR="00A93773" w:rsidRPr="00EA4BDA" w:rsidRDefault="00A93773" w:rsidP="00A93773">
            <w:pPr>
              <w:autoSpaceDE w:val="0"/>
              <w:autoSpaceDN w:val="0"/>
              <w:adjustRightInd w:val="0"/>
              <w:jc w:val="both"/>
              <w:rPr>
                <w:rFonts w:cstheme="minorHAnsi"/>
              </w:rPr>
            </w:pPr>
            <w:r w:rsidRPr="00EA4BDA">
              <w:rPr>
                <w:rFonts w:cstheme="minorHAnsi"/>
              </w:rPr>
              <w:t>Taki sposób regulacji, jak było to poprzednio wyjaśniane, może skutkować nieprawidłową korelacją wejścia tych przepisów w życie – wcześniejszego obowiązywania zmiany ustawy o ochronie roszczeń pracowniczych w razie niewypłacalności pracodawcy, odnoszącej się do zmiany w ustawie – Prawo restrukturyzacyjne, która wejdzie w życie dopiero z dniem 1 marca 2024 r. W związku z powyższym proponujemy aby ponownie, tym razem</w:t>
            </w:r>
          </w:p>
          <w:p w14:paraId="354A9A90" w14:textId="70F73EB3" w:rsidR="009230F7" w:rsidRPr="00EA4BDA" w:rsidRDefault="00A93773" w:rsidP="00A93773">
            <w:pPr>
              <w:autoSpaceDE w:val="0"/>
              <w:autoSpaceDN w:val="0"/>
              <w:adjustRightInd w:val="0"/>
              <w:jc w:val="both"/>
              <w:rPr>
                <w:rFonts w:cstheme="minorHAnsi"/>
              </w:rPr>
            </w:pPr>
            <w:r w:rsidRPr="00EA4BDA">
              <w:rPr>
                <w:rFonts w:cstheme="minorHAnsi"/>
              </w:rPr>
              <w:t>w art. 9 projektu, ujednolicić datę wejścia w życie przepisów art. 4 i art. 1 pkt 1 projektowanej ustawy. W przypadku uznania tej uwagi należy rozważyć, czy zmiana określona w art. 4, po jej wejściu w życie, nie powinna dotyczyć już aktualnego publikatora ustawy – Prawo restrukturyzacyjne.</w:t>
            </w:r>
          </w:p>
        </w:tc>
        <w:tc>
          <w:tcPr>
            <w:tcW w:w="5245" w:type="dxa"/>
          </w:tcPr>
          <w:p w14:paraId="37F6DEDF" w14:textId="77777777" w:rsidR="00C21583" w:rsidRPr="00946B31" w:rsidRDefault="00C21583" w:rsidP="00C21583">
            <w:pPr>
              <w:spacing w:line="240" w:lineRule="exact"/>
              <w:jc w:val="both"/>
              <w:rPr>
                <w:rFonts w:ascii="Calibri" w:hAnsi="Calibri"/>
              </w:rPr>
            </w:pPr>
            <w:r w:rsidRPr="00946B31">
              <w:rPr>
                <w:rFonts w:ascii="Calibri" w:hAnsi="Calibri"/>
              </w:rPr>
              <w:t>Uwagę uznano za zasadną. Proponuje się uwzględnienie uwagi poprzez skreślenie w art.</w:t>
            </w:r>
            <w:r>
              <w:rPr>
                <w:rFonts w:ascii="Calibri" w:hAnsi="Calibri"/>
              </w:rPr>
              <w:t> </w:t>
            </w:r>
            <w:r w:rsidRPr="00946B31">
              <w:rPr>
                <w:rFonts w:ascii="Calibri" w:hAnsi="Calibri"/>
              </w:rPr>
              <w:t>9 pkt 1 projektu wyrazów „art. 4,”, dzięki czemu art. 1 pkt 1 oraz art. 4 projektu wejdą w</w:t>
            </w:r>
            <w:r>
              <w:rPr>
                <w:rFonts w:ascii="Calibri" w:hAnsi="Calibri"/>
              </w:rPr>
              <w:t> </w:t>
            </w:r>
            <w:r w:rsidRPr="00946B31">
              <w:rPr>
                <w:rFonts w:ascii="Calibri" w:hAnsi="Calibri"/>
              </w:rPr>
              <w:t>życie w tym samym dniu, tj. 1 mar</w:t>
            </w:r>
            <w:r>
              <w:rPr>
                <w:rFonts w:ascii="Calibri" w:hAnsi="Calibri"/>
              </w:rPr>
              <w:t>c</w:t>
            </w:r>
            <w:r w:rsidRPr="00946B31">
              <w:rPr>
                <w:rFonts w:ascii="Calibri" w:hAnsi="Calibri"/>
              </w:rPr>
              <w:t>a 202</w:t>
            </w:r>
            <w:r>
              <w:rPr>
                <w:rFonts w:ascii="Calibri" w:hAnsi="Calibri"/>
              </w:rPr>
              <w:t>4</w:t>
            </w:r>
            <w:r w:rsidRPr="00946B31">
              <w:rPr>
                <w:rFonts w:ascii="Calibri" w:hAnsi="Calibri"/>
              </w:rPr>
              <w:t xml:space="preserve"> r.</w:t>
            </w:r>
            <w:r>
              <w:rPr>
                <w:rFonts w:ascii="Calibri" w:hAnsi="Calibri"/>
              </w:rPr>
              <w:t xml:space="preserve"> </w:t>
            </w:r>
            <w:r w:rsidRPr="00946B31">
              <w:rPr>
                <w:rFonts w:ascii="Calibri" w:hAnsi="Calibri"/>
              </w:rPr>
              <w:t xml:space="preserve">Proponuje się </w:t>
            </w:r>
            <w:r>
              <w:rPr>
                <w:rFonts w:ascii="Calibri" w:hAnsi="Calibri"/>
              </w:rPr>
              <w:t xml:space="preserve">również </w:t>
            </w:r>
            <w:r w:rsidRPr="00946B31">
              <w:rPr>
                <w:rFonts w:ascii="Calibri" w:hAnsi="Calibri"/>
              </w:rPr>
              <w:t>aktualizację publikatora ustawy – Prawo restrukturyzacyjne: (Dz. U. z 2022 r. poz. 2309)</w:t>
            </w:r>
            <w:r>
              <w:rPr>
                <w:rFonts w:ascii="Calibri" w:hAnsi="Calibri"/>
              </w:rPr>
              <w:t>.</w:t>
            </w:r>
          </w:p>
          <w:p w14:paraId="0A1866F9" w14:textId="551E34BD" w:rsidR="009230F7" w:rsidRPr="00EA4BDA" w:rsidRDefault="00C21583" w:rsidP="00C36C04">
            <w:pPr>
              <w:pStyle w:val="ZUSTzmustartykuempunktem"/>
              <w:spacing w:line="276" w:lineRule="auto"/>
              <w:ind w:left="0" w:firstLine="0"/>
              <w:rPr>
                <w:rFonts w:asciiTheme="minorHAnsi" w:hAnsiTheme="minorHAnsi" w:cstheme="minorHAnsi"/>
                <w:sz w:val="22"/>
                <w:szCs w:val="22"/>
              </w:rPr>
            </w:pPr>
            <w:r w:rsidRPr="00C21583">
              <w:rPr>
                <w:rFonts w:asciiTheme="minorHAnsi" w:hAnsiTheme="minorHAnsi" w:cstheme="minorHAnsi"/>
                <w:sz w:val="22"/>
                <w:szCs w:val="22"/>
              </w:rPr>
              <w:t xml:space="preserve">W projekcie zostanie dokonania </w:t>
            </w:r>
            <w:r>
              <w:rPr>
                <w:rFonts w:asciiTheme="minorHAnsi" w:hAnsiTheme="minorHAnsi" w:cstheme="minorHAnsi"/>
                <w:sz w:val="22"/>
                <w:szCs w:val="22"/>
              </w:rPr>
              <w:t xml:space="preserve">również </w:t>
            </w:r>
            <w:r w:rsidRPr="00C21583">
              <w:rPr>
                <w:rFonts w:asciiTheme="minorHAnsi" w:hAnsiTheme="minorHAnsi" w:cstheme="minorHAnsi"/>
                <w:sz w:val="22"/>
                <w:szCs w:val="22"/>
              </w:rPr>
              <w:t>aktualizacja publikatorów.</w:t>
            </w:r>
          </w:p>
        </w:tc>
      </w:tr>
      <w:tr w:rsidR="00EA4BDA" w:rsidRPr="00EA4BDA" w14:paraId="6B8DFF00" w14:textId="77777777" w:rsidTr="00C36C04">
        <w:tc>
          <w:tcPr>
            <w:tcW w:w="846" w:type="dxa"/>
          </w:tcPr>
          <w:p w14:paraId="70A2516D" w14:textId="55DFCBF0" w:rsidR="009230F7" w:rsidRPr="00EA4BDA" w:rsidRDefault="009230F7" w:rsidP="00C36C04">
            <w:pPr>
              <w:pStyle w:val="Akapitzlist"/>
              <w:numPr>
                <w:ilvl w:val="0"/>
                <w:numId w:val="32"/>
              </w:numPr>
              <w:spacing w:line="276" w:lineRule="auto"/>
              <w:rPr>
                <w:rFonts w:asciiTheme="minorHAnsi" w:hAnsiTheme="minorHAnsi" w:cstheme="minorHAnsi"/>
              </w:rPr>
            </w:pPr>
          </w:p>
        </w:tc>
        <w:tc>
          <w:tcPr>
            <w:tcW w:w="1512" w:type="dxa"/>
          </w:tcPr>
          <w:p w14:paraId="1E1AA5CE" w14:textId="6128394C" w:rsidR="009230F7" w:rsidRPr="00EA4BDA" w:rsidRDefault="009230F7" w:rsidP="00C36C04">
            <w:pPr>
              <w:spacing w:line="276" w:lineRule="auto"/>
              <w:rPr>
                <w:rFonts w:cstheme="minorHAnsi"/>
                <w:b/>
              </w:rPr>
            </w:pPr>
            <w:r w:rsidRPr="00EA4BDA">
              <w:rPr>
                <w:rFonts w:cstheme="minorHAnsi"/>
                <w:b/>
              </w:rPr>
              <w:t xml:space="preserve">Minister </w:t>
            </w:r>
            <w:r w:rsidR="00D67463" w:rsidRPr="00EA4BDA">
              <w:rPr>
                <w:rFonts w:cstheme="minorHAnsi"/>
                <w:b/>
              </w:rPr>
              <w:t>Rozwoju i Technologii</w:t>
            </w:r>
          </w:p>
        </w:tc>
        <w:tc>
          <w:tcPr>
            <w:tcW w:w="1275" w:type="dxa"/>
          </w:tcPr>
          <w:p w14:paraId="7F579631" w14:textId="2414A8F1" w:rsidR="009230F7" w:rsidRPr="00EA4BDA" w:rsidRDefault="009230F7" w:rsidP="00C36C04">
            <w:pPr>
              <w:spacing w:line="276" w:lineRule="auto"/>
              <w:rPr>
                <w:rFonts w:cstheme="minorHAnsi"/>
                <w:b/>
              </w:rPr>
            </w:pPr>
            <w:r w:rsidRPr="00EA4BDA">
              <w:rPr>
                <w:rFonts w:cstheme="minorHAnsi"/>
                <w:b/>
              </w:rPr>
              <w:t>OSR</w:t>
            </w:r>
          </w:p>
        </w:tc>
        <w:tc>
          <w:tcPr>
            <w:tcW w:w="5954" w:type="dxa"/>
          </w:tcPr>
          <w:p w14:paraId="77CC52B5" w14:textId="12A00237" w:rsidR="00D67463" w:rsidRPr="00EA4BDA" w:rsidRDefault="00D67463" w:rsidP="00D67463">
            <w:pPr>
              <w:autoSpaceDE w:val="0"/>
              <w:autoSpaceDN w:val="0"/>
              <w:adjustRightInd w:val="0"/>
              <w:rPr>
                <w:rFonts w:ascii="Lato-Regular" w:hAnsi="Lato-Regular" w:cs="Lato-Regular"/>
                <w:sz w:val="20"/>
                <w:szCs w:val="20"/>
              </w:rPr>
            </w:pPr>
            <w:r w:rsidRPr="00EA4BDA">
              <w:rPr>
                <w:rFonts w:ascii="Lato-Regular" w:hAnsi="Lato-Regular" w:cs="Lato-Regular"/>
                <w:sz w:val="20"/>
                <w:szCs w:val="20"/>
              </w:rPr>
              <w:t xml:space="preserve">W cz. IV OSR jako źródło danych wskazany jest "Krajowy Rejestr Długów". </w:t>
            </w:r>
            <w:proofErr w:type="spellStart"/>
            <w:r w:rsidRPr="00EA4BDA">
              <w:rPr>
                <w:rFonts w:ascii="Lato-Regular" w:hAnsi="Lato-Regular" w:cs="Lato-Regular"/>
                <w:sz w:val="20"/>
                <w:szCs w:val="20"/>
              </w:rPr>
              <w:t>MRiT</w:t>
            </w:r>
            <w:proofErr w:type="spellEnd"/>
            <w:r w:rsidRPr="00EA4BDA">
              <w:rPr>
                <w:rFonts w:ascii="Lato-Regular" w:hAnsi="Lato-Regular" w:cs="Lato-Regular"/>
                <w:sz w:val="20"/>
                <w:szCs w:val="20"/>
              </w:rPr>
              <w:t xml:space="preserve"> zwraca uwagę, że sprawuje nadzór nad biurami informacji gospodarczej, a jednym z nich jest wskazany podmiot, </w:t>
            </w:r>
            <w:r w:rsidRPr="00EA4BDA">
              <w:rPr>
                <w:rFonts w:ascii="Lato-Regular" w:hAnsi="Lato-Regular" w:cs="Lato-Regular"/>
                <w:sz w:val="20"/>
                <w:szCs w:val="20"/>
              </w:rPr>
              <w:lastRenderedPageBreak/>
              <w:t>którego pełna nazwa brzmi: "Krajowy Rejestr Długów Biuro Informacji Gospodarczej SA". Proszę zatem o uzupełnienie OSR o pełną nazwę podmiotu, jednoznacznie wskazującą, że jest to podmiot prywatny, a nie rejestr publiczny.</w:t>
            </w:r>
          </w:p>
          <w:p w14:paraId="0052D06A" w14:textId="414BBA6C" w:rsidR="00D67463" w:rsidRPr="00EA4BDA" w:rsidRDefault="00D67463" w:rsidP="00D67463">
            <w:pPr>
              <w:autoSpaceDE w:val="0"/>
              <w:autoSpaceDN w:val="0"/>
              <w:adjustRightInd w:val="0"/>
              <w:rPr>
                <w:rFonts w:ascii="Lato-Regular" w:hAnsi="Lato-Regular" w:cs="Lato-Regular"/>
                <w:sz w:val="20"/>
                <w:szCs w:val="20"/>
              </w:rPr>
            </w:pPr>
            <w:r w:rsidRPr="00EA4BDA">
              <w:rPr>
                <w:rFonts w:ascii="Lato-Regular" w:hAnsi="Lato-Regular" w:cs="Lato-Regular"/>
                <w:sz w:val="20"/>
                <w:szCs w:val="20"/>
              </w:rPr>
              <w:t>Obecnie w Polsce działają cztery biura informacji gospodarczej, zatem opieranie się na danych wyłącznie jednego z nich wydaje się niewystarczające.</w:t>
            </w:r>
          </w:p>
          <w:p w14:paraId="5E29C525" w14:textId="23F510D8" w:rsidR="009230F7" w:rsidRPr="00EA4BDA" w:rsidRDefault="00D67463" w:rsidP="00D67463">
            <w:pPr>
              <w:autoSpaceDE w:val="0"/>
              <w:autoSpaceDN w:val="0"/>
              <w:adjustRightInd w:val="0"/>
              <w:rPr>
                <w:rFonts w:cstheme="minorHAnsi"/>
              </w:rPr>
            </w:pPr>
            <w:r w:rsidRPr="00EA4BDA">
              <w:rPr>
                <w:rFonts w:ascii="Lato-Regular" w:hAnsi="Lato-Regular" w:cs="Lato-Regular"/>
                <w:sz w:val="20"/>
                <w:szCs w:val="20"/>
              </w:rPr>
              <w:t>Dodatkowo wskazać należy, że biuro informacji gospodarczej nie posiada danych o całej gospodarce, lecz wyłącznie o podmiotach, których dane do danego biura przekazali jego klienci, na zasadach komercyjnych. W związku z tym proszę o umieszczenie w OSR projektu także stosownej adnotacji, że wskazana wartość może nie być pełna.</w:t>
            </w:r>
          </w:p>
        </w:tc>
        <w:tc>
          <w:tcPr>
            <w:tcW w:w="5245" w:type="dxa"/>
          </w:tcPr>
          <w:p w14:paraId="4C5A5AB8" w14:textId="72236399" w:rsidR="009230F7" w:rsidRPr="00EA4BDA" w:rsidRDefault="009230F7" w:rsidP="00C36C04">
            <w:pPr>
              <w:spacing w:line="276" w:lineRule="auto"/>
              <w:jc w:val="both"/>
              <w:rPr>
                <w:rFonts w:cstheme="minorHAnsi"/>
              </w:rPr>
            </w:pPr>
          </w:p>
          <w:p w14:paraId="0C3EA18F" w14:textId="77777777" w:rsidR="00374E43" w:rsidRDefault="00374E43" w:rsidP="00374E43">
            <w:pPr>
              <w:jc w:val="both"/>
              <w:rPr>
                <w:rFonts w:cstheme="minorHAnsi"/>
              </w:rPr>
            </w:pPr>
            <w:r>
              <w:rPr>
                <w:rFonts w:eastAsia="Calibri" w:cstheme="minorHAnsi"/>
              </w:rPr>
              <w:t xml:space="preserve">Uwaga uwzględniona. </w:t>
            </w:r>
            <w:r>
              <w:t xml:space="preserve">W części IV jako źródło danych wskazano pełną nazwę podmiotu, tj. </w:t>
            </w:r>
            <w:r>
              <w:rPr>
                <w:i/>
                <w:iCs/>
              </w:rPr>
              <w:t xml:space="preserve">„Krajowy Rejestr </w:t>
            </w:r>
            <w:r>
              <w:rPr>
                <w:i/>
                <w:iCs/>
              </w:rPr>
              <w:lastRenderedPageBreak/>
              <w:t>Długów Biuro Informacji Gospodarczej SA”</w:t>
            </w:r>
            <w:r>
              <w:t xml:space="preserve">. Ponadto w treści Oceny Skutków Regulacji Projektu – odnośnie ilości podmiotów, na które oddziałuje projekt – zawarto adnotację, że </w:t>
            </w:r>
            <w:r>
              <w:rPr>
                <w:i/>
                <w:iCs/>
              </w:rPr>
              <w:t>„wskazana w OSR wartość może być wyższa”.</w:t>
            </w:r>
            <w:r>
              <w:t xml:space="preserve"> </w:t>
            </w:r>
          </w:p>
          <w:p w14:paraId="1311D295" w14:textId="59C89954" w:rsidR="009230F7" w:rsidRPr="00EA4BDA" w:rsidRDefault="009230F7" w:rsidP="00C36C04">
            <w:pPr>
              <w:spacing w:line="276" w:lineRule="auto"/>
              <w:jc w:val="both"/>
              <w:rPr>
                <w:rFonts w:cstheme="minorHAnsi"/>
              </w:rPr>
            </w:pPr>
          </w:p>
        </w:tc>
      </w:tr>
      <w:tr w:rsidR="00EA4BDA" w:rsidRPr="00EA4BDA" w14:paraId="0258EC31" w14:textId="77777777" w:rsidTr="00C36C04">
        <w:tc>
          <w:tcPr>
            <w:tcW w:w="846" w:type="dxa"/>
          </w:tcPr>
          <w:p w14:paraId="1C36D7EC" w14:textId="77777777" w:rsidR="009230F7" w:rsidRPr="00EA4BDA" w:rsidRDefault="009230F7" w:rsidP="00C36C04">
            <w:pPr>
              <w:pStyle w:val="Akapitzlist"/>
              <w:numPr>
                <w:ilvl w:val="0"/>
                <w:numId w:val="32"/>
              </w:numPr>
              <w:spacing w:line="276" w:lineRule="auto"/>
              <w:rPr>
                <w:rFonts w:asciiTheme="minorHAnsi" w:hAnsiTheme="minorHAnsi" w:cstheme="minorHAnsi"/>
              </w:rPr>
            </w:pPr>
          </w:p>
        </w:tc>
        <w:tc>
          <w:tcPr>
            <w:tcW w:w="1512" w:type="dxa"/>
          </w:tcPr>
          <w:p w14:paraId="7F06308D" w14:textId="73B65BFC" w:rsidR="009230F7" w:rsidRPr="00EA4BDA" w:rsidRDefault="009230F7" w:rsidP="00C36C04">
            <w:pPr>
              <w:spacing w:line="276" w:lineRule="auto"/>
              <w:rPr>
                <w:rFonts w:cstheme="minorHAnsi"/>
                <w:b/>
              </w:rPr>
            </w:pPr>
            <w:r w:rsidRPr="00EA4BDA">
              <w:rPr>
                <w:rFonts w:cstheme="minorHAnsi"/>
                <w:b/>
              </w:rPr>
              <w:t xml:space="preserve">Minister </w:t>
            </w:r>
            <w:r w:rsidR="007D4C01" w:rsidRPr="00EA4BDA">
              <w:rPr>
                <w:rFonts w:cstheme="minorHAnsi"/>
                <w:b/>
              </w:rPr>
              <w:t>Finansów</w:t>
            </w:r>
          </w:p>
        </w:tc>
        <w:tc>
          <w:tcPr>
            <w:tcW w:w="1275" w:type="dxa"/>
          </w:tcPr>
          <w:p w14:paraId="2B819DCA" w14:textId="1E0C97CF" w:rsidR="009230F7" w:rsidRPr="00EA4BDA" w:rsidRDefault="009230F7" w:rsidP="00C36C04">
            <w:pPr>
              <w:spacing w:line="276" w:lineRule="auto"/>
              <w:rPr>
                <w:rFonts w:cstheme="minorHAnsi"/>
                <w:b/>
              </w:rPr>
            </w:pPr>
            <w:r w:rsidRPr="00EA4BDA">
              <w:rPr>
                <w:rFonts w:cstheme="minorHAnsi"/>
                <w:b/>
              </w:rPr>
              <w:t>OSR</w:t>
            </w:r>
          </w:p>
        </w:tc>
        <w:tc>
          <w:tcPr>
            <w:tcW w:w="5954" w:type="dxa"/>
          </w:tcPr>
          <w:p w14:paraId="268F1EEF" w14:textId="353D18B4" w:rsidR="009230F7" w:rsidRPr="00EA4BDA" w:rsidRDefault="007D4C01" w:rsidP="007D4C01">
            <w:pPr>
              <w:autoSpaceDE w:val="0"/>
              <w:autoSpaceDN w:val="0"/>
              <w:adjustRightInd w:val="0"/>
              <w:jc w:val="both"/>
              <w:rPr>
                <w:rFonts w:cstheme="minorHAnsi"/>
              </w:rPr>
            </w:pPr>
            <w:r w:rsidRPr="00EA4BDA">
              <w:rPr>
                <w:rFonts w:cstheme="minorHAnsi"/>
              </w:rPr>
              <w:t>Wymaga uzupełnienia OSR w pkt 6 w części tabelarycznej o skutki finansowe dot. modernizacji systemu teleinformatycznego Krajowego Rejestru Zadłużonych, a także budowy nowego modułu sądowych list doradców. Ponadto wiersz „Źródła finansowania” powinien zawierać wskazanie części budżetowych, z których zostaną pokryte wydatki wynikające z projektu ustawy.</w:t>
            </w:r>
          </w:p>
        </w:tc>
        <w:tc>
          <w:tcPr>
            <w:tcW w:w="5245" w:type="dxa"/>
          </w:tcPr>
          <w:p w14:paraId="28E1FD42" w14:textId="77777777" w:rsidR="00BD7FAE" w:rsidRDefault="00BD7FAE" w:rsidP="00BD7FAE">
            <w:pPr>
              <w:jc w:val="both"/>
            </w:pPr>
            <w:r>
              <w:t xml:space="preserve">Uwaga została uwzględniona. W wierszu „źródła finansowania” wskazano, że </w:t>
            </w:r>
            <w:r w:rsidRPr="00154769">
              <w:rPr>
                <w:i/>
                <w:iCs/>
              </w:rPr>
              <w:t>„skutki finansowe dla wymiaru sprawiedliwości, wynikające z wejścia w życie ustawy w tym zakresie, zostaną sfinansowane w ramach wydatków odpowiednich części budżetowych, tj. części 37 – Sprawiedliwość i części 15 – Sądy powszechne bez konieczności występowania o dodatkowe środki z budżetu państwa w roku wejścia w życie ustawy i w latach kolejnych”</w:t>
            </w:r>
            <w:r>
              <w:t xml:space="preserve">, a także, iż </w:t>
            </w:r>
            <w:r w:rsidRPr="00154769">
              <w:rPr>
                <w:i/>
                <w:iCs/>
              </w:rPr>
              <w:t>„</w:t>
            </w:r>
            <w:r>
              <w:rPr>
                <w:i/>
                <w:iCs/>
              </w:rPr>
              <w:t>u</w:t>
            </w:r>
            <w:r w:rsidRPr="00154769">
              <w:rPr>
                <w:i/>
                <w:iCs/>
              </w:rPr>
              <w:t>trzymanie systemów będzie realizowane w ramach umów utrzymaniowych dot. systemu, gdzie koszty utrzymania systemu są stałe (zarówno w ramach obecnej umowy - do XI 2024, jak i planowanej).</w:t>
            </w:r>
            <w:r>
              <w:t xml:space="preserve"> Ponadto uzupełniono część tabelaryczną pkt 6 o skutki finansowe dot. modernizacji systemu teleinformatycznego Krajowego Rejestru Zadłużonych, a także budowy nowego modułu sądowych list doradców. </w:t>
            </w:r>
          </w:p>
          <w:p w14:paraId="10AC8384" w14:textId="559FAADE" w:rsidR="007E781D" w:rsidRPr="00EA4BDA" w:rsidRDefault="007E781D" w:rsidP="00C36C04">
            <w:pPr>
              <w:spacing w:line="276" w:lineRule="auto"/>
              <w:jc w:val="both"/>
              <w:rPr>
                <w:rFonts w:cstheme="minorHAnsi"/>
              </w:rPr>
            </w:pPr>
          </w:p>
        </w:tc>
      </w:tr>
      <w:tr w:rsidR="009230F7" w:rsidRPr="00EA4BDA" w14:paraId="60688CB3" w14:textId="77777777" w:rsidTr="00C36C04">
        <w:tc>
          <w:tcPr>
            <w:tcW w:w="846" w:type="dxa"/>
          </w:tcPr>
          <w:p w14:paraId="4C411AC4" w14:textId="23B2CFE8" w:rsidR="009230F7" w:rsidRPr="00EA4BDA" w:rsidRDefault="009230F7" w:rsidP="00C36C04">
            <w:pPr>
              <w:pStyle w:val="Akapitzlist"/>
              <w:numPr>
                <w:ilvl w:val="0"/>
                <w:numId w:val="32"/>
              </w:numPr>
              <w:spacing w:line="276" w:lineRule="auto"/>
              <w:rPr>
                <w:rFonts w:asciiTheme="minorHAnsi" w:hAnsiTheme="minorHAnsi" w:cstheme="minorHAnsi"/>
              </w:rPr>
            </w:pPr>
          </w:p>
        </w:tc>
        <w:tc>
          <w:tcPr>
            <w:tcW w:w="1512" w:type="dxa"/>
          </w:tcPr>
          <w:p w14:paraId="78ACA80B" w14:textId="10098C78" w:rsidR="009230F7" w:rsidRPr="00EA4BDA" w:rsidRDefault="003A2497" w:rsidP="00C36C04">
            <w:pPr>
              <w:spacing w:line="276" w:lineRule="auto"/>
              <w:rPr>
                <w:rFonts w:cstheme="minorHAnsi"/>
                <w:b/>
              </w:rPr>
            </w:pPr>
            <w:r w:rsidRPr="00EA4BDA">
              <w:rPr>
                <w:rFonts w:cstheme="minorHAnsi"/>
                <w:b/>
              </w:rPr>
              <w:t>Minister Rodziny i Polityki Społecznej</w:t>
            </w:r>
          </w:p>
        </w:tc>
        <w:tc>
          <w:tcPr>
            <w:tcW w:w="1275" w:type="dxa"/>
          </w:tcPr>
          <w:p w14:paraId="12B79BD8" w14:textId="02E29583" w:rsidR="009230F7" w:rsidRPr="00EA4BDA" w:rsidRDefault="009230F7" w:rsidP="00C36C04">
            <w:pPr>
              <w:spacing w:line="276" w:lineRule="auto"/>
              <w:rPr>
                <w:rFonts w:cstheme="minorHAnsi"/>
                <w:b/>
                <w:bCs/>
              </w:rPr>
            </w:pPr>
            <w:r w:rsidRPr="00EA4BDA">
              <w:rPr>
                <w:rFonts w:cstheme="minorHAnsi"/>
                <w:b/>
                <w:bCs/>
              </w:rPr>
              <w:t>OSR</w:t>
            </w:r>
          </w:p>
        </w:tc>
        <w:tc>
          <w:tcPr>
            <w:tcW w:w="5954" w:type="dxa"/>
          </w:tcPr>
          <w:p w14:paraId="03541C6C" w14:textId="7A456E95" w:rsidR="003A2497" w:rsidRPr="00EA4BDA" w:rsidRDefault="003A2497" w:rsidP="00CC0547">
            <w:pPr>
              <w:autoSpaceDE w:val="0"/>
              <w:autoSpaceDN w:val="0"/>
              <w:adjustRightInd w:val="0"/>
              <w:jc w:val="both"/>
              <w:rPr>
                <w:rFonts w:cstheme="minorHAnsi"/>
              </w:rPr>
            </w:pPr>
            <w:r w:rsidRPr="00EA4BDA">
              <w:rPr>
                <w:rFonts w:cstheme="minorHAnsi"/>
              </w:rPr>
              <w:t xml:space="preserve">Ponadto zgłaszamy następującą uwagę do pkt 5 OSR przedmiotowego projektu. </w:t>
            </w:r>
          </w:p>
          <w:p w14:paraId="4CD313F4" w14:textId="77777777" w:rsidR="003A2497" w:rsidRPr="00EA4BDA" w:rsidRDefault="003A2497" w:rsidP="00CC0547">
            <w:pPr>
              <w:autoSpaceDE w:val="0"/>
              <w:autoSpaceDN w:val="0"/>
              <w:adjustRightInd w:val="0"/>
              <w:jc w:val="both"/>
              <w:rPr>
                <w:rFonts w:cstheme="minorHAnsi"/>
              </w:rPr>
            </w:pPr>
            <w:r w:rsidRPr="00EA4BDA">
              <w:rPr>
                <w:rFonts w:cstheme="minorHAnsi"/>
              </w:rPr>
              <w:t xml:space="preserve">Projekt powinien być przedmiotem konsultacji społecznych z organizacjami reprezentatywnymi w rozumieniu ustawy z dnia 24 lipca 2015 r. o Radzie Dialogu Społecznego i innych </w:t>
            </w:r>
            <w:r w:rsidRPr="00EA4BDA">
              <w:rPr>
                <w:rFonts w:cstheme="minorHAnsi"/>
              </w:rPr>
              <w:lastRenderedPageBreak/>
              <w:t xml:space="preserve">instytucjach dialogu społecznego (Dz. U. z 2018 r. poz. 2232, z </w:t>
            </w:r>
            <w:proofErr w:type="spellStart"/>
            <w:r w:rsidRPr="00EA4BDA">
              <w:rPr>
                <w:rFonts w:cstheme="minorHAnsi"/>
              </w:rPr>
              <w:t>póżn</w:t>
            </w:r>
            <w:proofErr w:type="spellEnd"/>
            <w:r w:rsidRPr="00EA4BDA">
              <w:rPr>
                <w:rFonts w:cstheme="minorHAnsi"/>
              </w:rPr>
              <w:t xml:space="preserve">. zm.) w trybie: </w:t>
            </w:r>
          </w:p>
          <w:p w14:paraId="58B164BD" w14:textId="77777777" w:rsidR="003A2497" w:rsidRPr="00EA4BDA" w:rsidRDefault="003A2497" w:rsidP="00CC0547">
            <w:pPr>
              <w:autoSpaceDE w:val="0"/>
              <w:autoSpaceDN w:val="0"/>
              <w:adjustRightInd w:val="0"/>
              <w:jc w:val="both"/>
              <w:rPr>
                <w:rFonts w:cstheme="minorHAnsi"/>
              </w:rPr>
            </w:pPr>
            <w:r w:rsidRPr="00EA4BDA">
              <w:rPr>
                <w:rFonts w:cstheme="minorHAnsi"/>
              </w:rPr>
              <w:t xml:space="preserve">1) art. 19 ustawy z dnia 23 maja 1991 r. o związkach zawodowych (Dz. U. 2022 r. poz. 854) w odniesieniu do następujących organizacji: </w:t>
            </w:r>
          </w:p>
          <w:p w14:paraId="28728320" w14:textId="77777777" w:rsidR="003A2497" w:rsidRPr="00EA4BDA" w:rsidRDefault="003A2497" w:rsidP="00CC0547">
            <w:pPr>
              <w:autoSpaceDE w:val="0"/>
              <w:autoSpaceDN w:val="0"/>
              <w:adjustRightInd w:val="0"/>
              <w:jc w:val="both"/>
              <w:rPr>
                <w:rFonts w:cstheme="minorHAnsi"/>
              </w:rPr>
            </w:pPr>
            <w:r w:rsidRPr="00EA4BDA">
              <w:rPr>
                <w:rFonts w:cstheme="minorHAnsi"/>
              </w:rPr>
              <w:t>a) NSZZ „Solidarność”,</w:t>
            </w:r>
          </w:p>
          <w:p w14:paraId="4C1D1BA5" w14:textId="77777777" w:rsidR="003A2497" w:rsidRPr="00EA4BDA" w:rsidRDefault="003A2497" w:rsidP="00CC0547">
            <w:pPr>
              <w:autoSpaceDE w:val="0"/>
              <w:autoSpaceDN w:val="0"/>
              <w:adjustRightInd w:val="0"/>
              <w:jc w:val="both"/>
              <w:rPr>
                <w:rFonts w:cstheme="minorHAnsi"/>
              </w:rPr>
            </w:pPr>
            <w:r w:rsidRPr="00EA4BDA">
              <w:rPr>
                <w:rFonts w:cstheme="minorHAnsi"/>
              </w:rPr>
              <w:t>b) Ogólnopolskie Porozumienie Związków Zawodowych,</w:t>
            </w:r>
          </w:p>
          <w:p w14:paraId="13BA6B8D" w14:textId="77777777" w:rsidR="003A2497" w:rsidRPr="00EA4BDA" w:rsidRDefault="003A2497" w:rsidP="00CC0547">
            <w:pPr>
              <w:autoSpaceDE w:val="0"/>
              <w:autoSpaceDN w:val="0"/>
              <w:adjustRightInd w:val="0"/>
              <w:jc w:val="both"/>
              <w:rPr>
                <w:rFonts w:cstheme="minorHAnsi"/>
              </w:rPr>
            </w:pPr>
            <w:r w:rsidRPr="00EA4BDA">
              <w:rPr>
                <w:rFonts w:cstheme="minorHAnsi"/>
              </w:rPr>
              <w:t>c) Forum Związków Zawodowych;</w:t>
            </w:r>
          </w:p>
          <w:p w14:paraId="71BCB532" w14:textId="77777777" w:rsidR="003A2497" w:rsidRPr="00EA4BDA" w:rsidRDefault="003A2497" w:rsidP="00CC0547">
            <w:pPr>
              <w:autoSpaceDE w:val="0"/>
              <w:autoSpaceDN w:val="0"/>
              <w:adjustRightInd w:val="0"/>
              <w:jc w:val="both"/>
              <w:rPr>
                <w:rFonts w:cstheme="minorHAnsi"/>
              </w:rPr>
            </w:pPr>
            <w:r w:rsidRPr="00EA4BDA">
              <w:rPr>
                <w:rFonts w:cstheme="minorHAnsi"/>
              </w:rPr>
              <w:t xml:space="preserve">2) art. 16 ustawy z dnia 23 maja 1991 r. o organizacjach pracodawców (Dz. U. z 2022 r. poz. 97) w odniesieniu do następujących organizacji: </w:t>
            </w:r>
          </w:p>
          <w:p w14:paraId="6F80291C" w14:textId="77777777" w:rsidR="003A2497" w:rsidRPr="00EA4BDA" w:rsidRDefault="003A2497" w:rsidP="00CC0547">
            <w:pPr>
              <w:autoSpaceDE w:val="0"/>
              <w:autoSpaceDN w:val="0"/>
              <w:adjustRightInd w:val="0"/>
              <w:jc w:val="both"/>
              <w:rPr>
                <w:rFonts w:cstheme="minorHAnsi"/>
              </w:rPr>
            </w:pPr>
            <w:r w:rsidRPr="00EA4BDA">
              <w:rPr>
                <w:rFonts w:cstheme="minorHAnsi"/>
              </w:rPr>
              <w:t>a) Pracodawcy Rzeczypospolitej Polskiej,</w:t>
            </w:r>
          </w:p>
          <w:p w14:paraId="22B61162" w14:textId="77777777" w:rsidR="003A2497" w:rsidRPr="00EA4BDA" w:rsidRDefault="003A2497" w:rsidP="00CC0547">
            <w:pPr>
              <w:autoSpaceDE w:val="0"/>
              <w:autoSpaceDN w:val="0"/>
              <w:adjustRightInd w:val="0"/>
              <w:jc w:val="both"/>
              <w:rPr>
                <w:rFonts w:cstheme="minorHAnsi"/>
              </w:rPr>
            </w:pPr>
            <w:r w:rsidRPr="00EA4BDA">
              <w:rPr>
                <w:rFonts w:cstheme="minorHAnsi"/>
              </w:rPr>
              <w:t>b) Konfederacja „Lewiatan”,</w:t>
            </w:r>
          </w:p>
          <w:p w14:paraId="3DC599F8" w14:textId="77777777" w:rsidR="003A2497" w:rsidRPr="00EA4BDA" w:rsidRDefault="003A2497" w:rsidP="00CC0547">
            <w:pPr>
              <w:autoSpaceDE w:val="0"/>
              <w:autoSpaceDN w:val="0"/>
              <w:adjustRightInd w:val="0"/>
              <w:jc w:val="both"/>
              <w:rPr>
                <w:rFonts w:cstheme="minorHAnsi"/>
              </w:rPr>
            </w:pPr>
            <w:r w:rsidRPr="00EA4BDA">
              <w:rPr>
                <w:rFonts w:cstheme="minorHAnsi"/>
              </w:rPr>
              <w:t>c) Związek Rzemiosła Polskiego,</w:t>
            </w:r>
          </w:p>
          <w:p w14:paraId="60B08FDD" w14:textId="77777777" w:rsidR="003A2497" w:rsidRPr="00EA4BDA" w:rsidRDefault="003A2497" w:rsidP="00CC0547">
            <w:pPr>
              <w:autoSpaceDE w:val="0"/>
              <w:autoSpaceDN w:val="0"/>
              <w:adjustRightInd w:val="0"/>
              <w:jc w:val="both"/>
              <w:rPr>
                <w:rFonts w:cstheme="minorHAnsi"/>
              </w:rPr>
            </w:pPr>
            <w:r w:rsidRPr="00EA4BDA">
              <w:rPr>
                <w:rFonts w:cstheme="minorHAnsi"/>
              </w:rPr>
              <w:t>d) Związek Pracodawców Business Centre Club,</w:t>
            </w:r>
          </w:p>
          <w:p w14:paraId="708C0A24" w14:textId="77777777" w:rsidR="003A2497" w:rsidRPr="00EA4BDA" w:rsidRDefault="003A2497" w:rsidP="00CC0547">
            <w:pPr>
              <w:autoSpaceDE w:val="0"/>
              <w:autoSpaceDN w:val="0"/>
              <w:adjustRightInd w:val="0"/>
              <w:jc w:val="both"/>
              <w:rPr>
                <w:rFonts w:cstheme="minorHAnsi"/>
              </w:rPr>
            </w:pPr>
            <w:r w:rsidRPr="00EA4BDA">
              <w:rPr>
                <w:rFonts w:cstheme="minorHAnsi"/>
              </w:rPr>
              <w:t>e) Związek Przedsiębiorców i Pracodawców,</w:t>
            </w:r>
          </w:p>
          <w:p w14:paraId="476E06C1" w14:textId="77777777" w:rsidR="003A2497" w:rsidRPr="00EA4BDA" w:rsidRDefault="003A2497" w:rsidP="00CC0547">
            <w:pPr>
              <w:autoSpaceDE w:val="0"/>
              <w:autoSpaceDN w:val="0"/>
              <w:adjustRightInd w:val="0"/>
              <w:jc w:val="both"/>
              <w:rPr>
                <w:rFonts w:cstheme="minorHAnsi"/>
              </w:rPr>
            </w:pPr>
            <w:r w:rsidRPr="00EA4BDA">
              <w:rPr>
                <w:rFonts w:cstheme="minorHAnsi"/>
              </w:rPr>
              <w:t>f) Federacji Przedsiębiorców Polskich.</w:t>
            </w:r>
          </w:p>
          <w:p w14:paraId="630607BB" w14:textId="77777777" w:rsidR="003A2497" w:rsidRPr="00EA4BDA" w:rsidRDefault="003A2497" w:rsidP="00CC0547">
            <w:pPr>
              <w:autoSpaceDE w:val="0"/>
              <w:autoSpaceDN w:val="0"/>
              <w:adjustRightInd w:val="0"/>
              <w:jc w:val="both"/>
              <w:rPr>
                <w:rFonts w:cstheme="minorHAnsi"/>
              </w:rPr>
            </w:pPr>
            <w:r w:rsidRPr="00EA4BDA">
              <w:rPr>
                <w:rFonts w:cstheme="minorHAnsi"/>
              </w:rPr>
              <w:t>Punkt 5 OSR nie wymienia enumeratywnie podmiotów, do których kierowany jest projekt. Na stronie RCL w zakładce konsultacje zamieszczone zostało pismo przewodnie z którego wynika, że projekt nie został przesłany do zaopiniowania ze strony związków zawodowych do Forum Związków Zawodowych, ze strony pracodawców do Związku Rzemiosła Polskiego i Federacji Przedsiębiorców Polskich. Nieprawidłowa jest też nazwa jednej z reprezentatywnych organizacji pracodawców – zamiast Business Centre Club powinien być wpisany Związek Pracodawców Business Centre Club.</w:t>
            </w:r>
          </w:p>
          <w:p w14:paraId="28E26C09" w14:textId="6713F2BD" w:rsidR="009230F7" w:rsidRPr="00EA4BDA" w:rsidRDefault="009230F7" w:rsidP="00C36C04">
            <w:pPr>
              <w:autoSpaceDE w:val="0"/>
              <w:autoSpaceDN w:val="0"/>
              <w:adjustRightInd w:val="0"/>
              <w:spacing w:line="276" w:lineRule="auto"/>
              <w:jc w:val="both"/>
              <w:rPr>
                <w:rFonts w:cstheme="minorHAnsi"/>
              </w:rPr>
            </w:pPr>
          </w:p>
        </w:tc>
        <w:tc>
          <w:tcPr>
            <w:tcW w:w="5245" w:type="dxa"/>
          </w:tcPr>
          <w:p w14:paraId="739C07AB" w14:textId="774B53B4" w:rsidR="00AF7B16" w:rsidRDefault="00AF7B16" w:rsidP="00AF7B16">
            <w:pPr>
              <w:spacing w:line="240" w:lineRule="exact"/>
              <w:jc w:val="both"/>
              <w:rPr>
                <w:rFonts w:cstheme="minorHAnsi"/>
              </w:rPr>
            </w:pPr>
            <w:r>
              <w:rPr>
                <w:rFonts w:cstheme="minorHAnsi"/>
              </w:rPr>
              <w:lastRenderedPageBreak/>
              <w:t>Uwaga wyjaśniona.</w:t>
            </w:r>
            <w:r w:rsidR="009230F7" w:rsidRPr="00EA4BDA">
              <w:rPr>
                <w:rFonts w:cstheme="minorHAnsi"/>
              </w:rPr>
              <w:t xml:space="preserve"> </w:t>
            </w:r>
          </w:p>
          <w:p w14:paraId="007EDFBB" w14:textId="47C53556" w:rsidR="00AF7B16" w:rsidRDefault="00AF7B16" w:rsidP="00AF7B16">
            <w:pPr>
              <w:spacing w:line="240" w:lineRule="exact"/>
              <w:jc w:val="both"/>
              <w:rPr>
                <w:rFonts w:ascii="Calibri" w:hAnsi="Calibri"/>
              </w:rPr>
            </w:pPr>
            <w:r w:rsidRPr="00946B31">
              <w:rPr>
                <w:rFonts w:ascii="Calibri" w:hAnsi="Calibri"/>
              </w:rPr>
              <w:t xml:space="preserve">Większość regulacji projektu była już konsultowana z organizacjami reprezentatywnymi. Od tego czasu projekt ustawy został rozszerzony niemal jedynie o regulacje mające przeciwdziałać nieprawidłowościom w procesie wyboru osób prowadzących postępowanie upadłościowe i postępowania restrukturyzacyjne. </w:t>
            </w:r>
            <w:r w:rsidRPr="00946B31">
              <w:rPr>
                <w:rFonts w:ascii="Calibri" w:hAnsi="Calibri"/>
              </w:rPr>
              <w:lastRenderedPageBreak/>
              <w:t>Konsultacje publiczne zostały ponowione w ograniczonym zakresie ze względu na pilną potrzebę eliminacji nieprawidłowości. Uznano, że regulacje dodane do wcześniejszej (konsultowanej z</w:t>
            </w:r>
            <w:r>
              <w:rPr>
                <w:rFonts w:ascii="Calibri" w:hAnsi="Calibri"/>
              </w:rPr>
              <w:t> </w:t>
            </w:r>
            <w:r w:rsidRPr="00946B31">
              <w:rPr>
                <w:rFonts w:ascii="Calibri" w:hAnsi="Calibri"/>
              </w:rPr>
              <w:t>organizacjami reprezentatywnymi) wersji projektu ustawy w sposób oczywisty służą interesom zarówno związków zawodowych, jak i pracodawców, a także takim interesom nie zagrażają. Wzmocnienie transparentności postępowań upadłościowych i</w:t>
            </w:r>
            <w:r>
              <w:rPr>
                <w:rFonts w:ascii="Calibri" w:hAnsi="Calibri"/>
              </w:rPr>
              <w:t> </w:t>
            </w:r>
            <w:r w:rsidRPr="00946B31">
              <w:rPr>
                <w:rFonts w:ascii="Calibri" w:hAnsi="Calibri"/>
              </w:rPr>
              <w:t>restrukturyzacyjnych będzie korzystne dla wszystkich uczestników dialogu społecznego.</w:t>
            </w:r>
          </w:p>
          <w:p w14:paraId="0867E47B" w14:textId="1E59AE8D" w:rsidR="007D4C01" w:rsidRPr="00EA4BDA" w:rsidRDefault="007D4C01" w:rsidP="007D4C01">
            <w:pPr>
              <w:spacing w:line="276" w:lineRule="auto"/>
              <w:jc w:val="both"/>
              <w:rPr>
                <w:rFonts w:cstheme="minorHAnsi"/>
              </w:rPr>
            </w:pPr>
          </w:p>
          <w:p w14:paraId="11576273" w14:textId="0B1CEB5E" w:rsidR="009230F7" w:rsidRPr="00EA4BDA" w:rsidRDefault="009230F7" w:rsidP="00C36C04">
            <w:pPr>
              <w:spacing w:line="276" w:lineRule="auto"/>
              <w:jc w:val="both"/>
              <w:rPr>
                <w:rFonts w:cstheme="minorHAnsi"/>
              </w:rPr>
            </w:pPr>
          </w:p>
        </w:tc>
      </w:tr>
    </w:tbl>
    <w:p w14:paraId="4214148B" w14:textId="68359B1B" w:rsidR="00313026" w:rsidRPr="00EA4BDA" w:rsidRDefault="00313026" w:rsidP="00C36C04">
      <w:pPr>
        <w:spacing w:after="0" w:line="276" w:lineRule="auto"/>
        <w:rPr>
          <w:rFonts w:cstheme="minorHAnsi"/>
        </w:rPr>
      </w:pPr>
    </w:p>
    <w:p w14:paraId="2FC7D282" w14:textId="77777777" w:rsidR="00C36C04" w:rsidRPr="00EA4BDA" w:rsidRDefault="00C36C04">
      <w:pPr>
        <w:spacing w:after="0" w:line="276" w:lineRule="auto"/>
        <w:rPr>
          <w:rFonts w:cstheme="minorHAnsi"/>
        </w:rPr>
      </w:pPr>
    </w:p>
    <w:sectPr w:rsidR="00C36C04" w:rsidRPr="00EA4BDA" w:rsidSect="00312525">
      <w:pgSz w:w="16838" w:h="11906" w:orient="landscape"/>
      <w:pgMar w:top="851"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E8515" w14:textId="77777777" w:rsidR="009455EF" w:rsidRDefault="009455EF" w:rsidP="00F45C59">
      <w:pPr>
        <w:spacing w:after="0" w:line="240" w:lineRule="auto"/>
      </w:pPr>
      <w:r>
        <w:separator/>
      </w:r>
    </w:p>
  </w:endnote>
  <w:endnote w:type="continuationSeparator" w:id="0">
    <w:p w14:paraId="1458AE8B" w14:textId="77777777" w:rsidR="009455EF" w:rsidRDefault="009455EF" w:rsidP="00F45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Regular">
    <w:altName w:val="Segoe UI"/>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C9A04" w14:textId="77777777" w:rsidR="009455EF" w:rsidRDefault="009455EF" w:rsidP="00F45C59">
      <w:pPr>
        <w:spacing w:after="0" w:line="240" w:lineRule="auto"/>
      </w:pPr>
      <w:r>
        <w:separator/>
      </w:r>
    </w:p>
  </w:footnote>
  <w:footnote w:type="continuationSeparator" w:id="0">
    <w:p w14:paraId="3CF64AAC" w14:textId="77777777" w:rsidR="009455EF" w:rsidRDefault="009455EF" w:rsidP="00F45C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44714"/>
    <w:multiLevelType w:val="hybridMultilevel"/>
    <w:tmpl w:val="4E903E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C46909"/>
    <w:multiLevelType w:val="hybridMultilevel"/>
    <w:tmpl w:val="1CCAD180"/>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13148B9"/>
    <w:multiLevelType w:val="hybridMultilevel"/>
    <w:tmpl w:val="27A2C0C4"/>
    <w:lvl w:ilvl="0" w:tplc="04150011">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11D42768"/>
    <w:multiLevelType w:val="hybridMultilevel"/>
    <w:tmpl w:val="BCBAB7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932EE8"/>
    <w:multiLevelType w:val="hybridMultilevel"/>
    <w:tmpl w:val="4E903E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513E64"/>
    <w:multiLevelType w:val="hybridMultilevel"/>
    <w:tmpl w:val="62C80AEA"/>
    <w:lvl w:ilvl="0" w:tplc="0EC6239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 w15:restartNumberingAfterBreak="0">
    <w:nsid w:val="26B7CCD0"/>
    <w:multiLevelType w:val="hybridMultilevel"/>
    <w:tmpl w:val="415CF6D4"/>
    <w:lvl w:ilvl="0" w:tplc="AA7A8D58">
      <w:start w:val="1"/>
      <w:numFmt w:val="decimal"/>
      <w:lvlText w:val="%1."/>
      <w:lvlJc w:val="left"/>
      <w:pPr>
        <w:ind w:left="720" w:hanging="360"/>
      </w:pPr>
    </w:lvl>
    <w:lvl w:ilvl="1" w:tplc="EB3AA60A">
      <w:start w:val="1"/>
      <w:numFmt w:val="lowerLetter"/>
      <w:lvlText w:val="%2."/>
      <w:lvlJc w:val="left"/>
      <w:pPr>
        <w:ind w:left="1440" w:hanging="360"/>
      </w:pPr>
    </w:lvl>
    <w:lvl w:ilvl="2" w:tplc="7CDA5C88">
      <w:start w:val="1"/>
      <w:numFmt w:val="lowerRoman"/>
      <w:lvlText w:val="%3."/>
      <w:lvlJc w:val="right"/>
      <w:pPr>
        <w:ind w:left="2160" w:hanging="180"/>
      </w:pPr>
    </w:lvl>
    <w:lvl w:ilvl="3" w:tplc="3D7071B0">
      <w:start w:val="1"/>
      <w:numFmt w:val="decimal"/>
      <w:lvlText w:val="%4."/>
      <w:lvlJc w:val="left"/>
      <w:pPr>
        <w:ind w:left="2880" w:hanging="360"/>
      </w:pPr>
    </w:lvl>
    <w:lvl w:ilvl="4" w:tplc="FEB880EC">
      <w:start w:val="1"/>
      <w:numFmt w:val="lowerLetter"/>
      <w:lvlText w:val="%5."/>
      <w:lvlJc w:val="left"/>
      <w:pPr>
        <w:ind w:left="3600" w:hanging="360"/>
      </w:pPr>
    </w:lvl>
    <w:lvl w:ilvl="5" w:tplc="4CE67C2C">
      <w:start w:val="1"/>
      <w:numFmt w:val="lowerRoman"/>
      <w:lvlText w:val="%6."/>
      <w:lvlJc w:val="right"/>
      <w:pPr>
        <w:ind w:left="4320" w:hanging="180"/>
      </w:pPr>
    </w:lvl>
    <w:lvl w:ilvl="6" w:tplc="17F8E626">
      <w:start w:val="1"/>
      <w:numFmt w:val="decimal"/>
      <w:lvlText w:val="%7."/>
      <w:lvlJc w:val="left"/>
      <w:pPr>
        <w:ind w:left="5040" w:hanging="360"/>
      </w:pPr>
    </w:lvl>
    <w:lvl w:ilvl="7" w:tplc="FF0AC2A6">
      <w:start w:val="1"/>
      <w:numFmt w:val="lowerLetter"/>
      <w:lvlText w:val="%8."/>
      <w:lvlJc w:val="left"/>
      <w:pPr>
        <w:ind w:left="5760" w:hanging="360"/>
      </w:pPr>
    </w:lvl>
    <w:lvl w:ilvl="8" w:tplc="F6CC7242">
      <w:start w:val="1"/>
      <w:numFmt w:val="lowerRoman"/>
      <w:lvlText w:val="%9."/>
      <w:lvlJc w:val="right"/>
      <w:pPr>
        <w:ind w:left="6480" w:hanging="180"/>
      </w:pPr>
    </w:lvl>
  </w:abstractNum>
  <w:abstractNum w:abstractNumId="7" w15:restartNumberingAfterBreak="0">
    <w:nsid w:val="27470759"/>
    <w:multiLevelType w:val="hybridMultilevel"/>
    <w:tmpl w:val="1F86DE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BF33DE3"/>
    <w:multiLevelType w:val="multilevel"/>
    <w:tmpl w:val="09905506"/>
    <w:lvl w:ilvl="0">
      <w:start w:val="1"/>
      <w:numFmt w:val="decimal"/>
      <w:lvlText w:val="%1)"/>
      <w:lvlJc w:val="left"/>
      <w:rPr>
        <w:rFonts w:asciiTheme="minorHAnsi" w:eastAsia="Times New Roman" w:hAnsiTheme="minorHAnsi" w:cstheme="minorHAnsi" w:hint="default"/>
        <w:b w:val="0"/>
        <w:bCs/>
        <w:i/>
        <w:iCs/>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DA72E4"/>
    <w:multiLevelType w:val="hybridMultilevel"/>
    <w:tmpl w:val="BCBAB7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DE4E58"/>
    <w:multiLevelType w:val="hybridMultilevel"/>
    <w:tmpl w:val="AC3038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84295A"/>
    <w:multiLevelType w:val="hybridMultilevel"/>
    <w:tmpl w:val="53FA101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0D51F64"/>
    <w:multiLevelType w:val="hybridMultilevel"/>
    <w:tmpl w:val="FD344F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1287DA9"/>
    <w:multiLevelType w:val="hybridMultilevel"/>
    <w:tmpl w:val="000AF77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2EB2E27"/>
    <w:multiLevelType w:val="hybridMultilevel"/>
    <w:tmpl w:val="8F96CFB8"/>
    <w:lvl w:ilvl="0" w:tplc="0EC62398">
      <w:start w:val="1"/>
      <w:numFmt w:val="bullet"/>
      <w:lvlText w:val=""/>
      <w:lvlJc w:val="left"/>
      <w:pPr>
        <w:ind w:left="1703" w:hanging="360"/>
      </w:pPr>
      <w:rPr>
        <w:rFonts w:ascii="Symbol" w:hAnsi="Symbol" w:hint="default"/>
      </w:rPr>
    </w:lvl>
    <w:lvl w:ilvl="1" w:tplc="04150003">
      <w:start w:val="1"/>
      <w:numFmt w:val="bullet"/>
      <w:lvlText w:val="o"/>
      <w:lvlJc w:val="left"/>
      <w:pPr>
        <w:ind w:left="2423" w:hanging="360"/>
      </w:pPr>
      <w:rPr>
        <w:rFonts w:ascii="Courier New" w:hAnsi="Courier New" w:cs="Courier New" w:hint="default"/>
      </w:rPr>
    </w:lvl>
    <w:lvl w:ilvl="2" w:tplc="04150005">
      <w:start w:val="1"/>
      <w:numFmt w:val="bullet"/>
      <w:lvlText w:val=""/>
      <w:lvlJc w:val="left"/>
      <w:pPr>
        <w:ind w:left="3143" w:hanging="360"/>
      </w:pPr>
      <w:rPr>
        <w:rFonts w:ascii="Wingdings" w:hAnsi="Wingdings" w:hint="default"/>
      </w:rPr>
    </w:lvl>
    <w:lvl w:ilvl="3" w:tplc="04150001">
      <w:start w:val="1"/>
      <w:numFmt w:val="bullet"/>
      <w:lvlText w:val=""/>
      <w:lvlJc w:val="left"/>
      <w:pPr>
        <w:ind w:left="3863" w:hanging="360"/>
      </w:pPr>
      <w:rPr>
        <w:rFonts w:ascii="Symbol" w:hAnsi="Symbol" w:hint="default"/>
      </w:rPr>
    </w:lvl>
    <w:lvl w:ilvl="4" w:tplc="04150003">
      <w:start w:val="1"/>
      <w:numFmt w:val="bullet"/>
      <w:lvlText w:val="o"/>
      <w:lvlJc w:val="left"/>
      <w:pPr>
        <w:ind w:left="4583" w:hanging="360"/>
      </w:pPr>
      <w:rPr>
        <w:rFonts w:ascii="Courier New" w:hAnsi="Courier New" w:cs="Courier New" w:hint="default"/>
      </w:rPr>
    </w:lvl>
    <w:lvl w:ilvl="5" w:tplc="04150005">
      <w:start w:val="1"/>
      <w:numFmt w:val="bullet"/>
      <w:lvlText w:val=""/>
      <w:lvlJc w:val="left"/>
      <w:pPr>
        <w:ind w:left="5303" w:hanging="360"/>
      </w:pPr>
      <w:rPr>
        <w:rFonts w:ascii="Wingdings" w:hAnsi="Wingdings" w:hint="default"/>
      </w:rPr>
    </w:lvl>
    <w:lvl w:ilvl="6" w:tplc="04150001">
      <w:start w:val="1"/>
      <w:numFmt w:val="bullet"/>
      <w:lvlText w:val=""/>
      <w:lvlJc w:val="left"/>
      <w:pPr>
        <w:ind w:left="6023" w:hanging="360"/>
      </w:pPr>
      <w:rPr>
        <w:rFonts w:ascii="Symbol" w:hAnsi="Symbol" w:hint="default"/>
      </w:rPr>
    </w:lvl>
    <w:lvl w:ilvl="7" w:tplc="04150003">
      <w:start w:val="1"/>
      <w:numFmt w:val="bullet"/>
      <w:lvlText w:val="o"/>
      <w:lvlJc w:val="left"/>
      <w:pPr>
        <w:ind w:left="6743" w:hanging="360"/>
      </w:pPr>
      <w:rPr>
        <w:rFonts w:ascii="Courier New" w:hAnsi="Courier New" w:cs="Courier New" w:hint="default"/>
      </w:rPr>
    </w:lvl>
    <w:lvl w:ilvl="8" w:tplc="04150005">
      <w:start w:val="1"/>
      <w:numFmt w:val="bullet"/>
      <w:lvlText w:val=""/>
      <w:lvlJc w:val="left"/>
      <w:pPr>
        <w:ind w:left="7463" w:hanging="360"/>
      </w:pPr>
      <w:rPr>
        <w:rFonts w:ascii="Wingdings" w:hAnsi="Wingdings" w:hint="default"/>
      </w:rPr>
    </w:lvl>
  </w:abstractNum>
  <w:abstractNum w:abstractNumId="15" w15:restartNumberingAfterBreak="0">
    <w:nsid w:val="38AB88D1"/>
    <w:multiLevelType w:val="hybridMultilevel"/>
    <w:tmpl w:val="27985DCA"/>
    <w:lvl w:ilvl="0" w:tplc="99E0C46A">
      <w:start w:val="1"/>
      <w:numFmt w:val="decimal"/>
      <w:lvlText w:val="%1."/>
      <w:lvlJc w:val="left"/>
      <w:pPr>
        <w:ind w:left="720" w:hanging="360"/>
      </w:pPr>
    </w:lvl>
    <w:lvl w:ilvl="1" w:tplc="CADE3D18">
      <w:start w:val="1"/>
      <w:numFmt w:val="lowerLetter"/>
      <w:lvlText w:val="%2."/>
      <w:lvlJc w:val="left"/>
      <w:pPr>
        <w:ind w:left="1440" w:hanging="360"/>
      </w:pPr>
    </w:lvl>
    <w:lvl w:ilvl="2" w:tplc="3BBAD04E">
      <w:start w:val="1"/>
      <w:numFmt w:val="lowerRoman"/>
      <w:lvlText w:val="%3."/>
      <w:lvlJc w:val="right"/>
      <w:pPr>
        <w:ind w:left="2160" w:hanging="180"/>
      </w:pPr>
    </w:lvl>
    <w:lvl w:ilvl="3" w:tplc="EE1E85E6">
      <w:start w:val="1"/>
      <w:numFmt w:val="decimal"/>
      <w:lvlText w:val="%4."/>
      <w:lvlJc w:val="left"/>
      <w:pPr>
        <w:ind w:left="2880" w:hanging="360"/>
      </w:pPr>
    </w:lvl>
    <w:lvl w:ilvl="4" w:tplc="3BB4D10C">
      <w:start w:val="1"/>
      <w:numFmt w:val="lowerLetter"/>
      <w:lvlText w:val="%5."/>
      <w:lvlJc w:val="left"/>
      <w:pPr>
        <w:ind w:left="3600" w:hanging="360"/>
      </w:pPr>
    </w:lvl>
    <w:lvl w:ilvl="5" w:tplc="3FDEAB7C">
      <w:start w:val="1"/>
      <w:numFmt w:val="lowerRoman"/>
      <w:lvlText w:val="%6."/>
      <w:lvlJc w:val="right"/>
      <w:pPr>
        <w:ind w:left="4320" w:hanging="180"/>
      </w:pPr>
    </w:lvl>
    <w:lvl w:ilvl="6" w:tplc="43EE7610">
      <w:start w:val="1"/>
      <w:numFmt w:val="decimal"/>
      <w:lvlText w:val="%7."/>
      <w:lvlJc w:val="left"/>
      <w:pPr>
        <w:ind w:left="5040" w:hanging="360"/>
      </w:pPr>
    </w:lvl>
    <w:lvl w:ilvl="7" w:tplc="CBE48DB8">
      <w:start w:val="1"/>
      <w:numFmt w:val="lowerLetter"/>
      <w:lvlText w:val="%8."/>
      <w:lvlJc w:val="left"/>
      <w:pPr>
        <w:ind w:left="5760" w:hanging="360"/>
      </w:pPr>
    </w:lvl>
    <w:lvl w:ilvl="8" w:tplc="50844C0E">
      <w:start w:val="1"/>
      <w:numFmt w:val="lowerRoman"/>
      <w:lvlText w:val="%9."/>
      <w:lvlJc w:val="right"/>
      <w:pPr>
        <w:ind w:left="6480" w:hanging="180"/>
      </w:pPr>
    </w:lvl>
  </w:abstractNum>
  <w:abstractNum w:abstractNumId="16" w15:restartNumberingAfterBreak="0">
    <w:nsid w:val="38BC5177"/>
    <w:multiLevelType w:val="hybridMultilevel"/>
    <w:tmpl w:val="03FADC32"/>
    <w:lvl w:ilvl="0" w:tplc="0EC6239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7" w15:restartNumberingAfterBreak="0">
    <w:nsid w:val="3B51537D"/>
    <w:multiLevelType w:val="hybridMultilevel"/>
    <w:tmpl w:val="3C1A43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CA43CA"/>
    <w:multiLevelType w:val="hybridMultilevel"/>
    <w:tmpl w:val="B7AAA774"/>
    <w:lvl w:ilvl="0" w:tplc="D4B22FBA">
      <w:start w:val="1"/>
      <w:numFmt w:val="bullet"/>
      <w:lvlText w:val="-"/>
      <w:lvlJc w:val="left"/>
      <w:pPr>
        <w:ind w:left="578" w:hanging="360"/>
      </w:pPr>
      <w:rPr>
        <w:rFonts w:ascii="Times New Roman" w:hAnsi="Times New Roman" w:cs="Times New Roman" w:hint="default"/>
      </w:rPr>
    </w:lvl>
    <w:lvl w:ilvl="1" w:tplc="04150003">
      <w:start w:val="1"/>
      <w:numFmt w:val="bullet"/>
      <w:lvlText w:val="o"/>
      <w:lvlJc w:val="left"/>
      <w:pPr>
        <w:ind w:left="1298" w:hanging="360"/>
      </w:pPr>
      <w:rPr>
        <w:rFonts w:ascii="Courier New" w:hAnsi="Courier New" w:cs="Courier New" w:hint="default"/>
      </w:rPr>
    </w:lvl>
    <w:lvl w:ilvl="2" w:tplc="04150005">
      <w:start w:val="1"/>
      <w:numFmt w:val="bullet"/>
      <w:lvlText w:val=""/>
      <w:lvlJc w:val="left"/>
      <w:pPr>
        <w:ind w:left="2018" w:hanging="360"/>
      </w:pPr>
      <w:rPr>
        <w:rFonts w:ascii="Wingdings" w:hAnsi="Wingdings" w:hint="default"/>
      </w:rPr>
    </w:lvl>
    <w:lvl w:ilvl="3" w:tplc="04150001">
      <w:start w:val="1"/>
      <w:numFmt w:val="bullet"/>
      <w:lvlText w:val=""/>
      <w:lvlJc w:val="left"/>
      <w:pPr>
        <w:ind w:left="2738" w:hanging="360"/>
      </w:pPr>
      <w:rPr>
        <w:rFonts w:ascii="Symbol" w:hAnsi="Symbol" w:hint="default"/>
      </w:rPr>
    </w:lvl>
    <w:lvl w:ilvl="4" w:tplc="04150003">
      <w:start w:val="1"/>
      <w:numFmt w:val="bullet"/>
      <w:lvlText w:val="o"/>
      <w:lvlJc w:val="left"/>
      <w:pPr>
        <w:ind w:left="3458" w:hanging="360"/>
      </w:pPr>
      <w:rPr>
        <w:rFonts w:ascii="Courier New" w:hAnsi="Courier New" w:cs="Courier New" w:hint="default"/>
      </w:rPr>
    </w:lvl>
    <w:lvl w:ilvl="5" w:tplc="04150005">
      <w:start w:val="1"/>
      <w:numFmt w:val="bullet"/>
      <w:lvlText w:val=""/>
      <w:lvlJc w:val="left"/>
      <w:pPr>
        <w:ind w:left="4178" w:hanging="360"/>
      </w:pPr>
      <w:rPr>
        <w:rFonts w:ascii="Wingdings" w:hAnsi="Wingdings" w:hint="default"/>
      </w:rPr>
    </w:lvl>
    <w:lvl w:ilvl="6" w:tplc="04150001">
      <w:start w:val="1"/>
      <w:numFmt w:val="bullet"/>
      <w:lvlText w:val=""/>
      <w:lvlJc w:val="left"/>
      <w:pPr>
        <w:ind w:left="4898" w:hanging="360"/>
      </w:pPr>
      <w:rPr>
        <w:rFonts w:ascii="Symbol" w:hAnsi="Symbol" w:hint="default"/>
      </w:rPr>
    </w:lvl>
    <w:lvl w:ilvl="7" w:tplc="04150003">
      <w:start w:val="1"/>
      <w:numFmt w:val="bullet"/>
      <w:lvlText w:val="o"/>
      <w:lvlJc w:val="left"/>
      <w:pPr>
        <w:ind w:left="5618" w:hanging="360"/>
      </w:pPr>
      <w:rPr>
        <w:rFonts w:ascii="Courier New" w:hAnsi="Courier New" w:cs="Courier New" w:hint="default"/>
      </w:rPr>
    </w:lvl>
    <w:lvl w:ilvl="8" w:tplc="04150005">
      <w:start w:val="1"/>
      <w:numFmt w:val="bullet"/>
      <w:lvlText w:val=""/>
      <w:lvlJc w:val="left"/>
      <w:pPr>
        <w:ind w:left="6338" w:hanging="360"/>
      </w:pPr>
      <w:rPr>
        <w:rFonts w:ascii="Wingdings" w:hAnsi="Wingdings" w:hint="default"/>
      </w:rPr>
    </w:lvl>
  </w:abstractNum>
  <w:abstractNum w:abstractNumId="19" w15:restartNumberingAfterBreak="0">
    <w:nsid w:val="42C50B4C"/>
    <w:multiLevelType w:val="hybridMultilevel"/>
    <w:tmpl w:val="AB02F066"/>
    <w:lvl w:ilvl="0" w:tplc="0C08036E">
      <w:start w:val="1"/>
      <w:numFmt w:val="decimal"/>
      <w:lvlText w:val="%1."/>
      <w:lvlJc w:val="left"/>
      <w:pPr>
        <w:ind w:left="720" w:hanging="360"/>
      </w:pPr>
    </w:lvl>
    <w:lvl w:ilvl="1" w:tplc="E21CFCC4">
      <w:start w:val="1"/>
      <w:numFmt w:val="lowerLetter"/>
      <w:lvlText w:val="%2."/>
      <w:lvlJc w:val="left"/>
      <w:pPr>
        <w:ind w:left="1440" w:hanging="360"/>
      </w:pPr>
    </w:lvl>
    <w:lvl w:ilvl="2" w:tplc="7CB2298C">
      <w:start w:val="1"/>
      <w:numFmt w:val="lowerRoman"/>
      <w:lvlText w:val="%3."/>
      <w:lvlJc w:val="right"/>
      <w:pPr>
        <w:ind w:left="2160" w:hanging="180"/>
      </w:pPr>
    </w:lvl>
    <w:lvl w:ilvl="3" w:tplc="56FC5EE0">
      <w:start w:val="1"/>
      <w:numFmt w:val="decimal"/>
      <w:lvlText w:val="%4."/>
      <w:lvlJc w:val="left"/>
      <w:pPr>
        <w:ind w:left="2880" w:hanging="360"/>
      </w:pPr>
    </w:lvl>
    <w:lvl w:ilvl="4" w:tplc="1F101A5C">
      <w:start w:val="1"/>
      <w:numFmt w:val="lowerLetter"/>
      <w:lvlText w:val="%5."/>
      <w:lvlJc w:val="left"/>
      <w:pPr>
        <w:ind w:left="3600" w:hanging="360"/>
      </w:pPr>
    </w:lvl>
    <w:lvl w:ilvl="5" w:tplc="98847A20">
      <w:start w:val="1"/>
      <w:numFmt w:val="lowerRoman"/>
      <w:lvlText w:val="%6."/>
      <w:lvlJc w:val="right"/>
      <w:pPr>
        <w:ind w:left="4320" w:hanging="180"/>
      </w:pPr>
    </w:lvl>
    <w:lvl w:ilvl="6" w:tplc="7B26ED7E">
      <w:start w:val="1"/>
      <w:numFmt w:val="decimal"/>
      <w:lvlText w:val="%7."/>
      <w:lvlJc w:val="left"/>
      <w:pPr>
        <w:ind w:left="5040" w:hanging="360"/>
      </w:pPr>
    </w:lvl>
    <w:lvl w:ilvl="7" w:tplc="C3FC11A8">
      <w:start w:val="1"/>
      <w:numFmt w:val="lowerLetter"/>
      <w:lvlText w:val="%8."/>
      <w:lvlJc w:val="left"/>
      <w:pPr>
        <w:ind w:left="5760" w:hanging="360"/>
      </w:pPr>
    </w:lvl>
    <w:lvl w:ilvl="8" w:tplc="DF6CCDC2">
      <w:start w:val="1"/>
      <w:numFmt w:val="lowerRoman"/>
      <w:lvlText w:val="%9."/>
      <w:lvlJc w:val="right"/>
      <w:pPr>
        <w:ind w:left="6480" w:hanging="180"/>
      </w:pPr>
    </w:lvl>
  </w:abstractNum>
  <w:abstractNum w:abstractNumId="20" w15:restartNumberingAfterBreak="0">
    <w:nsid w:val="462D74B0"/>
    <w:multiLevelType w:val="hybridMultilevel"/>
    <w:tmpl w:val="85766B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9C74D5"/>
    <w:multiLevelType w:val="hybridMultilevel"/>
    <w:tmpl w:val="DC4AAF50"/>
    <w:lvl w:ilvl="0" w:tplc="FAC4CD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8D1748"/>
    <w:multiLevelType w:val="hybridMultilevel"/>
    <w:tmpl w:val="BCBAB7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31059F"/>
    <w:multiLevelType w:val="hybridMultilevel"/>
    <w:tmpl w:val="928CA4AC"/>
    <w:lvl w:ilvl="0" w:tplc="B5C019F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336B14"/>
    <w:multiLevelType w:val="hybridMultilevel"/>
    <w:tmpl w:val="347A925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43233A"/>
    <w:multiLevelType w:val="hybridMultilevel"/>
    <w:tmpl w:val="3B964064"/>
    <w:lvl w:ilvl="0" w:tplc="9612B01C">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1E4BDD"/>
    <w:multiLevelType w:val="hybridMultilevel"/>
    <w:tmpl w:val="CD3AD73A"/>
    <w:lvl w:ilvl="0" w:tplc="D2882BE2">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58F20AFE"/>
    <w:multiLevelType w:val="hybridMultilevel"/>
    <w:tmpl w:val="47084B4A"/>
    <w:lvl w:ilvl="0" w:tplc="0EC62398">
      <w:start w:val="1"/>
      <w:numFmt w:val="bullet"/>
      <w:lvlText w:val=""/>
      <w:lvlJc w:val="left"/>
      <w:pPr>
        <w:ind w:left="1343" w:hanging="360"/>
      </w:pPr>
      <w:rPr>
        <w:rFonts w:ascii="Symbol" w:hAnsi="Symbol" w:hint="default"/>
      </w:rPr>
    </w:lvl>
    <w:lvl w:ilvl="1" w:tplc="04150003">
      <w:start w:val="1"/>
      <w:numFmt w:val="bullet"/>
      <w:lvlText w:val="o"/>
      <w:lvlJc w:val="left"/>
      <w:pPr>
        <w:ind w:left="2063" w:hanging="360"/>
      </w:pPr>
      <w:rPr>
        <w:rFonts w:ascii="Courier New" w:hAnsi="Courier New" w:cs="Courier New" w:hint="default"/>
      </w:rPr>
    </w:lvl>
    <w:lvl w:ilvl="2" w:tplc="04150005">
      <w:start w:val="1"/>
      <w:numFmt w:val="bullet"/>
      <w:lvlText w:val=""/>
      <w:lvlJc w:val="left"/>
      <w:pPr>
        <w:ind w:left="2783" w:hanging="360"/>
      </w:pPr>
      <w:rPr>
        <w:rFonts w:ascii="Wingdings" w:hAnsi="Wingdings" w:hint="default"/>
      </w:rPr>
    </w:lvl>
    <w:lvl w:ilvl="3" w:tplc="04150001">
      <w:start w:val="1"/>
      <w:numFmt w:val="bullet"/>
      <w:lvlText w:val=""/>
      <w:lvlJc w:val="left"/>
      <w:pPr>
        <w:ind w:left="3503" w:hanging="360"/>
      </w:pPr>
      <w:rPr>
        <w:rFonts w:ascii="Symbol" w:hAnsi="Symbol" w:hint="default"/>
      </w:rPr>
    </w:lvl>
    <w:lvl w:ilvl="4" w:tplc="04150003">
      <w:start w:val="1"/>
      <w:numFmt w:val="bullet"/>
      <w:lvlText w:val="o"/>
      <w:lvlJc w:val="left"/>
      <w:pPr>
        <w:ind w:left="4223" w:hanging="360"/>
      </w:pPr>
      <w:rPr>
        <w:rFonts w:ascii="Courier New" w:hAnsi="Courier New" w:cs="Courier New" w:hint="default"/>
      </w:rPr>
    </w:lvl>
    <w:lvl w:ilvl="5" w:tplc="04150005">
      <w:start w:val="1"/>
      <w:numFmt w:val="bullet"/>
      <w:lvlText w:val=""/>
      <w:lvlJc w:val="left"/>
      <w:pPr>
        <w:ind w:left="4943" w:hanging="360"/>
      </w:pPr>
      <w:rPr>
        <w:rFonts w:ascii="Wingdings" w:hAnsi="Wingdings" w:hint="default"/>
      </w:rPr>
    </w:lvl>
    <w:lvl w:ilvl="6" w:tplc="04150001">
      <w:start w:val="1"/>
      <w:numFmt w:val="bullet"/>
      <w:lvlText w:val=""/>
      <w:lvlJc w:val="left"/>
      <w:pPr>
        <w:ind w:left="5663" w:hanging="360"/>
      </w:pPr>
      <w:rPr>
        <w:rFonts w:ascii="Symbol" w:hAnsi="Symbol" w:hint="default"/>
      </w:rPr>
    </w:lvl>
    <w:lvl w:ilvl="7" w:tplc="04150003">
      <w:start w:val="1"/>
      <w:numFmt w:val="bullet"/>
      <w:lvlText w:val="o"/>
      <w:lvlJc w:val="left"/>
      <w:pPr>
        <w:ind w:left="6383" w:hanging="360"/>
      </w:pPr>
      <w:rPr>
        <w:rFonts w:ascii="Courier New" w:hAnsi="Courier New" w:cs="Courier New" w:hint="default"/>
      </w:rPr>
    </w:lvl>
    <w:lvl w:ilvl="8" w:tplc="04150005">
      <w:start w:val="1"/>
      <w:numFmt w:val="bullet"/>
      <w:lvlText w:val=""/>
      <w:lvlJc w:val="left"/>
      <w:pPr>
        <w:ind w:left="7103" w:hanging="360"/>
      </w:pPr>
      <w:rPr>
        <w:rFonts w:ascii="Wingdings" w:hAnsi="Wingdings" w:hint="default"/>
      </w:rPr>
    </w:lvl>
  </w:abstractNum>
  <w:abstractNum w:abstractNumId="28" w15:restartNumberingAfterBreak="0">
    <w:nsid w:val="5F797E9F"/>
    <w:multiLevelType w:val="hybridMultilevel"/>
    <w:tmpl w:val="F5B81EE6"/>
    <w:lvl w:ilvl="0" w:tplc="0EC6239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9" w15:restartNumberingAfterBreak="0">
    <w:nsid w:val="653976DC"/>
    <w:multiLevelType w:val="hybridMultilevel"/>
    <w:tmpl w:val="4978D7A4"/>
    <w:lvl w:ilvl="0" w:tplc="22D0ED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6AA440A"/>
    <w:multiLevelType w:val="hybridMultilevel"/>
    <w:tmpl w:val="E1700B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9413775"/>
    <w:multiLevelType w:val="hybridMultilevel"/>
    <w:tmpl w:val="67FCC2A0"/>
    <w:lvl w:ilvl="0" w:tplc="64B4DC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7351643">
    <w:abstractNumId w:val="6"/>
  </w:num>
  <w:num w:numId="2" w16cid:durableId="1550148541">
    <w:abstractNumId w:val="19"/>
  </w:num>
  <w:num w:numId="3" w16cid:durableId="2008710981">
    <w:abstractNumId w:val="15"/>
  </w:num>
  <w:num w:numId="4" w16cid:durableId="835339724">
    <w:abstractNumId w:val="7"/>
  </w:num>
  <w:num w:numId="5" w16cid:durableId="1485126574">
    <w:abstractNumId w:val="13"/>
  </w:num>
  <w:num w:numId="6" w16cid:durableId="1090082741">
    <w:abstractNumId w:val="8"/>
  </w:num>
  <w:num w:numId="7" w16cid:durableId="1313099721">
    <w:abstractNumId w:val="24"/>
  </w:num>
  <w:num w:numId="8" w16cid:durableId="1742606100">
    <w:abstractNumId w:val="12"/>
  </w:num>
  <w:num w:numId="9" w16cid:durableId="476075148">
    <w:abstractNumId w:val="29"/>
  </w:num>
  <w:num w:numId="10" w16cid:durableId="826481422">
    <w:abstractNumId w:val="31"/>
  </w:num>
  <w:num w:numId="11" w16cid:durableId="1495222663">
    <w:abstractNumId w:val="18"/>
  </w:num>
  <w:num w:numId="12" w16cid:durableId="11085045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368038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46877995">
    <w:abstractNumId w:val="2"/>
  </w:num>
  <w:num w:numId="15" w16cid:durableId="1595434626">
    <w:abstractNumId w:val="20"/>
  </w:num>
  <w:num w:numId="16" w16cid:durableId="673873745">
    <w:abstractNumId w:val="25"/>
  </w:num>
  <w:num w:numId="17" w16cid:durableId="1704599181">
    <w:abstractNumId w:val="14"/>
  </w:num>
  <w:num w:numId="18" w16cid:durableId="718479343">
    <w:abstractNumId w:val="27"/>
  </w:num>
  <w:num w:numId="19" w16cid:durableId="797989988">
    <w:abstractNumId w:val="16"/>
  </w:num>
  <w:num w:numId="20" w16cid:durableId="1138107510">
    <w:abstractNumId w:val="28"/>
  </w:num>
  <w:num w:numId="21" w16cid:durableId="1776826916">
    <w:abstractNumId w:val="5"/>
  </w:num>
  <w:num w:numId="22" w16cid:durableId="1616015755">
    <w:abstractNumId w:val="1"/>
  </w:num>
  <w:num w:numId="23" w16cid:durableId="36324801">
    <w:abstractNumId w:val="9"/>
  </w:num>
  <w:num w:numId="24" w16cid:durableId="1223516682">
    <w:abstractNumId w:val="3"/>
  </w:num>
  <w:num w:numId="25" w16cid:durableId="1039166726">
    <w:abstractNumId w:val="17"/>
  </w:num>
  <w:num w:numId="26" w16cid:durableId="2131240856">
    <w:abstractNumId w:val="22"/>
  </w:num>
  <w:num w:numId="27" w16cid:durableId="1700625150">
    <w:abstractNumId w:val="23"/>
  </w:num>
  <w:num w:numId="28" w16cid:durableId="962345528">
    <w:abstractNumId w:val="21"/>
  </w:num>
  <w:num w:numId="29" w16cid:durableId="843861640">
    <w:abstractNumId w:val="4"/>
  </w:num>
  <w:num w:numId="30" w16cid:durableId="1678314162">
    <w:abstractNumId w:val="11"/>
  </w:num>
  <w:num w:numId="31" w16cid:durableId="1282375139">
    <w:abstractNumId w:val="0"/>
  </w:num>
  <w:num w:numId="32" w16cid:durableId="11192243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F97"/>
    <w:rsid w:val="000019E2"/>
    <w:rsid w:val="00021CB1"/>
    <w:rsid w:val="00024D95"/>
    <w:rsid w:val="00025DDC"/>
    <w:rsid w:val="00027E0F"/>
    <w:rsid w:val="000310DF"/>
    <w:rsid w:val="00034402"/>
    <w:rsid w:val="0004543F"/>
    <w:rsid w:val="00050052"/>
    <w:rsid w:val="00065280"/>
    <w:rsid w:val="000759AF"/>
    <w:rsid w:val="000832D3"/>
    <w:rsid w:val="00084774"/>
    <w:rsid w:val="000901F5"/>
    <w:rsid w:val="00095771"/>
    <w:rsid w:val="000971C1"/>
    <w:rsid w:val="000A05A0"/>
    <w:rsid w:val="000A2E63"/>
    <w:rsid w:val="000B7666"/>
    <w:rsid w:val="000C16CF"/>
    <w:rsid w:val="000C6F42"/>
    <w:rsid w:val="000C7FB2"/>
    <w:rsid w:val="000D01DA"/>
    <w:rsid w:val="000D2D71"/>
    <w:rsid w:val="000E1ABD"/>
    <w:rsid w:val="000E3DC4"/>
    <w:rsid w:val="000E63F6"/>
    <w:rsid w:val="000E7ACD"/>
    <w:rsid w:val="00101CD4"/>
    <w:rsid w:val="001036BB"/>
    <w:rsid w:val="0010546B"/>
    <w:rsid w:val="0010608F"/>
    <w:rsid w:val="00113CA4"/>
    <w:rsid w:val="00122233"/>
    <w:rsid w:val="00124565"/>
    <w:rsid w:val="0013030D"/>
    <w:rsid w:val="00130B6D"/>
    <w:rsid w:val="00130B95"/>
    <w:rsid w:val="00136C75"/>
    <w:rsid w:val="001430D4"/>
    <w:rsid w:val="001545F9"/>
    <w:rsid w:val="00156317"/>
    <w:rsid w:val="00156D61"/>
    <w:rsid w:val="00161328"/>
    <w:rsid w:val="001644EB"/>
    <w:rsid w:val="0016567F"/>
    <w:rsid w:val="00181CD6"/>
    <w:rsid w:val="00184ADB"/>
    <w:rsid w:val="00191870"/>
    <w:rsid w:val="00192B69"/>
    <w:rsid w:val="00193BC8"/>
    <w:rsid w:val="001A53F2"/>
    <w:rsid w:val="001A72A6"/>
    <w:rsid w:val="001A7E54"/>
    <w:rsid w:val="001B4815"/>
    <w:rsid w:val="001B5FDA"/>
    <w:rsid w:val="001C0082"/>
    <w:rsid w:val="001C2540"/>
    <w:rsid w:val="001E3A93"/>
    <w:rsid w:val="001F11D7"/>
    <w:rsid w:val="001F18D9"/>
    <w:rsid w:val="002109A2"/>
    <w:rsid w:val="0022152A"/>
    <w:rsid w:val="00221A60"/>
    <w:rsid w:val="002247C9"/>
    <w:rsid w:val="00230652"/>
    <w:rsid w:val="002319F8"/>
    <w:rsid w:val="002378A9"/>
    <w:rsid w:val="00246C6B"/>
    <w:rsid w:val="0025385F"/>
    <w:rsid w:val="00266A08"/>
    <w:rsid w:val="0026725E"/>
    <w:rsid w:val="00273256"/>
    <w:rsid w:val="00276D25"/>
    <w:rsid w:val="00284804"/>
    <w:rsid w:val="00286487"/>
    <w:rsid w:val="00290319"/>
    <w:rsid w:val="002923F8"/>
    <w:rsid w:val="002977C9"/>
    <w:rsid w:val="002A1A4C"/>
    <w:rsid w:val="002A52C4"/>
    <w:rsid w:val="002A5E8B"/>
    <w:rsid w:val="002A6E89"/>
    <w:rsid w:val="002B0596"/>
    <w:rsid w:val="002C1BDC"/>
    <w:rsid w:val="002C3075"/>
    <w:rsid w:val="002C406D"/>
    <w:rsid w:val="002D5112"/>
    <w:rsid w:val="002E7607"/>
    <w:rsid w:val="00312525"/>
    <w:rsid w:val="00313026"/>
    <w:rsid w:val="003158F1"/>
    <w:rsid w:val="0031618E"/>
    <w:rsid w:val="00323608"/>
    <w:rsid w:val="00324344"/>
    <w:rsid w:val="00326197"/>
    <w:rsid w:val="00327FF3"/>
    <w:rsid w:val="00332005"/>
    <w:rsid w:val="00336B17"/>
    <w:rsid w:val="00344E72"/>
    <w:rsid w:val="003613AA"/>
    <w:rsid w:val="00363D12"/>
    <w:rsid w:val="0037412F"/>
    <w:rsid w:val="00374E43"/>
    <w:rsid w:val="00381D1E"/>
    <w:rsid w:val="00383ED4"/>
    <w:rsid w:val="00393F23"/>
    <w:rsid w:val="00395745"/>
    <w:rsid w:val="00397129"/>
    <w:rsid w:val="003A2497"/>
    <w:rsid w:val="003B1B7B"/>
    <w:rsid w:val="003C0713"/>
    <w:rsid w:val="003C11BC"/>
    <w:rsid w:val="003C5CAA"/>
    <w:rsid w:val="003D11A5"/>
    <w:rsid w:val="003D3BB7"/>
    <w:rsid w:val="003D3D27"/>
    <w:rsid w:val="003E29C0"/>
    <w:rsid w:val="003E4173"/>
    <w:rsid w:val="003F53AC"/>
    <w:rsid w:val="003F63F4"/>
    <w:rsid w:val="00403291"/>
    <w:rsid w:val="00404045"/>
    <w:rsid w:val="00412B8E"/>
    <w:rsid w:val="0041336B"/>
    <w:rsid w:val="00414B6C"/>
    <w:rsid w:val="00417190"/>
    <w:rsid w:val="00432F50"/>
    <w:rsid w:val="00440A13"/>
    <w:rsid w:val="00452BA3"/>
    <w:rsid w:val="004574FC"/>
    <w:rsid w:val="0046212C"/>
    <w:rsid w:val="0047147B"/>
    <w:rsid w:val="00476FFB"/>
    <w:rsid w:val="004865BC"/>
    <w:rsid w:val="00486FE0"/>
    <w:rsid w:val="00495A11"/>
    <w:rsid w:val="004A2F97"/>
    <w:rsid w:val="004B5BE2"/>
    <w:rsid w:val="004B6E9E"/>
    <w:rsid w:val="004C28F9"/>
    <w:rsid w:val="004D3872"/>
    <w:rsid w:val="004D3AE4"/>
    <w:rsid w:val="004D4AE1"/>
    <w:rsid w:val="004E2A7C"/>
    <w:rsid w:val="004E7197"/>
    <w:rsid w:val="004F3C72"/>
    <w:rsid w:val="004F3F80"/>
    <w:rsid w:val="004F470E"/>
    <w:rsid w:val="004F5636"/>
    <w:rsid w:val="00500D60"/>
    <w:rsid w:val="005029B2"/>
    <w:rsid w:val="00504E16"/>
    <w:rsid w:val="00506A0F"/>
    <w:rsid w:val="005100B2"/>
    <w:rsid w:val="00514345"/>
    <w:rsid w:val="005149C5"/>
    <w:rsid w:val="005212CB"/>
    <w:rsid w:val="00523A2D"/>
    <w:rsid w:val="005245AF"/>
    <w:rsid w:val="00530FA4"/>
    <w:rsid w:val="00535F67"/>
    <w:rsid w:val="00536E23"/>
    <w:rsid w:val="00540022"/>
    <w:rsid w:val="0054118F"/>
    <w:rsid w:val="00551B5B"/>
    <w:rsid w:val="0055298B"/>
    <w:rsid w:val="00552F09"/>
    <w:rsid w:val="00555C35"/>
    <w:rsid w:val="005625D0"/>
    <w:rsid w:val="00566647"/>
    <w:rsid w:val="00566711"/>
    <w:rsid w:val="005722FD"/>
    <w:rsid w:val="00573F4D"/>
    <w:rsid w:val="00577A60"/>
    <w:rsid w:val="0058053A"/>
    <w:rsid w:val="00581A83"/>
    <w:rsid w:val="00585369"/>
    <w:rsid w:val="00585B64"/>
    <w:rsid w:val="005901DF"/>
    <w:rsid w:val="005917EC"/>
    <w:rsid w:val="005A136B"/>
    <w:rsid w:val="005A3C9A"/>
    <w:rsid w:val="005B1E47"/>
    <w:rsid w:val="005C1A5F"/>
    <w:rsid w:val="005C76B1"/>
    <w:rsid w:val="005D0F97"/>
    <w:rsid w:val="005F43E1"/>
    <w:rsid w:val="005F5656"/>
    <w:rsid w:val="005F68AA"/>
    <w:rsid w:val="00600421"/>
    <w:rsid w:val="0060451D"/>
    <w:rsid w:val="006117B2"/>
    <w:rsid w:val="00611ACB"/>
    <w:rsid w:val="00613EC7"/>
    <w:rsid w:val="00617899"/>
    <w:rsid w:val="006211C8"/>
    <w:rsid w:val="00625712"/>
    <w:rsid w:val="00627D64"/>
    <w:rsid w:val="0064270B"/>
    <w:rsid w:val="00643C6E"/>
    <w:rsid w:val="0065423C"/>
    <w:rsid w:val="00657681"/>
    <w:rsid w:val="006605A2"/>
    <w:rsid w:val="00662851"/>
    <w:rsid w:val="006657F8"/>
    <w:rsid w:val="006742D6"/>
    <w:rsid w:val="006748B4"/>
    <w:rsid w:val="0068022D"/>
    <w:rsid w:val="00695167"/>
    <w:rsid w:val="00697A3F"/>
    <w:rsid w:val="0069AD06"/>
    <w:rsid w:val="006A1257"/>
    <w:rsid w:val="006B34DD"/>
    <w:rsid w:val="006B5F60"/>
    <w:rsid w:val="006C7A10"/>
    <w:rsid w:val="006D0174"/>
    <w:rsid w:val="006E19CE"/>
    <w:rsid w:val="006F5282"/>
    <w:rsid w:val="007027E3"/>
    <w:rsid w:val="00703985"/>
    <w:rsid w:val="00713AE0"/>
    <w:rsid w:val="00720AE5"/>
    <w:rsid w:val="007215E0"/>
    <w:rsid w:val="00742ED2"/>
    <w:rsid w:val="00774B84"/>
    <w:rsid w:val="007805BB"/>
    <w:rsid w:val="00784F00"/>
    <w:rsid w:val="00790A9F"/>
    <w:rsid w:val="00791394"/>
    <w:rsid w:val="007B0521"/>
    <w:rsid w:val="007B6FFB"/>
    <w:rsid w:val="007C4664"/>
    <w:rsid w:val="007D0337"/>
    <w:rsid w:val="007D0FEB"/>
    <w:rsid w:val="007D4C01"/>
    <w:rsid w:val="007D5CD5"/>
    <w:rsid w:val="007E1B79"/>
    <w:rsid w:val="007E481A"/>
    <w:rsid w:val="007E4925"/>
    <w:rsid w:val="007E641E"/>
    <w:rsid w:val="007E6AE8"/>
    <w:rsid w:val="007E781D"/>
    <w:rsid w:val="007F631F"/>
    <w:rsid w:val="007F6E41"/>
    <w:rsid w:val="008076C6"/>
    <w:rsid w:val="008232EC"/>
    <w:rsid w:val="0082747C"/>
    <w:rsid w:val="0083268C"/>
    <w:rsid w:val="00834299"/>
    <w:rsid w:val="00845E2C"/>
    <w:rsid w:val="00847A69"/>
    <w:rsid w:val="00855432"/>
    <w:rsid w:val="008609C9"/>
    <w:rsid w:val="008619EF"/>
    <w:rsid w:val="00865DA6"/>
    <w:rsid w:val="0087349A"/>
    <w:rsid w:val="00873AFE"/>
    <w:rsid w:val="00876FD3"/>
    <w:rsid w:val="0088090F"/>
    <w:rsid w:val="00897A30"/>
    <w:rsid w:val="008A015C"/>
    <w:rsid w:val="008A4335"/>
    <w:rsid w:val="008A48BE"/>
    <w:rsid w:val="008B0D28"/>
    <w:rsid w:val="008B6012"/>
    <w:rsid w:val="008C3E32"/>
    <w:rsid w:val="008C7494"/>
    <w:rsid w:val="008D0663"/>
    <w:rsid w:val="008D465F"/>
    <w:rsid w:val="008D5FB5"/>
    <w:rsid w:val="008D607E"/>
    <w:rsid w:val="008E2FB2"/>
    <w:rsid w:val="008E36C0"/>
    <w:rsid w:val="008E380D"/>
    <w:rsid w:val="008E5A98"/>
    <w:rsid w:val="008E6341"/>
    <w:rsid w:val="008F08BB"/>
    <w:rsid w:val="00900C99"/>
    <w:rsid w:val="009116DE"/>
    <w:rsid w:val="00913E56"/>
    <w:rsid w:val="00915819"/>
    <w:rsid w:val="009230F7"/>
    <w:rsid w:val="009253E8"/>
    <w:rsid w:val="009266F5"/>
    <w:rsid w:val="00927045"/>
    <w:rsid w:val="00937B8C"/>
    <w:rsid w:val="009432CB"/>
    <w:rsid w:val="009455EF"/>
    <w:rsid w:val="00950B82"/>
    <w:rsid w:val="00954048"/>
    <w:rsid w:val="00954812"/>
    <w:rsid w:val="009560AF"/>
    <w:rsid w:val="0096128B"/>
    <w:rsid w:val="00961603"/>
    <w:rsid w:val="00962BB7"/>
    <w:rsid w:val="00964D41"/>
    <w:rsid w:val="00982E08"/>
    <w:rsid w:val="009854F8"/>
    <w:rsid w:val="00995527"/>
    <w:rsid w:val="009967D6"/>
    <w:rsid w:val="009A07D7"/>
    <w:rsid w:val="009B008C"/>
    <w:rsid w:val="009B536E"/>
    <w:rsid w:val="009B6B53"/>
    <w:rsid w:val="009C1776"/>
    <w:rsid w:val="009C4897"/>
    <w:rsid w:val="009D26F5"/>
    <w:rsid w:val="009D4977"/>
    <w:rsid w:val="009D6752"/>
    <w:rsid w:val="009F215E"/>
    <w:rsid w:val="009F2ED4"/>
    <w:rsid w:val="009F473A"/>
    <w:rsid w:val="009F6074"/>
    <w:rsid w:val="00A0722B"/>
    <w:rsid w:val="00A0743B"/>
    <w:rsid w:val="00A11385"/>
    <w:rsid w:val="00A11D34"/>
    <w:rsid w:val="00A25165"/>
    <w:rsid w:val="00A25427"/>
    <w:rsid w:val="00A26D3C"/>
    <w:rsid w:val="00A332E6"/>
    <w:rsid w:val="00A50C33"/>
    <w:rsid w:val="00A51CB9"/>
    <w:rsid w:val="00A54579"/>
    <w:rsid w:val="00A615A4"/>
    <w:rsid w:val="00A65658"/>
    <w:rsid w:val="00A70D21"/>
    <w:rsid w:val="00A75D15"/>
    <w:rsid w:val="00A77663"/>
    <w:rsid w:val="00A81F33"/>
    <w:rsid w:val="00A821A4"/>
    <w:rsid w:val="00A84116"/>
    <w:rsid w:val="00A8434A"/>
    <w:rsid w:val="00A84BBE"/>
    <w:rsid w:val="00A917CB"/>
    <w:rsid w:val="00A93773"/>
    <w:rsid w:val="00A941EC"/>
    <w:rsid w:val="00AA0657"/>
    <w:rsid w:val="00AA6145"/>
    <w:rsid w:val="00AB21FB"/>
    <w:rsid w:val="00AB6B05"/>
    <w:rsid w:val="00AB733D"/>
    <w:rsid w:val="00AC0A1D"/>
    <w:rsid w:val="00AD2B68"/>
    <w:rsid w:val="00AD5E8D"/>
    <w:rsid w:val="00AE05F9"/>
    <w:rsid w:val="00AE64CB"/>
    <w:rsid w:val="00AF14CF"/>
    <w:rsid w:val="00AF4B58"/>
    <w:rsid w:val="00AF7B16"/>
    <w:rsid w:val="00B05BD4"/>
    <w:rsid w:val="00B06F04"/>
    <w:rsid w:val="00B11EBE"/>
    <w:rsid w:val="00B1731A"/>
    <w:rsid w:val="00B27FE6"/>
    <w:rsid w:val="00B3719C"/>
    <w:rsid w:val="00B371FF"/>
    <w:rsid w:val="00B430AE"/>
    <w:rsid w:val="00B4516A"/>
    <w:rsid w:val="00B471BE"/>
    <w:rsid w:val="00B52B3C"/>
    <w:rsid w:val="00B54F54"/>
    <w:rsid w:val="00B55173"/>
    <w:rsid w:val="00B67AFE"/>
    <w:rsid w:val="00B7452C"/>
    <w:rsid w:val="00B91DBF"/>
    <w:rsid w:val="00B96FC5"/>
    <w:rsid w:val="00B979CB"/>
    <w:rsid w:val="00BA4C1E"/>
    <w:rsid w:val="00BA7E1E"/>
    <w:rsid w:val="00BB1110"/>
    <w:rsid w:val="00BB31AC"/>
    <w:rsid w:val="00BB55D4"/>
    <w:rsid w:val="00BB6A7A"/>
    <w:rsid w:val="00BC0B79"/>
    <w:rsid w:val="00BC256A"/>
    <w:rsid w:val="00BD01EC"/>
    <w:rsid w:val="00BD7FAE"/>
    <w:rsid w:val="00BE2DCA"/>
    <w:rsid w:val="00BF7DA8"/>
    <w:rsid w:val="00C01968"/>
    <w:rsid w:val="00C022DB"/>
    <w:rsid w:val="00C04428"/>
    <w:rsid w:val="00C05D4C"/>
    <w:rsid w:val="00C074CB"/>
    <w:rsid w:val="00C1092F"/>
    <w:rsid w:val="00C1225C"/>
    <w:rsid w:val="00C21583"/>
    <w:rsid w:val="00C21C84"/>
    <w:rsid w:val="00C224B3"/>
    <w:rsid w:val="00C2654F"/>
    <w:rsid w:val="00C36C04"/>
    <w:rsid w:val="00C56C8F"/>
    <w:rsid w:val="00C60B4F"/>
    <w:rsid w:val="00C61E76"/>
    <w:rsid w:val="00C63555"/>
    <w:rsid w:val="00C709F8"/>
    <w:rsid w:val="00C72827"/>
    <w:rsid w:val="00C80A1B"/>
    <w:rsid w:val="00C927EB"/>
    <w:rsid w:val="00CA34EC"/>
    <w:rsid w:val="00CA3E83"/>
    <w:rsid w:val="00CA4F1C"/>
    <w:rsid w:val="00CA6E55"/>
    <w:rsid w:val="00CB293E"/>
    <w:rsid w:val="00CB453D"/>
    <w:rsid w:val="00CB51CA"/>
    <w:rsid w:val="00CC03C7"/>
    <w:rsid w:val="00CC0547"/>
    <w:rsid w:val="00CC5D5E"/>
    <w:rsid w:val="00CC765E"/>
    <w:rsid w:val="00CD3261"/>
    <w:rsid w:val="00CD68CA"/>
    <w:rsid w:val="00CE0680"/>
    <w:rsid w:val="00CE2CE9"/>
    <w:rsid w:val="00CE3B8D"/>
    <w:rsid w:val="00CE7B3B"/>
    <w:rsid w:val="00CF1385"/>
    <w:rsid w:val="00D03A9F"/>
    <w:rsid w:val="00D05DC0"/>
    <w:rsid w:val="00D12111"/>
    <w:rsid w:val="00D13F1C"/>
    <w:rsid w:val="00D16BAE"/>
    <w:rsid w:val="00D21DF4"/>
    <w:rsid w:val="00D2FFB8"/>
    <w:rsid w:val="00D302E7"/>
    <w:rsid w:val="00D4163E"/>
    <w:rsid w:val="00D5337F"/>
    <w:rsid w:val="00D535B6"/>
    <w:rsid w:val="00D60A09"/>
    <w:rsid w:val="00D6482E"/>
    <w:rsid w:val="00D67463"/>
    <w:rsid w:val="00D708CD"/>
    <w:rsid w:val="00D85EC5"/>
    <w:rsid w:val="00DB0721"/>
    <w:rsid w:val="00DB2DCC"/>
    <w:rsid w:val="00DB7421"/>
    <w:rsid w:val="00DC56E9"/>
    <w:rsid w:val="00DD49E6"/>
    <w:rsid w:val="00DD7B59"/>
    <w:rsid w:val="00DE6152"/>
    <w:rsid w:val="00DF048A"/>
    <w:rsid w:val="00DF17C4"/>
    <w:rsid w:val="00DF45CE"/>
    <w:rsid w:val="00DF6F6A"/>
    <w:rsid w:val="00DF7A02"/>
    <w:rsid w:val="00DF7AD6"/>
    <w:rsid w:val="00E03C2F"/>
    <w:rsid w:val="00E043C8"/>
    <w:rsid w:val="00E05C47"/>
    <w:rsid w:val="00E1075C"/>
    <w:rsid w:val="00E12823"/>
    <w:rsid w:val="00E12DCE"/>
    <w:rsid w:val="00E23743"/>
    <w:rsid w:val="00E23BCE"/>
    <w:rsid w:val="00E3185B"/>
    <w:rsid w:val="00E35161"/>
    <w:rsid w:val="00E40839"/>
    <w:rsid w:val="00E519D5"/>
    <w:rsid w:val="00E52309"/>
    <w:rsid w:val="00E54342"/>
    <w:rsid w:val="00E57A12"/>
    <w:rsid w:val="00E604CF"/>
    <w:rsid w:val="00E60AB1"/>
    <w:rsid w:val="00E66EEF"/>
    <w:rsid w:val="00E75EC8"/>
    <w:rsid w:val="00E76736"/>
    <w:rsid w:val="00E878D2"/>
    <w:rsid w:val="00E95E50"/>
    <w:rsid w:val="00EA29A4"/>
    <w:rsid w:val="00EA4BDA"/>
    <w:rsid w:val="00EB5CCA"/>
    <w:rsid w:val="00EC2748"/>
    <w:rsid w:val="00EC6B1D"/>
    <w:rsid w:val="00ED6A4D"/>
    <w:rsid w:val="00ED75CE"/>
    <w:rsid w:val="00EF45FD"/>
    <w:rsid w:val="00EF4667"/>
    <w:rsid w:val="00EF5A44"/>
    <w:rsid w:val="00EF717D"/>
    <w:rsid w:val="00EF7AF5"/>
    <w:rsid w:val="00EF7D29"/>
    <w:rsid w:val="00F10F58"/>
    <w:rsid w:val="00F110AD"/>
    <w:rsid w:val="00F235C0"/>
    <w:rsid w:val="00F24E40"/>
    <w:rsid w:val="00F354E6"/>
    <w:rsid w:val="00F4067E"/>
    <w:rsid w:val="00F41AD3"/>
    <w:rsid w:val="00F45C59"/>
    <w:rsid w:val="00F60E93"/>
    <w:rsid w:val="00F61662"/>
    <w:rsid w:val="00F61753"/>
    <w:rsid w:val="00F62F50"/>
    <w:rsid w:val="00F65ACF"/>
    <w:rsid w:val="00F7166F"/>
    <w:rsid w:val="00F736F4"/>
    <w:rsid w:val="00F75665"/>
    <w:rsid w:val="00F84D9C"/>
    <w:rsid w:val="00F8533A"/>
    <w:rsid w:val="00F8675E"/>
    <w:rsid w:val="00F900CD"/>
    <w:rsid w:val="00F90636"/>
    <w:rsid w:val="00FA059D"/>
    <w:rsid w:val="00FA5EE9"/>
    <w:rsid w:val="00FB18BD"/>
    <w:rsid w:val="00FB362B"/>
    <w:rsid w:val="00FC03EA"/>
    <w:rsid w:val="00FC493F"/>
    <w:rsid w:val="00FC75D5"/>
    <w:rsid w:val="00FD1125"/>
    <w:rsid w:val="00FD6238"/>
    <w:rsid w:val="00FF4505"/>
    <w:rsid w:val="014AE0B2"/>
    <w:rsid w:val="0198558D"/>
    <w:rsid w:val="029B4FCB"/>
    <w:rsid w:val="02AE315B"/>
    <w:rsid w:val="02B5E895"/>
    <w:rsid w:val="02D18307"/>
    <w:rsid w:val="0305C06C"/>
    <w:rsid w:val="0315406E"/>
    <w:rsid w:val="031F81ED"/>
    <w:rsid w:val="0363F7B9"/>
    <w:rsid w:val="03738F99"/>
    <w:rsid w:val="037957BA"/>
    <w:rsid w:val="0390B2AA"/>
    <w:rsid w:val="03A29DAA"/>
    <w:rsid w:val="03B1BB91"/>
    <w:rsid w:val="03EAD9DE"/>
    <w:rsid w:val="044DFF45"/>
    <w:rsid w:val="050B572D"/>
    <w:rsid w:val="053EFC20"/>
    <w:rsid w:val="067DA8BC"/>
    <w:rsid w:val="0763D68F"/>
    <w:rsid w:val="0798D4A1"/>
    <w:rsid w:val="07C9704B"/>
    <w:rsid w:val="08698A27"/>
    <w:rsid w:val="0892000D"/>
    <w:rsid w:val="08972386"/>
    <w:rsid w:val="08A2E3C5"/>
    <w:rsid w:val="08AA0F9C"/>
    <w:rsid w:val="09891F11"/>
    <w:rsid w:val="09BEAEEF"/>
    <w:rsid w:val="09C3DEA3"/>
    <w:rsid w:val="0A921128"/>
    <w:rsid w:val="0A9B5F74"/>
    <w:rsid w:val="0BE7ECA5"/>
    <w:rsid w:val="0C065A8D"/>
    <w:rsid w:val="0C143867"/>
    <w:rsid w:val="0CA022A0"/>
    <w:rsid w:val="0CCF1443"/>
    <w:rsid w:val="0D8ED4D6"/>
    <w:rsid w:val="0DA07DA6"/>
    <w:rsid w:val="0DB236A5"/>
    <w:rsid w:val="0DC494B3"/>
    <w:rsid w:val="0E6E0E98"/>
    <w:rsid w:val="0E854807"/>
    <w:rsid w:val="0EBCA796"/>
    <w:rsid w:val="0F1A0756"/>
    <w:rsid w:val="0F6ED097"/>
    <w:rsid w:val="0F885ACA"/>
    <w:rsid w:val="0FA18327"/>
    <w:rsid w:val="0FBCDE70"/>
    <w:rsid w:val="1016E89D"/>
    <w:rsid w:val="10332027"/>
    <w:rsid w:val="10457172"/>
    <w:rsid w:val="107E1437"/>
    <w:rsid w:val="1087BE56"/>
    <w:rsid w:val="10AC00E7"/>
    <w:rsid w:val="110E37DB"/>
    <w:rsid w:val="11292579"/>
    <w:rsid w:val="1247D148"/>
    <w:rsid w:val="124BE79F"/>
    <w:rsid w:val="128E6A83"/>
    <w:rsid w:val="12E0ABCD"/>
    <w:rsid w:val="1318A062"/>
    <w:rsid w:val="1331C8BF"/>
    <w:rsid w:val="133DD75E"/>
    <w:rsid w:val="135D8765"/>
    <w:rsid w:val="1360DB25"/>
    <w:rsid w:val="13AEE009"/>
    <w:rsid w:val="14A27D33"/>
    <w:rsid w:val="14AAE09E"/>
    <w:rsid w:val="1506914A"/>
    <w:rsid w:val="15312F12"/>
    <w:rsid w:val="15935154"/>
    <w:rsid w:val="16D8FD79"/>
    <w:rsid w:val="170C6479"/>
    <w:rsid w:val="1760BA1F"/>
    <w:rsid w:val="1783312C"/>
    <w:rsid w:val="17936CAF"/>
    <w:rsid w:val="17980036"/>
    <w:rsid w:val="17BA3125"/>
    <w:rsid w:val="17D22AB5"/>
    <w:rsid w:val="17F75AE0"/>
    <w:rsid w:val="17FA57FF"/>
    <w:rsid w:val="18385CE6"/>
    <w:rsid w:val="18F33C34"/>
    <w:rsid w:val="192EFEA8"/>
    <w:rsid w:val="1A17396D"/>
    <w:rsid w:val="1B0857A7"/>
    <w:rsid w:val="1B79397A"/>
    <w:rsid w:val="1B84BD37"/>
    <w:rsid w:val="1B9153BF"/>
    <w:rsid w:val="1C199334"/>
    <w:rsid w:val="1CBE33F0"/>
    <w:rsid w:val="1D16D8C6"/>
    <w:rsid w:val="1D1B0966"/>
    <w:rsid w:val="1D1B6C4D"/>
    <w:rsid w:val="1D50996C"/>
    <w:rsid w:val="1D990A94"/>
    <w:rsid w:val="1DA63FEC"/>
    <w:rsid w:val="1DB2AE0B"/>
    <w:rsid w:val="1E5612DA"/>
    <w:rsid w:val="1E7E807A"/>
    <w:rsid w:val="1EA773D2"/>
    <w:rsid w:val="1EBC66B2"/>
    <w:rsid w:val="1FC4CC31"/>
    <w:rsid w:val="20082569"/>
    <w:rsid w:val="20356F4C"/>
    <w:rsid w:val="2037FF07"/>
    <w:rsid w:val="206B04BA"/>
    <w:rsid w:val="2073E393"/>
    <w:rsid w:val="20A1640E"/>
    <w:rsid w:val="20F937F0"/>
    <w:rsid w:val="2165A99B"/>
    <w:rsid w:val="217A3D54"/>
    <w:rsid w:val="236D4BFC"/>
    <w:rsid w:val="23C31223"/>
    <w:rsid w:val="23C31E6C"/>
    <w:rsid w:val="23FE23D4"/>
    <w:rsid w:val="24EA095C"/>
    <w:rsid w:val="251826E6"/>
    <w:rsid w:val="25FCF199"/>
    <w:rsid w:val="261F8818"/>
    <w:rsid w:val="266664EE"/>
    <w:rsid w:val="26BAC0BE"/>
    <w:rsid w:val="26BCB373"/>
    <w:rsid w:val="26CED07B"/>
    <w:rsid w:val="2802354F"/>
    <w:rsid w:val="281659BF"/>
    <w:rsid w:val="281B5DAC"/>
    <w:rsid w:val="2847A96E"/>
    <w:rsid w:val="28B36B95"/>
    <w:rsid w:val="28E81940"/>
    <w:rsid w:val="2A18619E"/>
    <w:rsid w:val="2A2741CE"/>
    <w:rsid w:val="2AC0F30A"/>
    <w:rsid w:val="2B0F2ADC"/>
    <w:rsid w:val="2B3B69A8"/>
    <w:rsid w:val="2B7DFA1A"/>
    <w:rsid w:val="2C1BF46D"/>
    <w:rsid w:val="2C1FBA02"/>
    <w:rsid w:val="2C3AD61A"/>
    <w:rsid w:val="2C68527E"/>
    <w:rsid w:val="2CEEB9DD"/>
    <w:rsid w:val="2D189E4E"/>
    <w:rsid w:val="2D2F71D5"/>
    <w:rsid w:val="2DB464B7"/>
    <w:rsid w:val="2DDA35BC"/>
    <w:rsid w:val="2E0422DF"/>
    <w:rsid w:val="2E46CB9E"/>
    <w:rsid w:val="2E7F58A6"/>
    <w:rsid w:val="2E9C3061"/>
    <w:rsid w:val="2EB4A7C9"/>
    <w:rsid w:val="2ECFE48C"/>
    <w:rsid w:val="2ED0BEE4"/>
    <w:rsid w:val="2ED21498"/>
    <w:rsid w:val="2ED89752"/>
    <w:rsid w:val="2F2CEBBE"/>
    <w:rsid w:val="2F3558E0"/>
    <w:rsid w:val="2F50CA2F"/>
    <w:rsid w:val="2F575AC4"/>
    <w:rsid w:val="2FC96CB0"/>
    <w:rsid w:val="2FEE671F"/>
    <w:rsid w:val="30DD4F5E"/>
    <w:rsid w:val="31308157"/>
    <w:rsid w:val="31D979B8"/>
    <w:rsid w:val="31F4CEF0"/>
    <w:rsid w:val="321FF5B4"/>
    <w:rsid w:val="329CDA88"/>
    <w:rsid w:val="34A46041"/>
    <w:rsid w:val="34B6B02D"/>
    <w:rsid w:val="34CF7D80"/>
    <w:rsid w:val="34E8A5DD"/>
    <w:rsid w:val="350960B6"/>
    <w:rsid w:val="352E19FC"/>
    <w:rsid w:val="35865A4B"/>
    <w:rsid w:val="35DC6AA6"/>
    <w:rsid w:val="365F10A0"/>
    <w:rsid w:val="369112F6"/>
    <w:rsid w:val="36CBCBE8"/>
    <w:rsid w:val="372A5411"/>
    <w:rsid w:val="37542EA8"/>
    <w:rsid w:val="379CDA36"/>
    <w:rsid w:val="382CE357"/>
    <w:rsid w:val="3838E36E"/>
    <w:rsid w:val="384AE641"/>
    <w:rsid w:val="386A38B3"/>
    <w:rsid w:val="38CCC64E"/>
    <w:rsid w:val="38D1DCB7"/>
    <w:rsid w:val="38DC7521"/>
    <w:rsid w:val="395D5F76"/>
    <w:rsid w:val="39A2EEA3"/>
    <w:rsid w:val="39EE4601"/>
    <w:rsid w:val="3A423A0F"/>
    <w:rsid w:val="3ACD609E"/>
    <w:rsid w:val="3AD4382F"/>
    <w:rsid w:val="3B390813"/>
    <w:rsid w:val="3B597AF8"/>
    <w:rsid w:val="3B648419"/>
    <w:rsid w:val="3B7EF301"/>
    <w:rsid w:val="3C255442"/>
    <w:rsid w:val="3C403DAF"/>
    <w:rsid w:val="3D0F11EA"/>
    <w:rsid w:val="3D1CD954"/>
    <w:rsid w:val="3D81F465"/>
    <w:rsid w:val="3DBE3416"/>
    <w:rsid w:val="3E0B2C24"/>
    <w:rsid w:val="3E16A51C"/>
    <w:rsid w:val="3E3C4546"/>
    <w:rsid w:val="3E4AB5BE"/>
    <w:rsid w:val="3E59F29C"/>
    <w:rsid w:val="3E7D19E8"/>
    <w:rsid w:val="3EE68EA6"/>
    <w:rsid w:val="3F3EC041"/>
    <w:rsid w:val="3FA7A952"/>
    <w:rsid w:val="3FB6FD20"/>
    <w:rsid w:val="3FEFA900"/>
    <w:rsid w:val="4044A2A3"/>
    <w:rsid w:val="404B0BAB"/>
    <w:rsid w:val="40614181"/>
    <w:rsid w:val="40AFC32A"/>
    <w:rsid w:val="40B50E4B"/>
    <w:rsid w:val="40F077E3"/>
    <w:rsid w:val="414E45DE"/>
    <w:rsid w:val="41EB3425"/>
    <w:rsid w:val="42077835"/>
    <w:rsid w:val="4214BC60"/>
    <w:rsid w:val="423726EE"/>
    <w:rsid w:val="42659432"/>
    <w:rsid w:val="42BECBAE"/>
    <w:rsid w:val="42E15DEB"/>
    <w:rsid w:val="430BCBD3"/>
    <w:rsid w:val="4380A997"/>
    <w:rsid w:val="43BDD1DE"/>
    <w:rsid w:val="43E192D5"/>
    <w:rsid w:val="441B2F41"/>
    <w:rsid w:val="448ABB3A"/>
    <w:rsid w:val="44E734E1"/>
    <w:rsid w:val="4571ECC9"/>
    <w:rsid w:val="4599B9BE"/>
    <w:rsid w:val="46389736"/>
    <w:rsid w:val="469A9A08"/>
    <w:rsid w:val="46F2DC95"/>
    <w:rsid w:val="4722993E"/>
    <w:rsid w:val="47E311AD"/>
    <w:rsid w:val="49A1275A"/>
    <w:rsid w:val="49A2D0E8"/>
    <w:rsid w:val="49D5A0A3"/>
    <w:rsid w:val="4A3B082D"/>
    <w:rsid w:val="4A530897"/>
    <w:rsid w:val="4AC99600"/>
    <w:rsid w:val="4B2EB4F5"/>
    <w:rsid w:val="4B80FA1D"/>
    <w:rsid w:val="4BD6D88E"/>
    <w:rsid w:val="4BE2B34D"/>
    <w:rsid w:val="4C16B011"/>
    <w:rsid w:val="4C2C42AE"/>
    <w:rsid w:val="4CBD52D2"/>
    <w:rsid w:val="4CE3C40C"/>
    <w:rsid w:val="4D414AB7"/>
    <w:rsid w:val="4D52FD96"/>
    <w:rsid w:val="4DA4B2EB"/>
    <w:rsid w:val="4E0A585E"/>
    <w:rsid w:val="4ED0FE6D"/>
    <w:rsid w:val="4F86AFE0"/>
    <w:rsid w:val="4FC02355"/>
    <w:rsid w:val="4FE8B210"/>
    <w:rsid w:val="501DD986"/>
    <w:rsid w:val="50299CD2"/>
    <w:rsid w:val="50C7E0B9"/>
    <w:rsid w:val="50F58673"/>
    <w:rsid w:val="520FD9D7"/>
    <w:rsid w:val="5248D201"/>
    <w:rsid w:val="52668E2A"/>
    <w:rsid w:val="52721C52"/>
    <w:rsid w:val="52A016D7"/>
    <w:rsid w:val="52A0EBBD"/>
    <w:rsid w:val="52D598B6"/>
    <w:rsid w:val="53129667"/>
    <w:rsid w:val="534189FD"/>
    <w:rsid w:val="53756E0D"/>
    <w:rsid w:val="5379117D"/>
    <w:rsid w:val="53D6A94D"/>
    <w:rsid w:val="53FC5F46"/>
    <w:rsid w:val="5430CAE4"/>
    <w:rsid w:val="547EC428"/>
    <w:rsid w:val="54967947"/>
    <w:rsid w:val="54EED5C3"/>
    <w:rsid w:val="55104F52"/>
    <w:rsid w:val="5527D057"/>
    <w:rsid w:val="561354BD"/>
    <w:rsid w:val="5622DFC1"/>
    <w:rsid w:val="5649E5E4"/>
    <w:rsid w:val="56C0E65F"/>
    <w:rsid w:val="56CA229D"/>
    <w:rsid w:val="57DA9B98"/>
    <w:rsid w:val="58862A31"/>
    <w:rsid w:val="58EA7494"/>
    <w:rsid w:val="59078221"/>
    <w:rsid w:val="596F1415"/>
    <w:rsid w:val="59766BF9"/>
    <w:rsid w:val="5A5EB3BB"/>
    <w:rsid w:val="5B1B4374"/>
    <w:rsid w:val="5B5C42C9"/>
    <w:rsid w:val="5BAE11AA"/>
    <w:rsid w:val="5BE3BB46"/>
    <w:rsid w:val="5CE4AF48"/>
    <w:rsid w:val="5CF78A3A"/>
    <w:rsid w:val="5D105816"/>
    <w:rsid w:val="5DFCD04A"/>
    <w:rsid w:val="5E1891BB"/>
    <w:rsid w:val="5F130C4C"/>
    <w:rsid w:val="5F3FC038"/>
    <w:rsid w:val="5F941C0D"/>
    <w:rsid w:val="6026D539"/>
    <w:rsid w:val="6034D3BF"/>
    <w:rsid w:val="6069B49F"/>
    <w:rsid w:val="6122DDCD"/>
    <w:rsid w:val="613DF619"/>
    <w:rsid w:val="61782F92"/>
    <w:rsid w:val="61CAA0DC"/>
    <w:rsid w:val="61FCF944"/>
    <w:rsid w:val="6248D46B"/>
    <w:rsid w:val="62AA6847"/>
    <w:rsid w:val="62EE9BAC"/>
    <w:rsid w:val="62FEE194"/>
    <w:rsid w:val="632D32E8"/>
    <w:rsid w:val="637C18E7"/>
    <w:rsid w:val="637F999A"/>
    <w:rsid w:val="63BF8CC8"/>
    <w:rsid w:val="63E19DCF"/>
    <w:rsid w:val="657D6E30"/>
    <w:rsid w:val="65E20909"/>
    <w:rsid w:val="66713123"/>
    <w:rsid w:val="66EF5839"/>
    <w:rsid w:val="66F1C0C6"/>
    <w:rsid w:val="67F5565D"/>
    <w:rsid w:val="685EAB56"/>
    <w:rsid w:val="68C42BA8"/>
    <w:rsid w:val="68CAFAB0"/>
    <w:rsid w:val="692C11BC"/>
    <w:rsid w:val="69543FC9"/>
    <w:rsid w:val="695D28BE"/>
    <w:rsid w:val="696FDB91"/>
    <w:rsid w:val="6A197AC0"/>
    <w:rsid w:val="6A55BDAC"/>
    <w:rsid w:val="6A993AB6"/>
    <w:rsid w:val="6AC7E21D"/>
    <w:rsid w:val="6B0117B0"/>
    <w:rsid w:val="6B8AD889"/>
    <w:rsid w:val="6BA2D64C"/>
    <w:rsid w:val="6BBF90DB"/>
    <w:rsid w:val="6C4C23A9"/>
    <w:rsid w:val="6C5231C3"/>
    <w:rsid w:val="6D04A93D"/>
    <w:rsid w:val="6D0A5393"/>
    <w:rsid w:val="6D8DB5AC"/>
    <w:rsid w:val="6DA07FF9"/>
    <w:rsid w:val="6DAE65ED"/>
    <w:rsid w:val="6E360F90"/>
    <w:rsid w:val="6EABD3CF"/>
    <w:rsid w:val="6F0C278B"/>
    <w:rsid w:val="6F35F4B2"/>
    <w:rsid w:val="6F7F1DF1"/>
    <w:rsid w:val="6F961311"/>
    <w:rsid w:val="7029A784"/>
    <w:rsid w:val="707290AF"/>
    <w:rsid w:val="707A03E7"/>
    <w:rsid w:val="708728AD"/>
    <w:rsid w:val="70895592"/>
    <w:rsid w:val="7098575C"/>
    <w:rsid w:val="70CAF0AC"/>
    <w:rsid w:val="7112CE23"/>
    <w:rsid w:val="711A3BFB"/>
    <w:rsid w:val="716B25F7"/>
    <w:rsid w:val="716D0C9E"/>
    <w:rsid w:val="71AAF758"/>
    <w:rsid w:val="71B5A51A"/>
    <w:rsid w:val="71C697FA"/>
    <w:rsid w:val="71F39276"/>
    <w:rsid w:val="72049082"/>
    <w:rsid w:val="72259CBA"/>
    <w:rsid w:val="724C2DF4"/>
    <w:rsid w:val="7265BA56"/>
    <w:rsid w:val="728CFA4C"/>
    <w:rsid w:val="72A0C4F6"/>
    <w:rsid w:val="73368BCE"/>
    <w:rsid w:val="73512574"/>
    <w:rsid w:val="73BEC96F"/>
    <w:rsid w:val="73C012BF"/>
    <w:rsid w:val="73FFAF1F"/>
    <w:rsid w:val="741A378B"/>
    <w:rsid w:val="75614DF4"/>
    <w:rsid w:val="77153EDA"/>
    <w:rsid w:val="772F89D7"/>
    <w:rsid w:val="77430B42"/>
    <w:rsid w:val="776485A7"/>
    <w:rsid w:val="7771AB7F"/>
    <w:rsid w:val="77AFD65F"/>
    <w:rsid w:val="77D5414C"/>
    <w:rsid w:val="77DE4A12"/>
    <w:rsid w:val="78F95B11"/>
    <w:rsid w:val="7937BB1B"/>
    <w:rsid w:val="79423586"/>
    <w:rsid w:val="79900845"/>
    <w:rsid w:val="7A952B72"/>
    <w:rsid w:val="7ACC58B6"/>
    <w:rsid w:val="7ADF997E"/>
    <w:rsid w:val="7B13EEE4"/>
    <w:rsid w:val="7B59E7A7"/>
    <w:rsid w:val="7B8392C1"/>
    <w:rsid w:val="7BD5B6FC"/>
    <w:rsid w:val="7C191E84"/>
    <w:rsid w:val="7C35CFA6"/>
    <w:rsid w:val="7C79D648"/>
    <w:rsid w:val="7CCA37E0"/>
    <w:rsid w:val="7CE13E2D"/>
    <w:rsid w:val="7D13BB45"/>
    <w:rsid w:val="7D8B7E59"/>
    <w:rsid w:val="7E31C41C"/>
    <w:rsid w:val="7E3356FA"/>
    <w:rsid w:val="7E6DE936"/>
    <w:rsid w:val="7EF6358C"/>
    <w:rsid w:val="7F940B3D"/>
    <w:rsid w:val="7F96FF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5C8B3"/>
  <w15:chartTrackingRefBased/>
  <w15:docId w15:val="{06264CBB-9605-4CF3-8ECC-E39C6755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337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53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USTzmustartykuempunktem">
    <w:name w:val="Z/UST(§) – zm. ust. (§) artykułem (punktem)"/>
    <w:basedOn w:val="Normalny"/>
    <w:uiPriority w:val="30"/>
    <w:qFormat/>
    <w:rsid w:val="0088090F"/>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styleId="Akapitzlist">
    <w:name w:val="List Paragraph"/>
    <w:basedOn w:val="Normalny"/>
    <w:uiPriority w:val="34"/>
    <w:qFormat/>
    <w:rsid w:val="006117B2"/>
    <w:pPr>
      <w:spacing w:after="0" w:line="240" w:lineRule="auto"/>
      <w:ind w:left="720"/>
    </w:pPr>
    <w:rPr>
      <w:rFonts w:ascii="Calibri" w:hAnsi="Calibri" w:cs="Calibri"/>
    </w:rPr>
  </w:style>
  <w:style w:type="paragraph" w:styleId="Tekstpodstawowy2">
    <w:name w:val="Body Text 2"/>
    <w:basedOn w:val="Normalny"/>
    <w:link w:val="Tekstpodstawowy2Znak"/>
    <w:semiHidden/>
    <w:rsid w:val="008A48BE"/>
    <w:pPr>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semiHidden/>
    <w:rsid w:val="008A48BE"/>
    <w:rPr>
      <w:rFonts w:ascii="Times New Roman" w:eastAsia="Times New Roman" w:hAnsi="Times New Roman" w:cs="Times New Roman"/>
      <w:sz w:val="26"/>
      <w:szCs w:val="20"/>
      <w:lang w:eastAsia="pl-PL"/>
    </w:rPr>
  </w:style>
  <w:style w:type="paragraph" w:styleId="Tekstdymka">
    <w:name w:val="Balloon Text"/>
    <w:basedOn w:val="Normalny"/>
    <w:link w:val="TekstdymkaZnak"/>
    <w:uiPriority w:val="99"/>
    <w:semiHidden/>
    <w:unhideWhenUsed/>
    <w:rsid w:val="00F110A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10AD"/>
    <w:rPr>
      <w:rFonts w:ascii="Segoe UI" w:hAnsi="Segoe UI" w:cs="Segoe UI"/>
      <w:sz w:val="18"/>
      <w:szCs w:val="18"/>
    </w:rPr>
  </w:style>
  <w:style w:type="character" w:styleId="Odwoaniedokomentarza">
    <w:name w:val="annotation reference"/>
    <w:basedOn w:val="Domylnaczcionkaakapitu"/>
    <w:uiPriority w:val="99"/>
    <w:semiHidden/>
    <w:unhideWhenUsed/>
    <w:rsid w:val="00B1731A"/>
    <w:rPr>
      <w:sz w:val="16"/>
      <w:szCs w:val="16"/>
    </w:rPr>
  </w:style>
  <w:style w:type="paragraph" w:styleId="Tekstkomentarza">
    <w:name w:val="annotation text"/>
    <w:basedOn w:val="Normalny"/>
    <w:link w:val="TekstkomentarzaZnak"/>
    <w:uiPriority w:val="99"/>
    <w:unhideWhenUsed/>
    <w:rsid w:val="00B1731A"/>
    <w:pPr>
      <w:spacing w:line="240" w:lineRule="auto"/>
    </w:pPr>
    <w:rPr>
      <w:sz w:val="20"/>
      <w:szCs w:val="20"/>
    </w:rPr>
  </w:style>
  <w:style w:type="character" w:customStyle="1" w:styleId="TekstkomentarzaZnak">
    <w:name w:val="Tekst komentarza Znak"/>
    <w:basedOn w:val="Domylnaczcionkaakapitu"/>
    <w:link w:val="Tekstkomentarza"/>
    <w:uiPriority w:val="99"/>
    <w:rsid w:val="00B1731A"/>
    <w:rPr>
      <w:sz w:val="20"/>
      <w:szCs w:val="20"/>
    </w:rPr>
  </w:style>
  <w:style w:type="paragraph" w:styleId="Tematkomentarza">
    <w:name w:val="annotation subject"/>
    <w:basedOn w:val="Tekstkomentarza"/>
    <w:next w:val="Tekstkomentarza"/>
    <w:link w:val="TematkomentarzaZnak"/>
    <w:uiPriority w:val="99"/>
    <w:semiHidden/>
    <w:unhideWhenUsed/>
    <w:rsid w:val="002A5E8B"/>
    <w:rPr>
      <w:b/>
      <w:bCs/>
    </w:rPr>
  </w:style>
  <w:style w:type="character" w:customStyle="1" w:styleId="TematkomentarzaZnak">
    <w:name w:val="Temat komentarza Znak"/>
    <w:basedOn w:val="TekstkomentarzaZnak"/>
    <w:link w:val="Tematkomentarza"/>
    <w:uiPriority w:val="99"/>
    <w:semiHidden/>
    <w:rsid w:val="002A5E8B"/>
    <w:rPr>
      <w:b/>
      <w:bCs/>
      <w:sz w:val="20"/>
      <w:szCs w:val="20"/>
    </w:rPr>
  </w:style>
  <w:style w:type="paragraph" w:customStyle="1" w:styleId="doc-ti">
    <w:name w:val="doc-ti"/>
    <w:basedOn w:val="Normalny"/>
    <w:rsid w:val="00F45C5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F45C59"/>
    <w:rPr>
      <w:vertAlign w:val="superscript"/>
    </w:rPr>
  </w:style>
  <w:style w:type="paragraph" w:customStyle="1" w:styleId="ZARTzmartartykuempunktem">
    <w:name w:val="Z/ART(§) – zm. art. (§) artykułem (punktem)"/>
    <w:basedOn w:val="Normalny"/>
    <w:uiPriority w:val="30"/>
    <w:qFormat/>
    <w:rsid w:val="00611ACB"/>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character" w:customStyle="1" w:styleId="highlight">
    <w:name w:val="highlight"/>
    <w:basedOn w:val="Domylnaczcionkaakapitu"/>
    <w:rsid w:val="00E75EC8"/>
  </w:style>
  <w:style w:type="character" w:styleId="Hipercze">
    <w:name w:val="Hyperlink"/>
    <w:basedOn w:val="Domylnaczcionkaakapitu"/>
    <w:uiPriority w:val="99"/>
    <w:unhideWhenUsed/>
    <w:rsid w:val="00897A30"/>
    <w:rPr>
      <w:color w:val="0563C1"/>
      <w:u w:val="single"/>
    </w:rPr>
  </w:style>
  <w:style w:type="paragraph" w:customStyle="1" w:styleId="ZPKTzmpktartykuempunktem">
    <w:name w:val="Z/PKT – zm. pkt artykułem (punktem)"/>
    <w:basedOn w:val="Normalny"/>
    <w:uiPriority w:val="31"/>
    <w:qFormat/>
    <w:rsid w:val="00A0743B"/>
    <w:pPr>
      <w:spacing w:after="0" w:line="360" w:lineRule="auto"/>
      <w:ind w:left="1020" w:hanging="510"/>
      <w:jc w:val="both"/>
    </w:pPr>
    <w:rPr>
      <w:rFonts w:ascii="Times" w:eastAsiaTheme="minorEastAsia" w:hAnsi="Times" w:cs="Arial"/>
      <w:bCs/>
      <w:sz w:val="24"/>
      <w:szCs w:val="20"/>
      <w:lang w:eastAsia="pl-PL"/>
    </w:rPr>
  </w:style>
  <w:style w:type="paragraph" w:styleId="Tekstprzypisukocowego">
    <w:name w:val="endnote text"/>
    <w:basedOn w:val="Normalny"/>
    <w:link w:val="TekstprzypisukocowegoZnak"/>
    <w:uiPriority w:val="99"/>
    <w:semiHidden/>
    <w:unhideWhenUsed/>
    <w:rsid w:val="00847A6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47A69"/>
    <w:rPr>
      <w:sz w:val="20"/>
      <w:szCs w:val="20"/>
    </w:rPr>
  </w:style>
  <w:style w:type="paragraph" w:styleId="Poprawka">
    <w:name w:val="Revision"/>
    <w:hidden/>
    <w:uiPriority w:val="99"/>
    <w:semiHidden/>
    <w:rsid w:val="00CA4F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997849">
      <w:bodyDiv w:val="1"/>
      <w:marLeft w:val="0"/>
      <w:marRight w:val="0"/>
      <w:marTop w:val="0"/>
      <w:marBottom w:val="0"/>
      <w:divBdr>
        <w:top w:val="none" w:sz="0" w:space="0" w:color="auto"/>
        <w:left w:val="none" w:sz="0" w:space="0" w:color="auto"/>
        <w:bottom w:val="none" w:sz="0" w:space="0" w:color="auto"/>
        <w:right w:val="none" w:sz="0" w:space="0" w:color="auto"/>
      </w:divBdr>
    </w:div>
    <w:div w:id="641233221">
      <w:bodyDiv w:val="1"/>
      <w:marLeft w:val="0"/>
      <w:marRight w:val="0"/>
      <w:marTop w:val="0"/>
      <w:marBottom w:val="0"/>
      <w:divBdr>
        <w:top w:val="none" w:sz="0" w:space="0" w:color="auto"/>
        <w:left w:val="none" w:sz="0" w:space="0" w:color="auto"/>
        <w:bottom w:val="none" w:sz="0" w:space="0" w:color="auto"/>
        <w:right w:val="none" w:sz="0" w:space="0" w:color="auto"/>
      </w:divBdr>
    </w:div>
    <w:div w:id="676155185">
      <w:bodyDiv w:val="1"/>
      <w:marLeft w:val="0"/>
      <w:marRight w:val="0"/>
      <w:marTop w:val="0"/>
      <w:marBottom w:val="0"/>
      <w:divBdr>
        <w:top w:val="none" w:sz="0" w:space="0" w:color="auto"/>
        <w:left w:val="none" w:sz="0" w:space="0" w:color="auto"/>
        <w:bottom w:val="none" w:sz="0" w:space="0" w:color="auto"/>
        <w:right w:val="none" w:sz="0" w:space="0" w:color="auto"/>
      </w:divBdr>
    </w:div>
    <w:div w:id="825703662">
      <w:bodyDiv w:val="1"/>
      <w:marLeft w:val="0"/>
      <w:marRight w:val="0"/>
      <w:marTop w:val="0"/>
      <w:marBottom w:val="0"/>
      <w:divBdr>
        <w:top w:val="none" w:sz="0" w:space="0" w:color="auto"/>
        <w:left w:val="none" w:sz="0" w:space="0" w:color="auto"/>
        <w:bottom w:val="none" w:sz="0" w:space="0" w:color="auto"/>
        <w:right w:val="none" w:sz="0" w:space="0" w:color="auto"/>
      </w:divBdr>
    </w:div>
    <w:div w:id="903636920">
      <w:bodyDiv w:val="1"/>
      <w:marLeft w:val="0"/>
      <w:marRight w:val="0"/>
      <w:marTop w:val="0"/>
      <w:marBottom w:val="0"/>
      <w:divBdr>
        <w:top w:val="none" w:sz="0" w:space="0" w:color="auto"/>
        <w:left w:val="none" w:sz="0" w:space="0" w:color="auto"/>
        <w:bottom w:val="none" w:sz="0" w:space="0" w:color="auto"/>
        <w:right w:val="none" w:sz="0" w:space="0" w:color="auto"/>
      </w:divBdr>
    </w:div>
    <w:div w:id="1012760089">
      <w:bodyDiv w:val="1"/>
      <w:marLeft w:val="0"/>
      <w:marRight w:val="0"/>
      <w:marTop w:val="0"/>
      <w:marBottom w:val="0"/>
      <w:divBdr>
        <w:top w:val="none" w:sz="0" w:space="0" w:color="auto"/>
        <w:left w:val="none" w:sz="0" w:space="0" w:color="auto"/>
        <w:bottom w:val="none" w:sz="0" w:space="0" w:color="auto"/>
        <w:right w:val="none" w:sz="0" w:space="0" w:color="auto"/>
      </w:divBdr>
    </w:div>
    <w:div w:id="1111129571">
      <w:bodyDiv w:val="1"/>
      <w:marLeft w:val="0"/>
      <w:marRight w:val="0"/>
      <w:marTop w:val="0"/>
      <w:marBottom w:val="0"/>
      <w:divBdr>
        <w:top w:val="none" w:sz="0" w:space="0" w:color="auto"/>
        <w:left w:val="none" w:sz="0" w:space="0" w:color="auto"/>
        <w:bottom w:val="none" w:sz="0" w:space="0" w:color="auto"/>
        <w:right w:val="none" w:sz="0" w:space="0" w:color="auto"/>
      </w:divBdr>
    </w:div>
    <w:div w:id="1138957557">
      <w:bodyDiv w:val="1"/>
      <w:marLeft w:val="0"/>
      <w:marRight w:val="0"/>
      <w:marTop w:val="0"/>
      <w:marBottom w:val="0"/>
      <w:divBdr>
        <w:top w:val="none" w:sz="0" w:space="0" w:color="auto"/>
        <w:left w:val="none" w:sz="0" w:space="0" w:color="auto"/>
        <w:bottom w:val="none" w:sz="0" w:space="0" w:color="auto"/>
        <w:right w:val="none" w:sz="0" w:space="0" w:color="auto"/>
      </w:divBdr>
    </w:div>
    <w:div w:id="1288707083">
      <w:bodyDiv w:val="1"/>
      <w:marLeft w:val="0"/>
      <w:marRight w:val="0"/>
      <w:marTop w:val="0"/>
      <w:marBottom w:val="0"/>
      <w:divBdr>
        <w:top w:val="none" w:sz="0" w:space="0" w:color="auto"/>
        <w:left w:val="none" w:sz="0" w:space="0" w:color="auto"/>
        <w:bottom w:val="none" w:sz="0" w:space="0" w:color="auto"/>
        <w:right w:val="none" w:sz="0" w:space="0" w:color="auto"/>
      </w:divBdr>
    </w:div>
    <w:div w:id="1426339324">
      <w:bodyDiv w:val="1"/>
      <w:marLeft w:val="0"/>
      <w:marRight w:val="0"/>
      <w:marTop w:val="0"/>
      <w:marBottom w:val="0"/>
      <w:divBdr>
        <w:top w:val="none" w:sz="0" w:space="0" w:color="auto"/>
        <w:left w:val="none" w:sz="0" w:space="0" w:color="auto"/>
        <w:bottom w:val="none" w:sz="0" w:space="0" w:color="auto"/>
        <w:right w:val="none" w:sz="0" w:space="0" w:color="auto"/>
      </w:divBdr>
    </w:div>
    <w:div w:id="1678187890">
      <w:bodyDiv w:val="1"/>
      <w:marLeft w:val="0"/>
      <w:marRight w:val="0"/>
      <w:marTop w:val="0"/>
      <w:marBottom w:val="0"/>
      <w:divBdr>
        <w:top w:val="none" w:sz="0" w:space="0" w:color="auto"/>
        <w:left w:val="none" w:sz="0" w:space="0" w:color="auto"/>
        <w:bottom w:val="none" w:sz="0" w:space="0" w:color="auto"/>
        <w:right w:val="none" w:sz="0" w:space="0" w:color="auto"/>
      </w:divBdr>
    </w:div>
    <w:div w:id="1738552374">
      <w:bodyDiv w:val="1"/>
      <w:marLeft w:val="0"/>
      <w:marRight w:val="0"/>
      <w:marTop w:val="0"/>
      <w:marBottom w:val="0"/>
      <w:divBdr>
        <w:top w:val="none" w:sz="0" w:space="0" w:color="auto"/>
        <w:left w:val="none" w:sz="0" w:space="0" w:color="auto"/>
        <w:bottom w:val="none" w:sz="0" w:space="0" w:color="auto"/>
        <w:right w:val="none" w:sz="0" w:space="0" w:color="auto"/>
      </w:divBdr>
    </w:div>
    <w:div w:id="1791435341">
      <w:bodyDiv w:val="1"/>
      <w:marLeft w:val="0"/>
      <w:marRight w:val="0"/>
      <w:marTop w:val="0"/>
      <w:marBottom w:val="0"/>
      <w:divBdr>
        <w:top w:val="none" w:sz="0" w:space="0" w:color="auto"/>
        <w:left w:val="none" w:sz="0" w:space="0" w:color="auto"/>
        <w:bottom w:val="none" w:sz="0" w:space="0" w:color="auto"/>
        <w:right w:val="none" w:sz="0" w:space="0" w:color="auto"/>
      </w:divBdr>
    </w:div>
    <w:div w:id="1806777548">
      <w:bodyDiv w:val="1"/>
      <w:marLeft w:val="0"/>
      <w:marRight w:val="0"/>
      <w:marTop w:val="0"/>
      <w:marBottom w:val="0"/>
      <w:divBdr>
        <w:top w:val="none" w:sz="0" w:space="0" w:color="auto"/>
        <w:left w:val="none" w:sz="0" w:space="0" w:color="auto"/>
        <w:bottom w:val="none" w:sz="0" w:space="0" w:color="auto"/>
        <w:right w:val="none" w:sz="0" w:space="0" w:color="auto"/>
      </w:divBdr>
    </w:div>
    <w:div w:id="1872496507">
      <w:bodyDiv w:val="1"/>
      <w:marLeft w:val="0"/>
      <w:marRight w:val="0"/>
      <w:marTop w:val="0"/>
      <w:marBottom w:val="0"/>
      <w:divBdr>
        <w:top w:val="none" w:sz="0" w:space="0" w:color="auto"/>
        <w:left w:val="none" w:sz="0" w:space="0" w:color="auto"/>
        <w:bottom w:val="none" w:sz="0" w:space="0" w:color="auto"/>
        <w:right w:val="none" w:sz="0" w:space="0" w:color="auto"/>
      </w:divBdr>
    </w:div>
    <w:div w:id="1873303120">
      <w:bodyDiv w:val="1"/>
      <w:marLeft w:val="0"/>
      <w:marRight w:val="0"/>
      <w:marTop w:val="0"/>
      <w:marBottom w:val="0"/>
      <w:divBdr>
        <w:top w:val="none" w:sz="0" w:space="0" w:color="auto"/>
        <w:left w:val="none" w:sz="0" w:space="0" w:color="auto"/>
        <w:bottom w:val="none" w:sz="0" w:space="0" w:color="auto"/>
        <w:right w:val="none" w:sz="0" w:space="0" w:color="auto"/>
      </w:divBdr>
    </w:div>
    <w:div w:id="1910536434">
      <w:bodyDiv w:val="1"/>
      <w:marLeft w:val="0"/>
      <w:marRight w:val="0"/>
      <w:marTop w:val="0"/>
      <w:marBottom w:val="0"/>
      <w:divBdr>
        <w:top w:val="none" w:sz="0" w:space="0" w:color="auto"/>
        <w:left w:val="none" w:sz="0" w:space="0" w:color="auto"/>
        <w:bottom w:val="none" w:sz="0" w:space="0" w:color="auto"/>
        <w:right w:val="none" w:sz="0" w:space="0" w:color="auto"/>
      </w:divBdr>
    </w:div>
    <w:div w:id="1994094969">
      <w:bodyDiv w:val="1"/>
      <w:marLeft w:val="0"/>
      <w:marRight w:val="0"/>
      <w:marTop w:val="0"/>
      <w:marBottom w:val="0"/>
      <w:divBdr>
        <w:top w:val="none" w:sz="0" w:space="0" w:color="auto"/>
        <w:left w:val="none" w:sz="0" w:space="0" w:color="auto"/>
        <w:bottom w:val="none" w:sz="0" w:space="0" w:color="auto"/>
        <w:right w:val="none" w:sz="0" w:space="0" w:color="auto"/>
      </w:divBdr>
    </w:div>
    <w:div w:id="2030376979">
      <w:bodyDiv w:val="1"/>
      <w:marLeft w:val="0"/>
      <w:marRight w:val="0"/>
      <w:marTop w:val="0"/>
      <w:marBottom w:val="0"/>
      <w:divBdr>
        <w:top w:val="none" w:sz="0" w:space="0" w:color="auto"/>
        <w:left w:val="none" w:sz="0" w:space="0" w:color="auto"/>
        <w:bottom w:val="none" w:sz="0" w:space="0" w:color="auto"/>
        <w:right w:val="none" w:sz="0" w:space="0" w:color="auto"/>
      </w:divBdr>
    </w:div>
    <w:div w:id="2036496648">
      <w:bodyDiv w:val="1"/>
      <w:marLeft w:val="0"/>
      <w:marRight w:val="0"/>
      <w:marTop w:val="0"/>
      <w:marBottom w:val="0"/>
      <w:divBdr>
        <w:top w:val="none" w:sz="0" w:space="0" w:color="auto"/>
        <w:left w:val="none" w:sz="0" w:space="0" w:color="auto"/>
        <w:bottom w:val="none" w:sz="0" w:space="0" w:color="auto"/>
        <w:right w:val="none" w:sz="0" w:space="0" w:color="auto"/>
      </w:divBdr>
    </w:div>
    <w:div w:id="205838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dost_x0119_pnione xmlns="67579e97-3510-4fd2-8f7e-2d728f4aef4f">true</Udost_x0119_pnione>
    <Status xmlns="67579e97-3510-4fd2-8f7e-2d728f4aef4f">Wprowadź wybór #1</Statu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7219EF5E7ABC94F8690B19F1CBD98B6" ma:contentTypeVersion="7" ma:contentTypeDescription="Utwórz nowy dokument." ma:contentTypeScope="" ma:versionID="a26a133fae8e355274eaddf15386d2c5">
  <xsd:schema xmlns:xsd="http://www.w3.org/2001/XMLSchema" xmlns:xs="http://www.w3.org/2001/XMLSchema" xmlns:p="http://schemas.microsoft.com/office/2006/metadata/properties" xmlns:ns2="67579e97-3510-4fd2-8f7e-2d728f4aef4f" xmlns:ns3="b50b19ac-091f-4480-9549-580b1b781567" targetNamespace="http://schemas.microsoft.com/office/2006/metadata/properties" ma:root="true" ma:fieldsID="9821110112c6bb0662939309a490738a" ns2:_="" ns3:_="">
    <xsd:import namespace="67579e97-3510-4fd2-8f7e-2d728f4aef4f"/>
    <xsd:import namespace="b50b19ac-091f-4480-9549-580b1b781567"/>
    <xsd:element name="properties">
      <xsd:complexType>
        <xsd:sequence>
          <xsd:element name="documentManagement">
            <xsd:complexType>
              <xsd:all>
                <xsd:element ref="ns2:MediaServiceMetadata" minOccurs="0"/>
                <xsd:element ref="ns2:MediaServiceFastMetadata" minOccurs="0"/>
                <xsd:element ref="ns2:Status" minOccurs="0"/>
                <xsd:element ref="ns2:Udost_x0119_pnion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79e97-3510-4fd2-8f7e-2d728f4ae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default="Wprowadź wybór #1" ma:description="status" ma:internalName="Status">
      <xsd:simpleType>
        <xsd:restriction base="dms:Unknown">
          <xsd:enumeration value="Wprowadź wybór #1"/>
          <xsd:enumeration value="Wprowadź wybór #2"/>
          <xsd:enumeration value="Wprowadź wybór #3"/>
        </xsd:restriction>
      </xsd:simpleType>
    </xsd:element>
    <xsd:element name="Udost_x0119_pnione" ma:index="11" nillable="true" ma:displayName="Udostępnione" ma:default="1" ma:format="Dropdown" ma:internalName="Udost_x0119_pnion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0b19ac-091f-4480-9549-580b1b781567"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F703F1-2827-4855-BA87-61ABF80B2209}">
  <ds:schemaRefs>
    <ds:schemaRef ds:uri="http://schemas.microsoft.com/office/2006/metadata/properties"/>
    <ds:schemaRef ds:uri="http://schemas.microsoft.com/office/infopath/2007/PartnerControls"/>
    <ds:schemaRef ds:uri="67579e97-3510-4fd2-8f7e-2d728f4aef4f"/>
  </ds:schemaRefs>
</ds:datastoreItem>
</file>

<file path=customXml/itemProps2.xml><?xml version="1.0" encoding="utf-8"?>
<ds:datastoreItem xmlns:ds="http://schemas.openxmlformats.org/officeDocument/2006/customXml" ds:itemID="{D70A1831-2F94-4752-8508-990DF8440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579e97-3510-4fd2-8f7e-2d728f4aef4f"/>
    <ds:schemaRef ds:uri="b50b19ac-091f-4480-9549-580b1b781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00702F-6C95-46B4-95A3-EB247BC0EA3B}">
  <ds:schemaRefs>
    <ds:schemaRef ds:uri="http://schemas.openxmlformats.org/officeDocument/2006/bibliography"/>
  </ds:schemaRefs>
</ds:datastoreItem>
</file>

<file path=customXml/itemProps4.xml><?xml version="1.0" encoding="utf-8"?>
<ds:datastoreItem xmlns:ds="http://schemas.openxmlformats.org/officeDocument/2006/customXml" ds:itemID="{26AD643E-C383-4F77-80CB-2B7DDA5751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4173</Words>
  <Characters>25041</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Chiluta Przemysław</dc:creator>
  <cp:keywords/>
  <dc:description/>
  <cp:lastModifiedBy>Łyczakowska Olga  (DPG)</cp:lastModifiedBy>
  <cp:revision>2</cp:revision>
  <cp:lastPrinted>2023-05-19T06:49:00Z</cp:lastPrinted>
  <dcterms:created xsi:type="dcterms:W3CDTF">2023-06-20T13:18:00Z</dcterms:created>
  <dcterms:modified xsi:type="dcterms:W3CDTF">2023-06-20T13:18:00Z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0x01010097219EF5E7ABC94F8690B19F1CBD98B6</vt:lpwstr>
  </property>
</Properties>
</file>