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36" w:rsidRDefault="00786136" w:rsidP="00786136">
      <w:pPr>
        <w:spacing w:before="120"/>
        <w:jc w:val="right"/>
      </w:pPr>
      <w:bookmarkStart w:id="0" w:name="_GoBack"/>
      <w:bookmarkEnd w:id="0"/>
    </w:p>
    <w:p w:rsidR="00786136" w:rsidRDefault="000F228F" w:rsidP="00786136">
      <w:pPr>
        <w:spacing w:before="120"/>
        <w:jc w:val="right"/>
      </w:pPr>
      <w:r>
        <w:t xml:space="preserve">Warszawa,  15 </w:t>
      </w:r>
      <w:r w:rsidR="00786136">
        <w:t>listopada 2018 r.</w:t>
      </w:r>
    </w:p>
    <w:p w:rsidR="00786136" w:rsidRDefault="00786136" w:rsidP="00786136">
      <w:pPr>
        <w:pStyle w:val="menfont"/>
      </w:pPr>
      <w:bookmarkStart w:id="1" w:name="ezdSprawaZnak"/>
      <w:r>
        <w:t>DSKKZ-WKD.0916.1.2018</w:t>
      </w:r>
      <w:bookmarkEnd w:id="1"/>
      <w:r>
        <w:t>.</w:t>
      </w:r>
      <w:bookmarkStart w:id="2" w:name="ezdAutorInicjaly"/>
      <w:r>
        <w:t>MBS</w:t>
      </w:r>
      <w:bookmarkEnd w:id="2"/>
    </w:p>
    <w:p w:rsidR="00786136" w:rsidRDefault="00786136" w:rsidP="00786136">
      <w:pPr>
        <w:pStyle w:val="menfont"/>
      </w:pPr>
    </w:p>
    <w:p w:rsidR="00786136" w:rsidRDefault="00786136" w:rsidP="00786136">
      <w:pPr>
        <w:pStyle w:val="menfont"/>
      </w:pPr>
    </w:p>
    <w:p w:rsidR="00786136" w:rsidRDefault="00786136" w:rsidP="00786136">
      <w:pPr>
        <w:pStyle w:val="menfont"/>
        <w:rPr>
          <w:b/>
        </w:rPr>
      </w:pPr>
      <w:r>
        <w:rPr>
          <w:b/>
        </w:rPr>
        <w:t xml:space="preserve">Pan dr hab. Jerzy Piotr Gwizdała </w:t>
      </w:r>
    </w:p>
    <w:p w:rsidR="00786136" w:rsidRDefault="00786136" w:rsidP="00786136">
      <w:pPr>
        <w:pStyle w:val="menfont"/>
        <w:rPr>
          <w:b/>
        </w:rPr>
      </w:pPr>
      <w:r>
        <w:rPr>
          <w:b/>
        </w:rPr>
        <w:t>profesor nadzwyczajny</w:t>
      </w:r>
    </w:p>
    <w:p w:rsidR="00786136" w:rsidRDefault="00786136" w:rsidP="00786136">
      <w:pPr>
        <w:pStyle w:val="menfont"/>
        <w:spacing w:after="120"/>
        <w:jc w:val="both"/>
        <w:rPr>
          <w:b/>
        </w:rPr>
      </w:pPr>
      <w:r>
        <w:rPr>
          <w:b/>
        </w:rPr>
        <w:t>Rektor Uniwersytetu Gdańskiego</w:t>
      </w:r>
    </w:p>
    <w:p w:rsidR="00786136" w:rsidRDefault="00786136" w:rsidP="00786136">
      <w:r>
        <w:t>Uniwersytet Gdański</w:t>
      </w:r>
    </w:p>
    <w:p w:rsidR="00786136" w:rsidRDefault="00786136" w:rsidP="00786136">
      <w:r>
        <w:t>ul. Jana Bażyńskiego 8</w:t>
      </w:r>
    </w:p>
    <w:p w:rsidR="00786136" w:rsidRDefault="00786136" w:rsidP="00786136">
      <w:r>
        <w:t>80-309 Gdańsk</w:t>
      </w:r>
    </w:p>
    <w:p w:rsidR="00786136" w:rsidRDefault="00786136" w:rsidP="00786136">
      <w:pPr>
        <w:pStyle w:val="menfont"/>
      </w:pPr>
    </w:p>
    <w:p w:rsidR="00786136" w:rsidRDefault="00786136" w:rsidP="00786136">
      <w:pPr>
        <w:pStyle w:val="menfont"/>
      </w:pPr>
    </w:p>
    <w:p w:rsidR="00786136" w:rsidRDefault="00786136" w:rsidP="00786136">
      <w:pPr>
        <w:jc w:val="center"/>
        <w:rPr>
          <w:b/>
        </w:rPr>
      </w:pPr>
      <w:r>
        <w:rPr>
          <w:b/>
        </w:rPr>
        <w:t xml:space="preserve">WYSTĄPIENIE POKONTROLNE </w:t>
      </w:r>
    </w:p>
    <w:p w:rsidR="00786136" w:rsidRDefault="00786136" w:rsidP="00786136">
      <w:pPr>
        <w:jc w:val="center"/>
        <w:rPr>
          <w:b/>
        </w:rPr>
      </w:pPr>
    </w:p>
    <w:p w:rsidR="00786136" w:rsidRDefault="00786136" w:rsidP="00786136">
      <w:pPr>
        <w:jc w:val="both"/>
      </w:pPr>
      <w:r>
        <w:t>Zgodnie z art.47 ustawy z dnia 15 lipca 2011 r o kontroli w administracji rządowej (Dz. U. Nr 185 poz. 1092) przekazuję niniejsze wystąpienie pokontrolne.</w:t>
      </w:r>
    </w:p>
    <w:p w:rsidR="00786136" w:rsidRDefault="00786136" w:rsidP="00786136">
      <w:pPr>
        <w:spacing w:before="120"/>
        <w:jc w:val="both"/>
      </w:pPr>
      <w:r>
        <w:t>Na podstawie art. 6 ust.3 pkt 3 ustawy z dnia 15 lipca 2011 r o kontroli w  administracji rządowej (Dz. U. Nr 185 poz. 1092) Ministerstwo Edukacji Narodowej</w:t>
      </w:r>
      <w:r>
        <w:rPr>
          <w:vertAlign w:val="superscript"/>
        </w:rPr>
        <w:footnoteReference w:id="1"/>
      </w:r>
      <w:r>
        <w:t xml:space="preserve"> w okresie od 17 września 2018 r. do 28 września 2018 r. przeprowadziło kontrolę w Uniwersytecie Gdańskim z siedzibą w Sopocie przy ul. Armii Krajowej 119/121, w zakresie prawidłowości wykonania zadania publicznego, w tym wykorzystania dotacji przekazanej na realizację zadania publicznego pn. „Organizacja i przeprowadzanie olimpiad i turniejów w latach szkolnych 2016/2017, 2017/2018, 2018/2019”. </w:t>
      </w:r>
    </w:p>
    <w:p w:rsidR="00786136" w:rsidRDefault="00786136" w:rsidP="00786136">
      <w:pPr>
        <w:spacing w:before="120"/>
        <w:jc w:val="both"/>
      </w:pPr>
      <w:r>
        <w:t xml:space="preserve">Zakres kontroli obejmował prawidłowość realizacji ww. zadania, w tym w  szczególności: </w:t>
      </w:r>
    </w:p>
    <w:p w:rsidR="00786136" w:rsidRDefault="00786136" w:rsidP="00786136">
      <w:pPr>
        <w:numPr>
          <w:ilvl w:val="0"/>
          <w:numId w:val="1"/>
        </w:numPr>
        <w:jc w:val="both"/>
      </w:pPr>
      <w:r>
        <w:t>stopień realizacji zadania;</w:t>
      </w:r>
    </w:p>
    <w:p w:rsidR="00786136" w:rsidRDefault="00786136" w:rsidP="00786136">
      <w:pPr>
        <w:numPr>
          <w:ilvl w:val="0"/>
          <w:numId w:val="1"/>
        </w:numPr>
        <w:jc w:val="both"/>
      </w:pPr>
      <w:r>
        <w:rPr>
          <w:shd w:val="clear" w:color="auto" w:fill="FFFFFF"/>
        </w:rPr>
        <w:t>efektywność, rzetelność i jakość realizacji zadania</w:t>
      </w:r>
      <w:r>
        <w:t>;</w:t>
      </w:r>
    </w:p>
    <w:p w:rsidR="00786136" w:rsidRDefault="00786136" w:rsidP="00786136">
      <w:pPr>
        <w:numPr>
          <w:ilvl w:val="0"/>
          <w:numId w:val="1"/>
        </w:numPr>
        <w:jc w:val="both"/>
      </w:pPr>
      <w:r>
        <w:lastRenderedPageBreak/>
        <w:t>prawidłowość wykorzystania środków publicznych otrzymanych na realizację zadania;</w:t>
      </w:r>
    </w:p>
    <w:p w:rsidR="00786136" w:rsidRDefault="00786136" w:rsidP="00786136">
      <w:pPr>
        <w:numPr>
          <w:ilvl w:val="0"/>
          <w:numId w:val="1"/>
        </w:numPr>
        <w:spacing w:after="120"/>
        <w:ind w:left="714" w:hanging="357"/>
        <w:jc w:val="both"/>
      </w:pPr>
      <w:r>
        <w:t>prowadzenie dokumentacji związanej z realizowanym zadaniem.</w:t>
      </w:r>
    </w:p>
    <w:p w:rsidR="00786136" w:rsidRDefault="00786136" w:rsidP="00786136">
      <w:pPr>
        <w:spacing w:after="120"/>
        <w:jc w:val="both"/>
      </w:pPr>
      <w:r>
        <w:t>Na podstawie wyników kontroli pozytywnie oceniono realizację zadania publicznego realizowanego przez Uniwersytet Gdański. Przeprowadzona kontrola wykazuje, że założone cele zadania publicznego zostały zrealizowane, a dotacja została wykorzystana zgodnie z przeznaczeniem.</w:t>
      </w:r>
    </w:p>
    <w:p w:rsidR="00786136" w:rsidRDefault="00786136" w:rsidP="00786136">
      <w:pPr>
        <w:spacing w:after="120"/>
        <w:jc w:val="both"/>
      </w:pPr>
      <w:r>
        <w:t>W wyniku ogłoszonego przez Ministra Edukacji Narodowej konkursu na realizację zadania publicznego pn.</w:t>
      </w:r>
      <w:r>
        <w:rPr>
          <w:i/>
        </w:rPr>
        <w:t xml:space="preserve"> „Organizacja i przeprowadzenie olimpiad i turniejów w latach szkolnych 2016/2017, 2017/2018, 2018/2019”</w:t>
      </w:r>
      <w:r>
        <w:t>, w dniu 30 września 2016 r. zawarta została umowa nr MEN/2016/DKZU/940 pomiędzy Ministrem Edukacji Narodowej a Uniwersytetem Gdańskim. Przedmiotem umowy było zorganizowanie i przeprowadzenie do 31 sierpnia 2019 roku trzech edycji trójstopniowych zawodów ogólnopolskiej Olimpiady Spedycyjno-Logistycznej.</w:t>
      </w:r>
    </w:p>
    <w:p w:rsidR="00786136" w:rsidRDefault="00786136" w:rsidP="00786136">
      <w:pPr>
        <w:jc w:val="both"/>
      </w:pPr>
      <w:r>
        <w:t xml:space="preserve">Na realizację ww. zadania przewidziano przekazanie środków publicznych w łącznej wysokości </w:t>
      </w:r>
      <w:r>
        <w:rPr>
          <w:bCs/>
        </w:rPr>
        <w:t xml:space="preserve">304 840,00 </w:t>
      </w:r>
      <w:r>
        <w:t>zł, w formie siedmiu transz:</w:t>
      </w:r>
    </w:p>
    <w:p w:rsidR="00786136" w:rsidRDefault="00786136" w:rsidP="00786136">
      <w:pPr>
        <w:numPr>
          <w:ilvl w:val="0"/>
          <w:numId w:val="2"/>
        </w:numPr>
        <w:jc w:val="both"/>
      </w:pPr>
      <w:r>
        <w:t>I transza - w 2016 r. - w wysokości 14 206,00 zł w ciągu 30 dni od daty podpisania umowy;</w:t>
      </w:r>
    </w:p>
    <w:p w:rsidR="00786136" w:rsidRDefault="00786136" w:rsidP="00786136">
      <w:pPr>
        <w:numPr>
          <w:ilvl w:val="0"/>
          <w:numId w:val="2"/>
        </w:numPr>
        <w:jc w:val="both"/>
      </w:pPr>
      <w:r>
        <w:t>II transza - w wysokości 51 273,00 zł do 15 stycznia 2017 r.;</w:t>
      </w:r>
    </w:p>
    <w:p w:rsidR="00786136" w:rsidRDefault="00786136" w:rsidP="00786136">
      <w:pPr>
        <w:numPr>
          <w:ilvl w:val="0"/>
          <w:numId w:val="2"/>
        </w:numPr>
        <w:jc w:val="both"/>
      </w:pPr>
      <w:r>
        <w:t>III transza - w wysokości 51 273,00 zł po wejściu w życie ustawy budżetowej na 2017 r., jednak nie później niż 28 lutego 2017 r. oraz po zaakceptowaniu rozliczenia finansowego I transzy i sprawozdania merytorycznego,</w:t>
      </w:r>
    </w:p>
    <w:p w:rsidR="00786136" w:rsidRDefault="00786136" w:rsidP="00786136">
      <w:pPr>
        <w:numPr>
          <w:ilvl w:val="0"/>
          <w:numId w:val="2"/>
        </w:numPr>
        <w:jc w:val="both"/>
      </w:pPr>
      <w:r>
        <w:t>IV transza - w wysokości 51 233,00 zł do 15 stycznia 2018 r.,</w:t>
      </w:r>
    </w:p>
    <w:p w:rsidR="00786136" w:rsidRDefault="00786136" w:rsidP="00786136">
      <w:pPr>
        <w:numPr>
          <w:ilvl w:val="0"/>
          <w:numId w:val="2"/>
        </w:numPr>
        <w:jc w:val="both"/>
      </w:pPr>
      <w:r>
        <w:t>V transza - w wysokości 51 233,00 zł po wejściu w życie ustawy budżetowej na 2018 r., jednak nie później niż 28 lutego 2018 r. oraz po zaakceptowaniu rozliczenia finansowego II i III transzy i sprawozdania merytorycznego,</w:t>
      </w:r>
    </w:p>
    <w:p w:rsidR="00786136" w:rsidRDefault="00786136" w:rsidP="00786136">
      <w:pPr>
        <w:numPr>
          <w:ilvl w:val="0"/>
          <w:numId w:val="2"/>
        </w:numPr>
        <w:jc w:val="both"/>
      </w:pPr>
      <w:r>
        <w:t>VI transza - w wysokości 42 811,00 zł do 15 stycznia 2019 r.,</w:t>
      </w:r>
    </w:p>
    <w:p w:rsidR="00786136" w:rsidRDefault="00786136" w:rsidP="00786136">
      <w:pPr>
        <w:numPr>
          <w:ilvl w:val="0"/>
          <w:numId w:val="2"/>
        </w:numPr>
        <w:spacing w:after="120"/>
        <w:ind w:left="357" w:hanging="357"/>
        <w:jc w:val="both"/>
      </w:pPr>
      <w:r>
        <w:rPr>
          <w:lang w:val="it-IT"/>
        </w:rPr>
        <w:t xml:space="preserve">VII </w:t>
      </w:r>
      <w:r>
        <w:t>transza - w wysokości 42 811,00 zł  po wejściu w życie ustawy budżetowej na 2019 r., jednak nie później niż 28 lutego 2019 r. oraz po zaakceptowaniu rozliczenia finansowego IV i V transzy i sprawozdania merytorycznego.</w:t>
      </w:r>
    </w:p>
    <w:p w:rsidR="00786136" w:rsidRDefault="00786136" w:rsidP="00786136">
      <w:pPr>
        <w:spacing w:after="120"/>
        <w:jc w:val="both"/>
      </w:pPr>
      <w:r>
        <w:t xml:space="preserve">Kontrolą została objęta kwota przekazana w 2016 r., w 2017 r. oraz w 2018 r. w ramach I, II, III, IV i V transzy w łącznej wysokości 219 218,00 zł. </w:t>
      </w:r>
    </w:p>
    <w:p w:rsidR="00786136" w:rsidRDefault="00786136" w:rsidP="00786136">
      <w:pPr>
        <w:spacing w:before="120" w:after="120"/>
        <w:jc w:val="both"/>
      </w:pPr>
      <w:r>
        <w:t xml:space="preserve">Kontrolą objęto okres od 30 września 2016 r. do 31 sierpnia 2018 r., tj. od daty podpisania umowy do zakończenia trzeciego etapu drugiej edycji Olimpiady Spedycyjno-Logistycznej. </w:t>
      </w:r>
    </w:p>
    <w:p w:rsidR="00786136" w:rsidRDefault="00786136" w:rsidP="00786136">
      <w:pPr>
        <w:spacing w:after="120"/>
        <w:jc w:val="both"/>
      </w:pPr>
      <w:r>
        <w:t>Ocenę kontrolowanej działalności uzasadniają ustalenia z kontroli.</w:t>
      </w:r>
    </w:p>
    <w:p w:rsidR="00786136" w:rsidRDefault="00786136" w:rsidP="00786136">
      <w:pPr>
        <w:spacing w:after="120"/>
        <w:jc w:val="both"/>
      </w:pPr>
    </w:p>
    <w:p w:rsidR="00786136" w:rsidRDefault="00786136" w:rsidP="00786136">
      <w:pPr>
        <w:numPr>
          <w:ilvl w:val="0"/>
          <w:numId w:val="3"/>
        </w:numPr>
        <w:spacing w:after="120"/>
        <w:ind w:left="357" w:hanging="357"/>
        <w:jc w:val="both"/>
        <w:rPr>
          <w:b/>
        </w:rPr>
      </w:pPr>
      <w:r>
        <w:rPr>
          <w:b/>
        </w:rPr>
        <w:t>Stopień realizacji zadania, osiągnięcie założonych celów zadania.</w:t>
      </w:r>
    </w:p>
    <w:p w:rsidR="00786136" w:rsidRDefault="00786136" w:rsidP="00786136">
      <w:pPr>
        <w:spacing w:after="120"/>
        <w:jc w:val="both"/>
      </w:pPr>
      <w:r>
        <w:t>Osiągnięte zostały główne założone cele zadania, tj. przeprowadzono w roku szkolnym 2016/2017 oraz 2017/2018 trójstopniowe zawody ogólnopolskiej Olimpiady Spedycyjno-Logistycznej.</w:t>
      </w:r>
    </w:p>
    <w:p w:rsidR="00786136" w:rsidRDefault="00786136" w:rsidP="00786136">
      <w:pPr>
        <w:spacing w:after="120"/>
        <w:jc w:val="both"/>
      </w:pPr>
      <w:r>
        <w:lastRenderedPageBreak/>
        <w:t xml:space="preserve">Zawody Olimpiady Spedycyjno-Logistycznej mają charakter indywidualny i  obejmują 3 etapy. </w:t>
      </w:r>
    </w:p>
    <w:p w:rsidR="00786136" w:rsidRDefault="00786136" w:rsidP="00786136">
      <w:pPr>
        <w:spacing w:after="120"/>
        <w:jc w:val="both"/>
      </w:pPr>
      <w:r>
        <w:t xml:space="preserve">W zawodach I stopnia uczestnik poddawany był sprawdzianowi w formie testu jednokrotnego wyboru składającego się z 25 pytań w czasie 25 min albo w przypadku wyświetlania pytań - 1 minuty na jedno pytanie. Prace były sprawdzane przez komitety szkolne w składzie od 3 do 5 osób. W skład Komitetu Szkolnego wchodzili przedstawiciele grona pedagogicznego, a w szczególności nauczyciele zawodu </w:t>
      </w:r>
      <w:r w:rsidR="0033428B">
        <w:t xml:space="preserve">technik </w:t>
      </w:r>
      <w:r>
        <w:t xml:space="preserve">spedytor i </w:t>
      </w:r>
      <w:r w:rsidR="0033428B">
        <w:t xml:space="preserve">technik </w:t>
      </w:r>
      <w:r>
        <w:t>logistyk. Komitetowi przewodniczył dyrektor szkoły lub wyznaczona przez niego osoba. W zawodach szkolnych w roku szkolnym 2016/2017 uczestniczyło 2681 uczniów natomiast w roku szkolnym 2017/2018 2828 uczniów.</w:t>
      </w:r>
    </w:p>
    <w:p w:rsidR="00786136" w:rsidRDefault="00786136" w:rsidP="00786136">
      <w:pPr>
        <w:spacing w:after="120"/>
        <w:jc w:val="both"/>
      </w:pPr>
      <w:r>
        <w:t>W zawodach II stopnia uczestnik poddawany był sprawdzianowi w formie testu wielokrotnego wyboru składającego się z 25 pytań w czasie 50 min albo w przypadku wyświetlania pytań - 2 minut na jedno pytanie. Liczba uczestników zawodów II stopnia wynosiła 860 uczniów w roku szkolnym 2016/17 oraz 468 uczniów w roku szkolnym 2017/18.</w:t>
      </w:r>
    </w:p>
    <w:p w:rsidR="00786136" w:rsidRDefault="00786136" w:rsidP="00786136">
      <w:pPr>
        <w:spacing w:after="120"/>
        <w:jc w:val="both"/>
      </w:pPr>
      <w:r>
        <w:t xml:space="preserve">Do zawodów III stopnia (centralnych) mają prawo przystąpić uczestnicy zawodów II stopnia, którzy uzyskali co najmniej minimum punktów wyznaczanych przez Komitet Główny (minimum było ustalone zgodnie z regułami określonymi w Regulaminie Ogólnopolskiej Olimpiady Spedycyjno-Logistycznej). </w:t>
      </w:r>
    </w:p>
    <w:p w:rsidR="00786136" w:rsidRDefault="00786136" w:rsidP="00786136">
      <w:pPr>
        <w:jc w:val="both"/>
      </w:pPr>
      <w:r>
        <w:t xml:space="preserve">Liczba uczestników zawodów III stopnia wynosiła: </w:t>
      </w:r>
    </w:p>
    <w:p w:rsidR="00786136" w:rsidRDefault="00786136" w:rsidP="00786136">
      <w:pPr>
        <w:numPr>
          <w:ilvl w:val="0"/>
          <w:numId w:val="4"/>
        </w:numPr>
        <w:jc w:val="both"/>
      </w:pPr>
      <w:r>
        <w:t xml:space="preserve">46 uczniów w roku szkolnym 2016/2017, spośród których wyłoniono 10 laureatów i 36 finalistów, </w:t>
      </w:r>
    </w:p>
    <w:p w:rsidR="00786136" w:rsidRDefault="00786136" w:rsidP="00786136">
      <w:pPr>
        <w:numPr>
          <w:ilvl w:val="0"/>
          <w:numId w:val="4"/>
        </w:numPr>
        <w:spacing w:after="120"/>
        <w:jc w:val="both"/>
      </w:pPr>
      <w:r>
        <w:t>61 uczniów w roku szkolnym 2017/2018, spośród których wyłoniono 10 laureatów i 51 finalistów.</w:t>
      </w:r>
    </w:p>
    <w:p w:rsidR="00786136" w:rsidRDefault="00786136" w:rsidP="00786136">
      <w:pPr>
        <w:jc w:val="both"/>
      </w:pPr>
      <w:r>
        <w:t>Potencjalnymi odbiorcami /uczestnikami olimpiady byli w roku szkolnym:</w:t>
      </w:r>
    </w:p>
    <w:p w:rsidR="00786136" w:rsidRDefault="00786136" w:rsidP="00786136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2016/2017</w:t>
      </w:r>
      <w:r>
        <w:rPr>
          <w:rFonts w:eastAsiaTheme="minorHAnsi"/>
          <w:lang w:eastAsia="en-US"/>
        </w:rPr>
        <w:t xml:space="preserve"> LO - 485 418 uczniów, Technika - 505 888 uczniów;</w:t>
      </w:r>
    </w:p>
    <w:p w:rsidR="00786136" w:rsidRDefault="00786136" w:rsidP="00786136">
      <w:pPr>
        <w:numPr>
          <w:ilvl w:val="0"/>
          <w:numId w:val="5"/>
        </w:numPr>
        <w:spacing w:after="120"/>
        <w:ind w:left="714" w:right="-45" w:hanging="357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2017/2018</w:t>
      </w:r>
      <w:r>
        <w:rPr>
          <w:rFonts w:eastAsiaTheme="minorHAnsi"/>
          <w:lang w:eastAsia="en-US"/>
        </w:rPr>
        <w:t xml:space="preserve"> LO - 474 408 uczniów, Technika - 503 151 uczniów.</w:t>
      </w:r>
    </w:p>
    <w:p w:rsidR="00786136" w:rsidRDefault="00786136" w:rsidP="00786136">
      <w:pPr>
        <w:ind w:right="-48"/>
        <w:jc w:val="both"/>
      </w:pPr>
      <w:r>
        <w:t>Liczba uczestników olimpiady w poszczególnych etapach olimpiady w stosunku do populacji uczniów wyrażona w procentach, kształtowała się następująco:</w:t>
      </w:r>
    </w:p>
    <w:p w:rsidR="00786136" w:rsidRDefault="00786136" w:rsidP="00786136">
      <w:pPr>
        <w:ind w:right="-48"/>
        <w:jc w:val="both"/>
        <w:rPr>
          <w:b/>
          <w:lang w:val="nb-NO"/>
        </w:rPr>
      </w:pPr>
      <w:r>
        <w:rPr>
          <w:b/>
          <w:lang w:val="nb-NO"/>
        </w:rPr>
        <w:t>2016/2017</w:t>
      </w:r>
    </w:p>
    <w:p w:rsidR="00786136" w:rsidRDefault="00786136" w:rsidP="00786136">
      <w:pPr>
        <w:numPr>
          <w:ilvl w:val="0"/>
          <w:numId w:val="6"/>
        </w:numPr>
        <w:ind w:right="-48"/>
        <w:contextualSpacing/>
        <w:jc w:val="both"/>
        <w:rPr>
          <w:rFonts w:eastAsiaTheme="minorHAnsi"/>
          <w:lang w:val="nb-NO" w:eastAsia="en-US"/>
        </w:rPr>
      </w:pPr>
      <w:r>
        <w:rPr>
          <w:rFonts w:eastAsiaTheme="minorHAnsi"/>
          <w:lang w:val="nb-NO" w:eastAsia="en-US"/>
        </w:rPr>
        <w:t>Etap I 0,27 %</w:t>
      </w:r>
    </w:p>
    <w:p w:rsidR="00786136" w:rsidRDefault="00786136" w:rsidP="00786136">
      <w:pPr>
        <w:numPr>
          <w:ilvl w:val="0"/>
          <w:numId w:val="6"/>
        </w:numPr>
        <w:ind w:right="-48"/>
        <w:contextualSpacing/>
        <w:jc w:val="both"/>
        <w:rPr>
          <w:rFonts w:eastAsiaTheme="minorHAnsi"/>
          <w:lang w:val="nb-NO" w:eastAsia="en-US"/>
        </w:rPr>
      </w:pPr>
      <w:r>
        <w:rPr>
          <w:rFonts w:eastAsiaTheme="minorHAnsi"/>
          <w:lang w:val="nb-NO" w:eastAsia="en-US"/>
        </w:rPr>
        <w:t>Etap II 0,087 %</w:t>
      </w:r>
    </w:p>
    <w:p w:rsidR="00786136" w:rsidRDefault="00786136" w:rsidP="00786136">
      <w:pPr>
        <w:numPr>
          <w:ilvl w:val="0"/>
          <w:numId w:val="6"/>
        </w:numPr>
        <w:ind w:right="-48"/>
        <w:contextualSpacing/>
        <w:jc w:val="both"/>
        <w:rPr>
          <w:rFonts w:eastAsiaTheme="minorHAnsi"/>
          <w:lang w:val="nb-NO" w:eastAsia="en-US"/>
        </w:rPr>
      </w:pPr>
      <w:r>
        <w:rPr>
          <w:rFonts w:eastAsiaTheme="minorHAnsi"/>
          <w:lang w:val="nb-NO" w:eastAsia="en-US"/>
        </w:rPr>
        <w:t>Etap III 0,0046%</w:t>
      </w:r>
    </w:p>
    <w:p w:rsidR="00786136" w:rsidRDefault="00786136" w:rsidP="00786136">
      <w:pPr>
        <w:jc w:val="both"/>
        <w:rPr>
          <w:b/>
          <w:lang w:val="nb-NO"/>
        </w:rPr>
      </w:pPr>
      <w:r>
        <w:rPr>
          <w:b/>
          <w:lang w:val="nb-NO"/>
        </w:rPr>
        <w:t>2017/2018</w:t>
      </w:r>
    </w:p>
    <w:p w:rsidR="00786136" w:rsidRDefault="00786136" w:rsidP="00786136">
      <w:pPr>
        <w:numPr>
          <w:ilvl w:val="0"/>
          <w:numId w:val="7"/>
        </w:numPr>
        <w:jc w:val="both"/>
        <w:rPr>
          <w:lang w:val="nb-NO"/>
        </w:rPr>
      </w:pPr>
      <w:r>
        <w:rPr>
          <w:lang w:val="nb-NO"/>
        </w:rPr>
        <w:t>Etap I 0,29%</w:t>
      </w:r>
    </w:p>
    <w:p w:rsidR="00786136" w:rsidRDefault="00786136" w:rsidP="00786136">
      <w:pPr>
        <w:numPr>
          <w:ilvl w:val="0"/>
          <w:numId w:val="7"/>
        </w:numPr>
        <w:jc w:val="both"/>
      </w:pPr>
      <w:r>
        <w:t>Etap II 0,048%</w:t>
      </w:r>
    </w:p>
    <w:p w:rsidR="00786136" w:rsidRDefault="00786136" w:rsidP="00786136">
      <w:pPr>
        <w:numPr>
          <w:ilvl w:val="0"/>
          <w:numId w:val="7"/>
        </w:numPr>
        <w:spacing w:after="120"/>
        <w:ind w:left="714" w:hanging="357"/>
        <w:jc w:val="both"/>
      </w:pPr>
      <w:r>
        <w:t>Etap III 0,0062%</w:t>
      </w:r>
    </w:p>
    <w:p w:rsidR="00786136" w:rsidRDefault="00786136" w:rsidP="00786136">
      <w:pPr>
        <w:spacing w:after="240"/>
        <w:jc w:val="both"/>
      </w:pPr>
      <w:r>
        <w:t xml:space="preserve">Wskazane mierniki potwierdzają, że zainteresowanie olimpiadą w ostatnich dwóch latach szkolnych utrzymuje się niemal na tym samym poziomie. Zauważalny jest procentowy wzrost laureatów i finalistów olimpiady w kolejnym roku szkolnym. </w:t>
      </w:r>
    </w:p>
    <w:p w:rsidR="00786136" w:rsidRDefault="00786136" w:rsidP="00786136">
      <w:pPr>
        <w:spacing w:after="240"/>
        <w:jc w:val="both"/>
      </w:pPr>
    </w:p>
    <w:p w:rsidR="00786136" w:rsidRDefault="00786136" w:rsidP="00786136">
      <w:pPr>
        <w:numPr>
          <w:ilvl w:val="0"/>
          <w:numId w:val="3"/>
        </w:numPr>
        <w:spacing w:after="120"/>
        <w:ind w:left="357" w:hanging="357"/>
        <w:jc w:val="both"/>
        <w:rPr>
          <w:b/>
        </w:rPr>
      </w:pPr>
      <w:r>
        <w:rPr>
          <w:b/>
        </w:rPr>
        <w:t xml:space="preserve">Prawidłowość wykorzystania środków publicznych otrzymanych na realizację zadania. </w:t>
      </w:r>
    </w:p>
    <w:p w:rsidR="00786136" w:rsidRDefault="00786136" w:rsidP="00786136">
      <w:pPr>
        <w:spacing w:after="120"/>
        <w:jc w:val="both"/>
      </w:pPr>
      <w:r>
        <w:t xml:space="preserve">W wyniku kontroli stwierdzono prawidłowe wykorzystanie środków publicznych otrzymanych na realizację zadania, tj. kwoty 219 218,00 zł. Prawidłowość wykorzystanej dotacji potwierdziły przedstawione dokumenty finansowe. W opinii kontrolujących dotacja została wykorzystana na pokrycie niezbędnych kosztów realizacji zadania. </w:t>
      </w:r>
    </w:p>
    <w:p w:rsidR="00786136" w:rsidRDefault="00786136" w:rsidP="00786136">
      <w:pPr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W roku 2016 i 2017 wystąpiły przypadki zwiększania danego wydatku w ramach przyznanej dotacji, które nie wymagały zgody Ministerstwa Edukacji Narodowej, ponieważ dotyczyły zmian mniejszych niż 20% danej pozycji kosztorysu i nie dotyczyły administrowania i zarządzania zadaniem.</w:t>
      </w:r>
    </w:p>
    <w:p w:rsidR="00786136" w:rsidRDefault="00786136" w:rsidP="00786136">
      <w:pPr>
        <w:spacing w:after="240"/>
        <w:jc w:val="both"/>
      </w:pPr>
    </w:p>
    <w:p w:rsidR="00786136" w:rsidRDefault="00786136" w:rsidP="00786136">
      <w:pPr>
        <w:numPr>
          <w:ilvl w:val="0"/>
          <w:numId w:val="3"/>
        </w:numPr>
        <w:spacing w:after="120"/>
        <w:ind w:left="357" w:hanging="35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Prowadzenie dokumentacji związanej z realizowanym zadaniem.</w:t>
      </w:r>
    </w:p>
    <w:p w:rsidR="00786136" w:rsidRDefault="00786136" w:rsidP="00786136">
      <w:pPr>
        <w:spacing w:after="120"/>
        <w:jc w:val="both"/>
      </w:pPr>
      <w:r>
        <w:t xml:space="preserve">Dokumentacja związana z realizowanym zadaniem była prowadzona prawidłowo. Wykorzystanie dotacji zostało udokumentowane w sposób umożliwiający identyfikację wszystkich planowanych zadań i ocenę prawidłowości realizacji zadania. </w:t>
      </w:r>
    </w:p>
    <w:p w:rsidR="00786136" w:rsidRDefault="00786136" w:rsidP="00786136">
      <w:pPr>
        <w:spacing w:after="120"/>
        <w:jc w:val="both"/>
      </w:pPr>
      <w:r>
        <w:t>Analiza dokumentacji wykazała, że:</w:t>
      </w:r>
    </w:p>
    <w:p w:rsidR="00786136" w:rsidRDefault="00786136" w:rsidP="00786136">
      <w:pPr>
        <w:numPr>
          <w:ilvl w:val="0"/>
          <w:numId w:val="8"/>
        </w:numPr>
        <w:ind w:left="426" w:hanging="425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dokumenty objęte kontrolą dotyczące realizacji zadania potwierdziły wydatkowanie dotacji zgodnie z przeznaczeniem i w terminach określonych w umowie;</w:t>
      </w:r>
    </w:p>
    <w:p w:rsidR="00786136" w:rsidRDefault="00786136" w:rsidP="00786136">
      <w:pPr>
        <w:numPr>
          <w:ilvl w:val="0"/>
          <w:numId w:val="8"/>
        </w:numPr>
        <w:ind w:left="426" w:hanging="425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środki z dotacji były przechowywane na wyodrębnionym na potrzeby organizacji olimpiady rachunku bankowym;</w:t>
      </w:r>
    </w:p>
    <w:p w:rsidR="00786136" w:rsidRDefault="00786136" w:rsidP="00786136">
      <w:pPr>
        <w:numPr>
          <w:ilvl w:val="0"/>
          <w:numId w:val="8"/>
        </w:numPr>
        <w:ind w:left="426" w:hanging="425"/>
        <w:jc w:val="both"/>
      </w:pPr>
      <w:r>
        <w:t>Zleceniobiorca posiada system umożliwiający efektywną kontrolę wewnętrzną dotyczącą właściwego administrowania środkami pochodzącymi z dotacji, tj. politykę rachunkowości UG stanowiącą załącznik nr 1 do zarządzenia rektora nr 65/R/20011 „Zakładowy plan kont Uniwersytetu Gdańskiego”;</w:t>
      </w:r>
    </w:p>
    <w:p w:rsidR="00786136" w:rsidRDefault="00786136" w:rsidP="00786136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Zleceniobiorca prowadził wyodrębnioną ewidencję księgową środków otrzymanych w ramach dotacji oraz wydatków dokonanych z tych środków w sposób umożliwiający identyfikację kosztów i wydatków dotyczących realizacji zadania;</w:t>
      </w:r>
    </w:p>
    <w:p w:rsidR="00786136" w:rsidRDefault="00786136" w:rsidP="00786136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Zleceniobiorca prowadził pełną dokumentację księgową dotyczącą zadania, odrębnie w stosunku do innych kosztów własnej działalności, a w szczególności:</w:t>
      </w:r>
    </w:p>
    <w:p w:rsidR="00786136" w:rsidRDefault="00786136" w:rsidP="00786136">
      <w:pPr>
        <w:numPr>
          <w:ilvl w:val="1"/>
          <w:numId w:val="9"/>
        </w:numPr>
        <w:ind w:left="993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zapisy księgowe odzwierciedlały na bieżąco koszty i wydatki dotyczące realizacji zadania,</w:t>
      </w:r>
    </w:p>
    <w:p w:rsidR="00786136" w:rsidRDefault="00786136" w:rsidP="00786136">
      <w:pPr>
        <w:numPr>
          <w:ilvl w:val="1"/>
          <w:numId w:val="9"/>
        </w:numPr>
        <w:ind w:left="993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dokumenty finansowe były opisane (ostemplowane) treścią „Sfinansowane z dotacji MEN - umowa nr MEN/2016/DKZU/940 w kwocie….”;</w:t>
      </w:r>
    </w:p>
    <w:p w:rsidR="00786136" w:rsidRDefault="00786136" w:rsidP="00786136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dokumentacja merytoryczna dotycząca realizacji zadania potwierdza realizację działań określonych w ofercie i obejmuje: prace pisemne uczestników zawodów (zarówno zawodów II stopnia i III stopnia), informatory olimpiady i tematy zawodów, listy laureatów i nauczycieli, którzy przygotowywali laureata do olimpiady oraz listy finalistów;</w:t>
      </w:r>
    </w:p>
    <w:p w:rsidR="00786136" w:rsidRDefault="00786136" w:rsidP="00786136">
      <w:pPr>
        <w:numPr>
          <w:ilvl w:val="0"/>
          <w:numId w:val="8"/>
        </w:numPr>
        <w:spacing w:after="120"/>
        <w:ind w:left="426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zgodnie z umową, Uniwersytet Gdański informował o fakcie finansowania zadania przez MEN poprzez umieszczenie na materiałach merytorycznych, publikacjach, informacjach do mediów informacji, że olimpiada jest finansowana przez Ministerstwo Edukacji Narodowej. </w:t>
      </w:r>
    </w:p>
    <w:p w:rsidR="00786136" w:rsidRDefault="00786136" w:rsidP="00786136">
      <w:pPr>
        <w:jc w:val="both"/>
      </w:pPr>
      <w:r>
        <w:t xml:space="preserve">W opinii kontrolerów, Ogólnopolska Olimpiada Spedycyjno-Logistyczna w latach szkolnych 2016/17 i 2017/18 została zorganizowana zgodnie z warunkami określonymi w umowie. </w:t>
      </w:r>
    </w:p>
    <w:p w:rsidR="00786136" w:rsidRDefault="00786136" w:rsidP="00786136">
      <w:pPr>
        <w:jc w:val="both"/>
      </w:pPr>
    </w:p>
    <w:p w:rsidR="00EF44B2" w:rsidRPr="00786136" w:rsidRDefault="00903EB7" w:rsidP="00786136"/>
    <w:sectPr w:rsidR="00EF44B2" w:rsidRPr="00786136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B7" w:rsidRDefault="00903EB7">
      <w:r>
        <w:separator/>
      </w:r>
    </w:p>
  </w:endnote>
  <w:endnote w:type="continuationSeparator" w:id="0">
    <w:p w:rsidR="00903EB7" w:rsidRDefault="0090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530048"/>
      <w:docPartObj>
        <w:docPartGallery w:val="Page Numbers (Bottom of Page)"/>
        <w:docPartUnique/>
      </w:docPartObj>
    </w:sdtPr>
    <w:sdtEndPr/>
    <w:sdtContent>
      <w:p w:rsidR="00D43ADA" w:rsidRDefault="00D43A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CD">
          <w:rPr>
            <w:noProof/>
          </w:rPr>
          <w:t>2</w:t>
        </w:r>
        <w:r>
          <w:fldChar w:fldCharType="end"/>
        </w:r>
      </w:p>
    </w:sdtContent>
  </w:sdt>
  <w:p w:rsidR="00312C81" w:rsidRDefault="00903E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188531"/>
      <w:docPartObj>
        <w:docPartGallery w:val="Page Numbers (Bottom of Page)"/>
        <w:docPartUnique/>
      </w:docPartObj>
    </w:sdtPr>
    <w:sdtEndPr/>
    <w:sdtContent>
      <w:p w:rsidR="00B61B0C" w:rsidRDefault="00B61B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CD">
          <w:rPr>
            <w:noProof/>
          </w:rPr>
          <w:t>1</w:t>
        </w:r>
        <w:r>
          <w:fldChar w:fldCharType="end"/>
        </w:r>
      </w:p>
    </w:sdtContent>
  </w:sdt>
  <w:p w:rsidR="00312C81" w:rsidRDefault="00903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B7" w:rsidRDefault="00903EB7">
      <w:r>
        <w:separator/>
      </w:r>
    </w:p>
  </w:footnote>
  <w:footnote w:type="continuationSeparator" w:id="0">
    <w:p w:rsidR="00903EB7" w:rsidRDefault="00903EB7">
      <w:r>
        <w:continuationSeparator/>
      </w:r>
    </w:p>
  </w:footnote>
  <w:footnote w:id="1">
    <w:p w:rsidR="00786136" w:rsidRDefault="00786136" w:rsidP="0078613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>Kontrolę przeprowadzili pracownicy Ministerstwa Edukacji Narodowej:</w:t>
      </w:r>
    </w:p>
    <w:p w:rsidR="00786136" w:rsidRDefault="00786136" w:rsidP="00786136">
      <w:pPr>
        <w:pStyle w:val="menfont"/>
        <w:numPr>
          <w:ilvl w:val="0"/>
          <w:numId w:val="10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Marianna Brzozowska-Skwarek, ekspert w Departamencie Strategii Kwalifikacji i Kształcenia Zawodowego na podstawie upoważnienia nr 27/2018.</w:t>
      </w:r>
    </w:p>
    <w:p w:rsidR="00786136" w:rsidRDefault="00786136" w:rsidP="00786136">
      <w:pPr>
        <w:pStyle w:val="menfont"/>
        <w:numPr>
          <w:ilvl w:val="0"/>
          <w:numId w:val="10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Anna Bąkiewicz, główny specjalista w Departamencie Strategii, Kwalifikacji i Kształcenia Zawodowego na podstawie upoważnienia nr 28/2018.</w:t>
      </w:r>
    </w:p>
    <w:p w:rsidR="00786136" w:rsidRDefault="00786136" w:rsidP="007861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903EB7" w:rsidP="00505043">
    <w:pPr>
      <w:pStyle w:val="Nagwek"/>
    </w:pPr>
  </w:p>
  <w:p w:rsidR="00505043" w:rsidRPr="002E763F" w:rsidRDefault="00903EB7" w:rsidP="00505043">
    <w:pPr>
      <w:pStyle w:val="Nagwek"/>
      <w:rPr>
        <w:sz w:val="28"/>
      </w:rPr>
    </w:pPr>
  </w:p>
  <w:p w:rsidR="00505043" w:rsidRPr="00F030A2" w:rsidRDefault="00A90240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903EB7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4BCA"/>
    <w:multiLevelType w:val="hybridMultilevel"/>
    <w:tmpl w:val="75666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9CB"/>
    <w:multiLevelType w:val="hybridMultilevel"/>
    <w:tmpl w:val="12F80A46"/>
    <w:lvl w:ilvl="0" w:tplc="6B1EEF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0442D"/>
    <w:multiLevelType w:val="hybridMultilevel"/>
    <w:tmpl w:val="3146C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7415"/>
    <w:multiLevelType w:val="hybridMultilevel"/>
    <w:tmpl w:val="27C4DD84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7E85"/>
    <w:multiLevelType w:val="hybridMultilevel"/>
    <w:tmpl w:val="00840A66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E5C78"/>
    <w:multiLevelType w:val="hybridMultilevel"/>
    <w:tmpl w:val="4F0AA2E0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2B3A"/>
    <w:multiLevelType w:val="hybridMultilevel"/>
    <w:tmpl w:val="FEB04086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35180"/>
    <w:multiLevelType w:val="hybridMultilevel"/>
    <w:tmpl w:val="E31C53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D1170F"/>
    <w:multiLevelType w:val="hybridMultilevel"/>
    <w:tmpl w:val="B072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F0D31"/>
    <w:multiLevelType w:val="hybridMultilevel"/>
    <w:tmpl w:val="A43298F0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36"/>
    <w:rsid w:val="000F228F"/>
    <w:rsid w:val="001A422E"/>
    <w:rsid w:val="0033428B"/>
    <w:rsid w:val="00786136"/>
    <w:rsid w:val="00903EB7"/>
    <w:rsid w:val="009F02A0"/>
    <w:rsid w:val="00A22F69"/>
    <w:rsid w:val="00A90240"/>
    <w:rsid w:val="00B61B0C"/>
    <w:rsid w:val="00D43ADA"/>
    <w:rsid w:val="00D50780"/>
    <w:rsid w:val="00FB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13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13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136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A22F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2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2020-09-11T11:28:00Z</dcterms:created>
  <dcterms:modified xsi:type="dcterms:W3CDTF">2020-09-11T11:28:00Z</dcterms:modified>
</cp:coreProperties>
</file>