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860" w:rsidRDefault="0048148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C86860" w:rsidRDefault="0048148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C86860" w:rsidRDefault="0048148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C86860" w:rsidRDefault="00C8686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C86860" w:rsidRDefault="00C8686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C86860" w:rsidRDefault="00481482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C86860" w:rsidRDefault="00481482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II kwartał 2021 roku</w:t>
      </w:r>
    </w:p>
    <w:p w:rsidR="00C86860" w:rsidRDefault="0048148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F629C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KULTURY, </w:t>
            </w:r>
            <w:r w:rsidR="00481482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C86860" w:rsidRDefault="00481482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C86860" w:rsidRDefault="004814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C86860" w:rsidRDefault="0048148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C86860" w:rsidRDefault="004814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C86860" w:rsidRDefault="00C868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C86860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860" w:rsidRDefault="00481482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01.01.2019-31.03.2022</w:t>
            </w:r>
          </w:p>
        </w:tc>
      </w:tr>
    </w:tbl>
    <w:p w:rsidR="00C86860" w:rsidRDefault="00481482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86860" w:rsidRDefault="00481482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C86860" w:rsidRDefault="00481482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C8686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C86860">
        <w:trPr>
          <w:trHeight w:val="153"/>
        </w:trPr>
        <w:tc>
          <w:tcPr>
            <w:tcW w:w="2972" w:type="dxa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76,92%</w:t>
            </w:r>
          </w:p>
        </w:tc>
        <w:tc>
          <w:tcPr>
            <w:tcW w:w="3260" w:type="dxa"/>
          </w:tcPr>
          <w:p w:rsidR="00C86860" w:rsidRDefault="00481482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52,82%</w:t>
            </w:r>
          </w:p>
          <w:p w:rsidR="00C86860" w:rsidRDefault="00481482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49,03%</w:t>
            </w:r>
          </w:p>
        </w:tc>
        <w:tc>
          <w:tcPr>
            <w:tcW w:w="3402" w:type="dxa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76,08%</w:t>
            </w:r>
          </w:p>
        </w:tc>
      </w:tr>
    </w:tbl>
    <w:p w:rsidR="00C86860" w:rsidRDefault="00C86860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C86860" w:rsidRDefault="00C8686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C86860" w:rsidRDefault="00C86860"/>
    <w:p w:rsidR="00C86860" w:rsidRDefault="00481482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C86860" w:rsidRDefault="0048148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1"/>
        <w:gridCol w:w="1923"/>
        <w:gridCol w:w="2804"/>
      </w:tblGrid>
      <w:tr w:rsidR="00C8686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C86860" w:rsidRDefault="004814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1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23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86860">
        <w:tc>
          <w:tcPr>
            <w:tcW w:w="2127" w:type="dxa"/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23" w:type="dxa"/>
          </w:tcPr>
          <w:p w:rsidR="00C86860" w:rsidRDefault="00481482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C86860" w:rsidRDefault="0048148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48148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C86860" w:rsidRDefault="00C86860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48148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48148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podpisano aneks do umowy.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20 809)</w:t>
            </w: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>. Planowany termin realizacji 2021-06-30. Kontynuowano prace w PL-GD. Przekroczenie planowanego terminu realizacji wynika z opóźnień spowodowanych sytuacją pandemiczną i opóźnieniem rozpoczęcia a także wolniejszego tempa prac. Ryzyko zgłoszone w poprzednim raporcie. W związku z przekroczeniem planowanego terminu złożono wniosek o przesunięcie terminu.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481482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C868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C86860">
        <w:tc>
          <w:tcPr>
            <w:tcW w:w="2127" w:type="dxa"/>
            <w:tcBorders>
              <w:top w:val="nil"/>
            </w:tcBorders>
          </w:tcPr>
          <w:p w:rsidR="00C86860" w:rsidRDefault="00481482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C86860" w:rsidRDefault="00C868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1923" w:type="dxa"/>
            <w:tcBorders>
              <w:top w:val="nil"/>
            </w:tcBorders>
          </w:tcPr>
          <w:p w:rsidR="00C86860" w:rsidRDefault="00481482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2804" w:type="dxa"/>
            <w:tcBorders>
              <w:top w:val="nil"/>
            </w:tcBorders>
          </w:tcPr>
          <w:p w:rsidR="00C86860" w:rsidRDefault="00311BAB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</w:p>
        </w:tc>
      </w:tr>
    </w:tbl>
    <w:p w:rsidR="00C86860" w:rsidRDefault="0048148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1"/>
        <w:gridCol w:w="1843"/>
        <w:gridCol w:w="1707"/>
        <w:gridCol w:w="2268"/>
      </w:tblGrid>
      <w:tr w:rsidR="00C8686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86860">
        <w:tc>
          <w:tcPr>
            <w:tcW w:w="2545" w:type="dxa"/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13 851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94,12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C86860">
        <w:tc>
          <w:tcPr>
            <w:tcW w:w="2545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top w:val="nil"/>
            </w:tcBorders>
          </w:tcPr>
          <w:p w:rsidR="00C86860" w:rsidRDefault="00481482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C86860" w:rsidRDefault="0048148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C8686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C86860">
        <w:tc>
          <w:tcPr>
            <w:tcW w:w="2937" w:type="dxa"/>
          </w:tcPr>
          <w:p w:rsidR="00C86860" w:rsidRDefault="00481482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C86860" w:rsidRDefault="0048148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C8686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86860">
        <w:tc>
          <w:tcPr>
            <w:tcW w:w="2937" w:type="dxa"/>
          </w:tcPr>
          <w:p w:rsidR="00C86860" w:rsidRDefault="00481482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C86860" w:rsidRDefault="00C868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C86860" w:rsidRDefault="00481482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03-2022</w:t>
            </w:r>
          </w:p>
          <w:p w:rsidR="00C86860" w:rsidRDefault="00C868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C86860" w:rsidRDefault="00C868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C86860" w:rsidRDefault="0048148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Planowane jest udostępnienie zasobów cyfrowych następujących kolekcji: PL-Kk, PL-Wtm, PL-Kc, PL-CZ, PL-GD, PL-Wumfc, PL-Wnifc, F-Ppo, PL-KOZmzk, PL-STAb wraz z kompletem metadanych RISM. Planowane jet także udostępnienie co najmniej 6000 plików z partyturami cyfrowymi.</w:t>
            </w:r>
          </w:p>
        </w:tc>
      </w:tr>
    </w:tbl>
    <w:p w:rsidR="00C86860" w:rsidRDefault="00481482">
      <w:pPr>
        <w:pStyle w:val="Nagwek3"/>
        <w:spacing w:before="360"/>
        <w:ind w:left="36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PL-Wnifc: Narodowy Instytut Fryderyka Chopina, PL-Wtm: Biblioteka Warszawskiego Towarzystwa Muzycznego, PL-Kc: Biblioteka Książąt Czartoryskich, PL-STAb: Biblioteka Opactwa Benedyktynek w Staniątkach, PL-GD: Biblioteka Gdańska Polskiej Akademii Nauk, PL-KOZmzk: Biblioteka Muzeum Zamoyskich w Kozłówce, PL-Wumfc: Biblioteka Uniwersytetu Muzycznego Fryderyka Chopina, F-Ppo: Biblioteka Polska w Paryżu, PL-Kk: Biblioteka Krakowskiej Kapituły Katedralnej.</w:t>
      </w:r>
    </w:p>
    <w:p w:rsidR="00C86860" w:rsidRDefault="0048148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p w:rsidR="00C86860" w:rsidRDefault="00C86860"/>
    <w:tbl>
      <w:tblPr>
        <w:tblStyle w:val="Tabela-Siatka3"/>
        <w:tblW w:w="9634" w:type="dxa"/>
        <w:tblInd w:w="0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C8686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C86860" w:rsidRDefault="0048148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C86860" w:rsidRDefault="00C8686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6860">
        <w:tc>
          <w:tcPr>
            <w:tcW w:w="2547" w:type="dxa"/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03-2022</w:t>
            </w:r>
          </w:p>
        </w:tc>
        <w:tc>
          <w:tcPr>
            <w:tcW w:w="1844" w:type="dxa"/>
          </w:tcPr>
          <w:p w:rsidR="00C86860" w:rsidRDefault="00C86860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</w:tcPr>
          <w:p w:rsidR="00C86860" w:rsidRDefault="0048148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 FBC</w:t>
            </w:r>
          </w:p>
          <w:p w:rsidR="00C86860" w:rsidRDefault="0048148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korzystanie/wspieranie.</w:t>
            </w:r>
          </w:p>
          <w:p w:rsidR="00C86860" w:rsidRDefault="0048148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Dane wraz z metadanymi zostaną udostępnione w serwisie Federacji Bibliotek Cyfrowych (FBC). </w:t>
            </w:r>
          </w:p>
          <w:p w:rsidR="00C86860" w:rsidRDefault="00481482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C86860" w:rsidRDefault="00C8686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C86860" w:rsidRDefault="0048148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Portal dziedzictwo chopinowskie</w:t>
            </w:r>
          </w:p>
          <w:p w:rsidR="00C86860" w:rsidRDefault="00481482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Opis zależności:</w:t>
            </w:r>
            <w:r>
              <w:rPr>
                <w:rFonts w:cstheme="minorHAnsi"/>
                <w:color w:val="000000"/>
              </w:rPr>
              <w:t xml:space="preserve"> korzystanie.</w:t>
            </w:r>
          </w:p>
          <w:p w:rsidR="00C86860" w:rsidRDefault="00481482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Portale merytorycznie uzupełniają się. Dane dotyczące twórczości Chopina stanowić będą uzupełnienie danych wytworzonych w projekcie. 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 xml:space="preserve">Status: </w:t>
            </w:r>
            <w:r>
              <w:rPr>
                <w:rFonts w:cstheme="minorHAnsi"/>
                <w:color w:val="000000"/>
              </w:rPr>
              <w:t>Projektowanie.</w:t>
            </w:r>
          </w:p>
          <w:p w:rsidR="00C86860" w:rsidRDefault="00C8686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6860" w:rsidRDefault="00481482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- RISM </w:t>
            </w:r>
          </w:p>
          <w:p w:rsidR="00C86860" w:rsidRDefault="00481482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korzystanie/wspieranie</w:t>
            </w:r>
          </w:p>
          <w:p w:rsidR="00C86860" w:rsidRDefault="00481482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Komplementarność metadanych – metadane wytworzone w projekcie uzupełniają międzynarodową bazę RISM (Reperoite International des Sources Musicales) o unikatowe zbiory polskie. Całość metadanych projektowych zapisywana jest w bazie RISM i stamtąd zostają pobierane w celu prezentacji w portalu.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Wdrażanie.</w:t>
            </w:r>
          </w:p>
          <w:p w:rsidR="00C86860" w:rsidRDefault="00C86860">
            <w:pPr>
              <w:suppressAutoHyphens/>
              <w:rPr>
                <w:rFonts w:eastAsia="Calibri" w:cstheme="minorHAnsi"/>
                <w:b/>
                <w:color w:val="000000"/>
              </w:rPr>
            </w:pPr>
          </w:p>
          <w:p w:rsidR="00C86860" w:rsidRDefault="00481482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VIAF</w:t>
            </w:r>
          </w:p>
          <w:p w:rsidR="00C86860" w:rsidRDefault="00481482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korzystanie</w:t>
            </w:r>
          </w:p>
          <w:p w:rsidR="00C86860" w:rsidRDefault="00481482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Dzięki stosowaniu słownictwa kontrolowanego VIAF (Virtual International Authority File) w bazie RISM osiągana jest komplementarność względem VIAF. 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Wdrażanie.</w:t>
            </w:r>
          </w:p>
          <w:p w:rsidR="00C86860" w:rsidRDefault="00C86860">
            <w:pPr>
              <w:suppressAutoHyphens/>
              <w:rPr>
                <w:rFonts w:eastAsia="Calibri" w:cstheme="minorHAnsi"/>
                <w:b/>
              </w:rPr>
            </w:pPr>
          </w:p>
          <w:p w:rsidR="00C86860" w:rsidRDefault="00481482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WikiMedia</w:t>
            </w:r>
          </w:p>
          <w:p w:rsidR="00C86860" w:rsidRDefault="00481482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wspieranie</w:t>
            </w:r>
          </w:p>
          <w:p w:rsidR="00C86860" w:rsidRDefault="00481482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Wybrane dane wytworzone w projekcie zostaną udostępnione także za pośrednictwem WikiMedia, co umożliwi ich wykorzystanie w serwisach takich, jak Wikipedia.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C86860" w:rsidRDefault="00C86860">
            <w:pPr>
              <w:suppressAutoHyphens/>
              <w:rPr>
                <w:rFonts w:eastAsia="Calibri" w:cstheme="minorHAnsi"/>
                <w:color w:val="000000"/>
              </w:rPr>
            </w:pPr>
          </w:p>
          <w:p w:rsidR="00C86860" w:rsidRDefault="00481482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IMSLP</w:t>
            </w:r>
          </w:p>
          <w:p w:rsidR="00C86860" w:rsidRDefault="00481482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wspieranie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Transkrypcje dzieł muzyki polskiej w formacie otwartotekstowym Humdrum oraz w formie plików pdf zostaną udostępnione na platformie IMSLP stanowiącej największą na świecie cyfrową kolekcję nut.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C86860" w:rsidRDefault="00C86860">
            <w:pPr>
              <w:suppressAutoHyphens/>
              <w:rPr>
                <w:rFonts w:eastAsia="Calibri" w:cstheme="minorHAnsi"/>
              </w:rPr>
            </w:pPr>
          </w:p>
          <w:p w:rsidR="00C86860" w:rsidRDefault="00481482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</w:rPr>
              <w:t xml:space="preserve">- </w:t>
            </w:r>
            <w:r>
              <w:rPr>
                <w:rFonts w:cstheme="minorHAnsi"/>
                <w:b/>
              </w:rPr>
              <w:t xml:space="preserve">ZenodoDOI </w:t>
            </w:r>
          </w:p>
          <w:p w:rsidR="00C86860" w:rsidRDefault="00481482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Opis zależności:</w:t>
            </w:r>
            <w:r>
              <w:rPr>
                <w:rFonts w:cstheme="minorHAnsi"/>
                <w:color w:val="000000"/>
              </w:rPr>
              <w:t xml:space="preserve"> wspieranie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Transkrypcje dzieł muzyki polskiej w formacie otwartotekstowym Humdrum oraz w formie plików pdf udostępnione za pośrednictwem serwisu GitHub (z wbudowaną kontrolą wersji plików) do repozytorium danych naukowych Zenodo.</w:t>
            </w:r>
          </w:p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>Status</w:t>
            </w:r>
            <w:r>
              <w:rPr>
                <w:rFonts w:cstheme="minorHAnsi"/>
              </w:rPr>
              <w:t>: Projektowanie.</w:t>
            </w:r>
          </w:p>
          <w:p w:rsidR="00C86860" w:rsidRDefault="00C86860">
            <w:pPr>
              <w:suppressAutoHyphens/>
              <w:rPr>
                <w:rFonts w:eastAsia="Calibri" w:cstheme="minorHAnsi"/>
                <w:b/>
              </w:rPr>
            </w:pPr>
          </w:p>
        </w:tc>
      </w:tr>
      <w:tr w:rsidR="00C86860">
        <w:tc>
          <w:tcPr>
            <w:tcW w:w="2547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API dla danych portalu</w:t>
            </w:r>
          </w:p>
        </w:tc>
        <w:tc>
          <w:tcPr>
            <w:tcW w:w="1700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C86860" w:rsidRDefault="00C86860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Status: Projektowanie. Dane komplementarne względem portalu „Dziedzictwo Chopinowskie w otwartym dostępie”.</w:t>
            </w:r>
          </w:p>
        </w:tc>
      </w:tr>
      <w:tr w:rsidR="00C86860">
        <w:tc>
          <w:tcPr>
            <w:tcW w:w="2547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C86860" w:rsidRDefault="00C86860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Status: Projektowanie. Metadane komplementarne względem portalu „Dziedzictwo Chopinowskie w otwartym dostępie”.</w:t>
            </w:r>
          </w:p>
        </w:tc>
      </w:tr>
      <w:tr w:rsidR="00C86860">
        <w:tc>
          <w:tcPr>
            <w:tcW w:w="2547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C86860" w:rsidRDefault="00C86860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C86860" w:rsidRDefault="00481482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Status: Wdrażanie. Wersja zoptymalizowana dla muzyki polskiej posiadać będzie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 w:rsidR="00C86860" w:rsidRDefault="00C86860"/>
    <w:p w:rsidR="00C86860" w:rsidRDefault="0048148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C86860" w:rsidRDefault="0048148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73"/>
        <w:gridCol w:w="1689"/>
        <w:gridCol w:w="2134"/>
        <w:gridCol w:w="2402"/>
      </w:tblGrid>
      <w:tr w:rsidR="00C86860">
        <w:trPr>
          <w:tblHeader/>
        </w:trPr>
        <w:tc>
          <w:tcPr>
            <w:tcW w:w="3272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4" w:type="dxa"/>
            <w:shd w:val="clear" w:color="auto" w:fill="D0CECE" w:themeFill="background2" w:themeFillShade="E6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2" w:type="dxa"/>
            <w:shd w:val="clear" w:color="auto" w:fill="D0CECE" w:themeFill="background2" w:themeFillShade="E6"/>
            <w:vAlign w:val="center"/>
          </w:tcPr>
          <w:p w:rsidR="00C86860" w:rsidRDefault="00481482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C86860">
        <w:tc>
          <w:tcPr>
            <w:tcW w:w="3272" w:type="dxa"/>
            <w:vAlign w:val="center"/>
          </w:tcPr>
          <w:p w:rsidR="00C86860" w:rsidRDefault="0048148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89" w:type="dxa"/>
          </w:tcPr>
          <w:p w:rsidR="00C86860" w:rsidRDefault="0048148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4" w:type="dxa"/>
          </w:tcPr>
          <w:p w:rsidR="00C86860" w:rsidRDefault="0048148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2" w:type="dxa"/>
          </w:tcPr>
          <w:p w:rsidR="00C86860" w:rsidRDefault="0048148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Opóźniony jest termin realizacji zadania digitalizacji PL-GD. Aktualnie nie ma ryzyka przekroczenia terminu ostatecznego. Działania zarządcze: wdrożenie planu rezerwowego. Spodziewane efekty: pełna realizacja zadania. Nie nastąpiła zmiana w stosunku do poprzedniego okresu sprawozdawczego – ryzyko aktywne.</w:t>
            </w:r>
          </w:p>
        </w:tc>
      </w:tr>
    </w:tbl>
    <w:p w:rsidR="00C86860" w:rsidRDefault="00481482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7"/>
        <w:gridCol w:w="1693"/>
        <w:gridCol w:w="2303"/>
        <w:gridCol w:w="2627"/>
      </w:tblGrid>
      <w:tr w:rsidR="00C86860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6860" w:rsidRDefault="004814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6860" w:rsidRDefault="004814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860" w:rsidRDefault="004814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6860" w:rsidRDefault="004814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C86860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860" w:rsidRDefault="0048148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860" w:rsidRDefault="00C8686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860" w:rsidRDefault="00C8686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860" w:rsidRDefault="00C8686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C86860" w:rsidRDefault="00481482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86860" w:rsidRDefault="00481482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C86860" w:rsidRDefault="00481482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C86860" w:rsidRDefault="004814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C86860" w:rsidRDefault="004814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C86860" w:rsidRDefault="004814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C86860" w:rsidRDefault="004814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C86860" w:rsidRDefault="00C86860">
      <w:pPr>
        <w:spacing w:after="0"/>
        <w:jc w:val="both"/>
        <w:rPr>
          <w:rFonts w:ascii="Arial" w:hAnsi="Arial" w:cs="Arial"/>
        </w:rPr>
      </w:pPr>
    </w:p>
    <w:p w:rsidR="00C86860" w:rsidRDefault="0048148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C86860" w:rsidRDefault="0048148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C86860" w:rsidRDefault="0048148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C86860" w:rsidRDefault="00481482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C86860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7B3" w:rsidRDefault="00AD37B3">
      <w:pPr>
        <w:spacing w:after="0" w:line="240" w:lineRule="auto"/>
      </w:pPr>
      <w:r>
        <w:separator/>
      </w:r>
    </w:p>
  </w:endnote>
  <w:endnote w:type="continuationSeparator" w:id="0">
    <w:p w:rsidR="00AD37B3" w:rsidRDefault="00AD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399550"/>
      <w:docPartObj>
        <w:docPartGallery w:val="Page Numbers (Top of Page)"/>
        <w:docPartUnique/>
      </w:docPartObj>
    </w:sdtPr>
    <w:sdtEndPr/>
    <w:sdtContent>
      <w:p w:rsidR="00C86860" w:rsidRDefault="00481482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629C2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C86860" w:rsidRDefault="00C868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7B3" w:rsidRDefault="00AD37B3">
      <w:pPr>
        <w:rPr>
          <w:sz w:val="12"/>
        </w:rPr>
      </w:pPr>
      <w:r>
        <w:separator/>
      </w:r>
    </w:p>
  </w:footnote>
  <w:footnote w:type="continuationSeparator" w:id="0">
    <w:p w:rsidR="00AD37B3" w:rsidRDefault="00AD37B3">
      <w:pPr>
        <w:rPr>
          <w:sz w:val="12"/>
        </w:rPr>
      </w:pPr>
      <w:r>
        <w:continuationSeparator/>
      </w:r>
    </w:p>
  </w:footnote>
  <w:footnote w:id="1">
    <w:p w:rsidR="00C86860" w:rsidRDefault="00481482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56359"/>
    <w:multiLevelType w:val="multilevel"/>
    <w:tmpl w:val="1B0873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1DB33A1"/>
    <w:multiLevelType w:val="multilevel"/>
    <w:tmpl w:val="E67A93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60"/>
    <w:rsid w:val="00311BAB"/>
    <w:rsid w:val="00481482"/>
    <w:rsid w:val="00AD37B3"/>
    <w:rsid w:val="00C86860"/>
    <w:rsid w:val="00F6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FF4F"/>
  <w15:docId w15:val="{80E7AB2E-5F51-43E1-BF3B-69CAFAAA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5D5A5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A705-94DC-4364-8839-C60E21C7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1361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3</cp:revision>
  <dcterms:created xsi:type="dcterms:W3CDTF">2021-08-18T09:49:00Z</dcterms:created>
  <dcterms:modified xsi:type="dcterms:W3CDTF">2021-08-23T10:09:00Z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