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8A3" w14:textId="721CA8A2" w:rsidR="00AD08C5" w:rsidRPr="004D093B" w:rsidRDefault="006A7DCE" w:rsidP="008C0E92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 w:rsidR="0085266F">
        <w:rPr>
          <w:rFonts w:ascii="Lato" w:hAnsi="Lato"/>
          <w:b/>
          <w:bCs/>
          <w:color w:val="00B0F0"/>
          <w:sz w:val="36"/>
          <w:szCs w:val="36"/>
          <w:u w:val="single"/>
        </w:rPr>
        <w:t>E</w:t>
      </w: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 NR </w:t>
      </w:r>
      <w:r w:rsidR="00294265">
        <w:rPr>
          <w:rFonts w:ascii="Lato" w:hAnsi="Lato"/>
          <w:b/>
          <w:bCs/>
          <w:color w:val="00B0F0"/>
          <w:sz w:val="36"/>
          <w:szCs w:val="36"/>
          <w:u w:val="single"/>
        </w:rPr>
        <w:t>71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294265">
        <w:rPr>
          <w:rFonts w:ascii="Lato" w:hAnsi="Lato"/>
          <w:b/>
          <w:bCs/>
          <w:color w:val="00B0F0"/>
          <w:sz w:val="36"/>
          <w:szCs w:val="36"/>
          <w:u w:val="single"/>
        </w:rPr>
        <w:t>WRZEŚNIA</w:t>
      </w:r>
      <w:r w:rsidR="00FB2364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202</w:t>
      </w:r>
      <w:r w:rsidR="000E3BB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3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r.)</w:t>
      </w:r>
    </w:p>
    <w:p w14:paraId="40CEDA5B" w14:textId="77777777" w:rsidR="009528E0" w:rsidRDefault="009528E0" w:rsidP="00977DE9">
      <w:pPr>
        <w:spacing w:after="120" w:line="360" w:lineRule="auto"/>
        <w:jc w:val="both"/>
        <w:rPr>
          <w:rFonts w:ascii="Lato" w:hAnsi="Lato"/>
        </w:rPr>
      </w:pPr>
    </w:p>
    <w:p w14:paraId="5EBF62B2" w14:textId="3B3A25F4" w:rsidR="00977DE9" w:rsidRDefault="00977DE9" w:rsidP="00977DE9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Od początku roku 2023, finansowaniem ze środków publicznych zostało objętych </w:t>
      </w:r>
      <w:r w:rsidR="00CF351E">
        <w:rPr>
          <w:rFonts w:ascii="Lato" w:hAnsi="Lato"/>
          <w:b/>
          <w:bCs/>
        </w:rPr>
        <w:t>119</w:t>
      </w:r>
      <w:r>
        <w:rPr>
          <w:rFonts w:ascii="Lato" w:hAnsi="Lato"/>
          <w:b/>
          <w:bCs/>
        </w:rPr>
        <w:t xml:space="preserve"> nowych cząsteczko – wskazań</w:t>
      </w:r>
      <w:r>
        <w:rPr>
          <w:rFonts w:ascii="Lato" w:hAnsi="Lato"/>
        </w:rPr>
        <w:t>, w tym:</w:t>
      </w:r>
    </w:p>
    <w:p w14:paraId="6F3A3807" w14:textId="6433A7FD" w:rsidR="00977DE9" w:rsidRDefault="00CF351E" w:rsidP="00977DE9">
      <w:pPr>
        <w:pStyle w:val="Akapitzlist"/>
        <w:numPr>
          <w:ilvl w:val="0"/>
          <w:numId w:val="29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60</w:t>
      </w:r>
      <w:r w:rsidR="00977DE9">
        <w:rPr>
          <w:rFonts w:ascii="Lato" w:hAnsi="Lato"/>
        </w:rPr>
        <w:t xml:space="preserve"> cząsteczko – wskazań onkologicznych,</w:t>
      </w:r>
    </w:p>
    <w:p w14:paraId="27845DEE" w14:textId="722576B7" w:rsidR="00977DE9" w:rsidRDefault="00977DE9" w:rsidP="00977DE9">
      <w:pPr>
        <w:pStyle w:val="Akapitzlist"/>
        <w:numPr>
          <w:ilvl w:val="0"/>
          <w:numId w:val="29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5</w:t>
      </w:r>
      <w:r w:rsidR="00CF351E">
        <w:rPr>
          <w:rFonts w:ascii="Lato" w:hAnsi="Lato"/>
        </w:rPr>
        <w:t>9</w:t>
      </w:r>
      <w:r>
        <w:rPr>
          <w:rFonts w:ascii="Lato" w:hAnsi="Lato"/>
        </w:rPr>
        <w:t xml:space="preserve"> cząsteczko - wskazań nieonkologicznych,</w:t>
      </w:r>
    </w:p>
    <w:p w14:paraId="1C1430D4" w14:textId="47CDEB1F" w:rsidR="00977DE9" w:rsidRPr="00A966A7" w:rsidRDefault="00977DE9" w:rsidP="00977DE9">
      <w:pPr>
        <w:pStyle w:val="Akapitzlist"/>
        <w:numPr>
          <w:ilvl w:val="0"/>
          <w:numId w:val="29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3</w:t>
      </w:r>
      <w:r w:rsidR="00CF351E">
        <w:rPr>
          <w:rFonts w:ascii="Lato" w:hAnsi="Lato"/>
        </w:rPr>
        <w:t>8</w:t>
      </w:r>
      <w:r>
        <w:rPr>
          <w:rFonts w:ascii="Lato" w:hAnsi="Lato"/>
        </w:rPr>
        <w:t xml:space="preserve"> cząsteczko - wskazań dedykowanych chorobom rzadkim.</w:t>
      </w:r>
    </w:p>
    <w:p w14:paraId="2D082B92" w14:textId="77777777" w:rsidR="009528E0" w:rsidRPr="009528E0" w:rsidRDefault="009528E0" w:rsidP="0085266F">
      <w:pPr>
        <w:spacing w:line="276" w:lineRule="auto"/>
        <w:jc w:val="both"/>
        <w:rPr>
          <w:rFonts w:ascii="Lato" w:hAnsi="Lato"/>
          <w:color w:val="000000" w:themeColor="text1"/>
          <w:sz w:val="10"/>
          <w:szCs w:val="10"/>
        </w:rPr>
      </w:pPr>
    </w:p>
    <w:p w14:paraId="73CD0B53" w14:textId="3AECE489" w:rsidR="0085266F" w:rsidRPr="009528E0" w:rsidRDefault="0085266F" w:rsidP="0085266F">
      <w:pPr>
        <w:spacing w:line="276" w:lineRule="auto"/>
        <w:jc w:val="both"/>
        <w:rPr>
          <w:rFonts w:ascii="Lato" w:hAnsi="Lato"/>
          <w:color w:val="000000" w:themeColor="text1"/>
        </w:rPr>
      </w:pPr>
      <w:r w:rsidRPr="009528E0">
        <w:rPr>
          <w:rFonts w:ascii="Lato" w:hAnsi="Lato"/>
          <w:color w:val="000000" w:themeColor="text1"/>
        </w:rPr>
        <w:t>Obwieszczenie refundacyjne obowiązujące od 1 września 2023 r. (nr 71), w porównaniu do obwieszczenia 70 zawiera następujące zmiany:</w:t>
      </w:r>
    </w:p>
    <w:p w14:paraId="1C38531C" w14:textId="452C52CF" w:rsidR="0085266F" w:rsidRPr="00686AC2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686AC2">
        <w:rPr>
          <w:rFonts w:ascii="Lato" w:hAnsi="Lato"/>
        </w:rPr>
        <w:t>W związku z wydaniem pozytywnych decyzji o objęciu refundacją ogółem do wykazu został</w:t>
      </w:r>
      <w:r w:rsidR="00686AC2">
        <w:rPr>
          <w:rFonts w:ascii="Lato" w:hAnsi="Lato"/>
        </w:rPr>
        <w:t>o</w:t>
      </w:r>
      <w:r w:rsidRPr="00686AC2">
        <w:rPr>
          <w:rFonts w:ascii="Lato" w:hAnsi="Lato"/>
        </w:rPr>
        <w:t xml:space="preserve"> dodan</w:t>
      </w:r>
      <w:r w:rsidR="00686AC2">
        <w:rPr>
          <w:rFonts w:ascii="Lato" w:hAnsi="Lato"/>
        </w:rPr>
        <w:t>ych</w:t>
      </w:r>
      <w:r w:rsidRPr="00686AC2">
        <w:rPr>
          <w:rFonts w:ascii="Lato" w:hAnsi="Lato"/>
        </w:rPr>
        <w:t xml:space="preserve"> </w:t>
      </w:r>
      <w:r w:rsidR="00686AC2" w:rsidRPr="00686AC2">
        <w:rPr>
          <w:rFonts w:ascii="Lato" w:hAnsi="Lato"/>
        </w:rPr>
        <w:t>86</w:t>
      </w:r>
      <w:r w:rsidRPr="00686AC2">
        <w:rPr>
          <w:rFonts w:ascii="Lato" w:hAnsi="Lato"/>
        </w:rPr>
        <w:t xml:space="preserve"> produkt</w:t>
      </w:r>
      <w:r w:rsidR="00686AC2" w:rsidRPr="00686AC2">
        <w:rPr>
          <w:rFonts w:ascii="Lato" w:hAnsi="Lato"/>
        </w:rPr>
        <w:t>ów</w:t>
      </w:r>
      <w:r w:rsidRPr="00686AC2">
        <w:rPr>
          <w:rFonts w:ascii="Lato" w:hAnsi="Lato"/>
        </w:rPr>
        <w:t xml:space="preserve"> bądź now</w:t>
      </w:r>
      <w:r w:rsidR="00686AC2" w:rsidRPr="00686AC2">
        <w:rPr>
          <w:rFonts w:ascii="Lato" w:hAnsi="Lato"/>
        </w:rPr>
        <w:t>ych</w:t>
      </w:r>
      <w:r w:rsidRPr="00686AC2">
        <w:rPr>
          <w:rFonts w:ascii="Lato" w:hAnsi="Lato"/>
        </w:rPr>
        <w:t xml:space="preserve"> wskaza</w:t>
      </w:r>
      <w:r w:rsidR="00686AC2" w:rsidRPr="00686AC2">
        <w:rPr>
          <w:rFonts w:ascii="Lato" w:hAnsi="Lato"/>
        </w:rPr>
        <w:t>ń</w:t>
      </w:r>
      <w:r w:rsidRPr="00686AC2">
        <w:rPr>
          <w:rFonts w:ascii="Lato" w:hAnsi="Lato"/>
        </w:rPr>
        <w:t>.</w:t>
      </w:r>
    </w:p>
    <w:p w14:paraId="37D918A3" w14:textId="7AF7F13A" w:rsidR="0085266F" w:rsidRPr="00686AC2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686AC2">
        <w:rPr>
          <w:rFonts w:ascii="Lato" w:hAnsi="Lato"/>
        </w:rPr>
        <w:t xml:space="preserve">Dla </w:t>
      </w:r>
      <w:r w:rsidR="00686AC2" w:rsidRPr="00686AC2">
        <w:rPr>
          <w:rFonts w:ascii="Lato" w:hAnsi="Lato"/>
        </w:rPr>
        <w:t>93</w:t>
      </w:r>
      <w:r w:rsidRPr="00686AC2">
        <w:rPr>
          <w:rFonts w:ascii="Lato" w:hAnsi="Lato"/>
        </w:rPr>
        <w:t xml:space="preserve"> produktów wprowadzono obniżki urzędowych cen zbytu (od </w:t>
      </w:r>
      <w:r w:rsidR="00686AC2" w:rsidRPr="00686AC2">
        <w:rPr>
          <w:rFonts w:ascii="Lato" w:hAnsi="Lato"/>
        </w:rPr>
        <w:t>0,01</w:t>
      </w:r>
      <w:r w:rsidRPr="00686AC2">
        <w:rPr>
          <w:rFonts w:ascii="Lato" w:hAnsi="Lato"/>
        </w:rPr>
        <w:t xml:space="preserve"> zł do </w:t>
      </w:r>
      <w:r w:rsidR="00686AC2" w:rsidRPr="00686AC2">
        <w:rPr>
          <w:rFonts w:ascii="Lato" w:hAnsi="Lato"/>
        </w:rPr>
        <w:t>7</w:t>
      </w:r>
      <w:r w:rsidR="00686AC2">
        <w:rPr>
          <w:rFonts w:ascii="Lato" w:hAnsi="Lato"/>
        </w:rPr>
        <w:t> </w:t>
      </w:r>
      <w:r w:rsidR="00686AC2" w:rsidRPr="00686AC2">
        <w:rPr>
          <w:rFonts w:ascii="Lato" w:hAnsi="Lato"/>
        </w:rPr>
        <w:t xml:space="preserve">359,12 </w:t>
      </w:r>
      <w:r w:rsidRPr="00686AC2">
        <w:rPr>
          <w:rFonts w:ascii="Lato" w:hAnsi="Lato"/>
        </w:rPr>
        <w:t>zł).</w:t>
      </w:r>
    </w:p>
    <w:p w14:paraId="1E92F949" w14:textId="7881DA90" w:rsidR="0085266F" w:rsidRPr="00686AC2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686AC2">
        <w:rPr>
          <w:rFonts w:ascii="Lato" w:hAnsi="Lato"/>
        </w:rPr>
        <w:t xml:space="preserve">Dla </w:t>
      </w:r>
      <w:r w:rsidR="00686AC2" w:rsidRPr="00686AC2">
        <w:rPr>
          <w:rFonts w:ascii="Lato" w:hAnsi="Lato"/>
        </w:rPr>
        <w:t>47</w:t>
      </w:r>
      <w:r w:rsidRPr="00686AC2">
        <w:rPr>
          <w:rFonts w:ascii="Lato" w:hAnsi="Lato"/>
        </w:rPr>
        <w:t xml:space="preserve"> produktów podwyższono urzędowe ceny zbytu (od </w:t>
      </w:r>
      <w:r w:rsidR="00686AC2" w:rsidRPr="00686AC2">
        <w:rPr>
          <w:rFonts w:ascii="Lato" w:hAnsi="Lato"/>
        </w:rPr>
        <w:t>0,41</w:t>
      </w:r>
      <w:r w:rsidRPr="00686AC2">
        <w:rPr>
          <w:rFonts w:ascii="Lato" w:hAnsi="Lato"/>
        </w:rPr>
        <w:t xml:space="preserve"> zł do </w:t>
      </w:r>
      <w:r w:rsidR="00686AC2" w:rsidRPr="00686AC2">
        <w:rPr>
          <w:rFonts w:ascii="Lato" w:hAnsi="Lato"/>
        </w:rPr>
        <w:t xml:space="preserve">266,39 </w:t>
      </w:r>
      <w:r w:rsidRPr="00686AC2">
        <w:rPr>
          <w:rFonts w:ascii="Lato" w:hAnsi="Lato"/>
        </w:rPr>
        <w:t>zł).</w:t>
      </w:r>
    </w:p>
    <w:p w14:paraId="077237B8" w14:textId="484C549D" w:rsidR="0085266F" w:rsidRPr="00970F7A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970F7A">
        <w:rPr>
          <w:rFonts w:ascii="Lato" w:hAnsi="Lato"/>
        </w:rPr>
        <w:t xml:space="preserve">Dla </w:t>
      </w:r>
      <w:r w:rsidR="00970F7A" w:rsidRPr="00970F7A">
        <w:rPr>
          <w:rFonts w:ascii="Lato" w:hAnsi="Lato"/>
        </w:rPr>
        <w:t>637</w:t>
      </w:r>
      <w:r w:rsidRPr="00970F7A">
        <w:rPr>
          <w:rFonts w:ascii="Lato" w:hAnsi="Lato"/>
        </w:rPr>
        <w:t xml:space="preserve"> pozycji w obwieszczeniu spadnie dopłata pacjenta (od </w:t>
      </w:r>
      <w:r w:rsidR="00970F7A" w:rsidRPr="00970F7A">
        <w:rPr>
          <w:rFonts w:ascii="Lato" w:hAnsi="Lato"/>
        </w:rPr>
        <w:t>0,01</w:t>
      </w:r>
      <w:r w:rsidRPr="00970F7A">
        <w:rPr>
          <w:rFonts w:ascii="Lato" w:hAnsi="Lato"/>
        </w:rPr>
        <w:t xml:space="preserve"> zł do </w:t>
      </w:r>
      <w:r w:rsidR="00970F7A" w:rsidRPr="00970F7A">
        <w:rPr>
          <w:rFonts w:ascii="Lato" w:hAnsi="Lato"/>
        </w:rPr>
        <w:t xml:space="preserve">65,23 </w:t>
      </w:r>
      <w:r w:rsidRPr="00970F7A">
        <w:rPr>
          <w:rFonts w:ascii="Lato" w:hAnsi="Lato"/>
        </w:rPr>
        <w:t>zł).</w:t>
      </w:r>
    </w:p>
    <w:p w14:paraId="43D04B49" w14:textId="24EDF7D8" w:rsidR="0085266F" w:rsidRPr="00970F7A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970F7A">
        <w:rPr>
          <w:rFonts w:ascii="Lato" w:hAnsi="Lato"/>
        </w:rPr>
        <w:t xml:space="preserve">Dla </w:t>
      </w:r>
      <w:r w:rsidR="00970F7A" w:rsidRPr="00970F7A">
        <w:rPr>
          <w:rFonts w:ascii="Lato" w:hAnsi="Lato"/>
        </w:rPr>
        <w:t>694</w:t>
      </w:r>
      <w:r w:rsidRPr="00970F7A">
        <w:rPr>
          <w:rFonts w:ascii="Lato" w:hAnsi="Lato"/>
        </w:rPr>
        <w:t xml:space="preserve"> pozycji w obwieszczeniu wzrośnie dopłata pacjenta (od </w:t>
      </w:r>
      <w:r w:rsidR="00970F7A" w:rsidRPr="00970F7A">
        <w:rPr>
          <w:rFonts w:ascii="Lato" w:hAnsi="Lato"/>
        </w:rPr>
        <w:t>0,01</w:t>
      </w:r>
      <w:r w:rsidRPr="00970F7A">
        <w:rPr>
          <w:rFonts w:ascii="Lato" w:hAnsi="Lato"/>
        </w:rPr>
        <w:t xml:space="preserve"> zł do </w:t>
      </w:r>
      <w:r w:rsidR="00970F7A" w:rsidRPr="00970F7A">
        <w:rPr>
          <w:rFonts w:ascii="Lato" w:hAnsi="Lato"/>
        </w:rPr>
        <w:t xml:space="preserve">452,70 </w:t>
      </w:r>
      <w:r w:rsidRPr="00970F7A">
        <w:rPr>
          <w:rFonts w:ascii="Lato" w:hAnsi="Lato"/>
        </w:rPr>
        <w:t>zł).</w:t>
      </w:r>
    </w:p>
    <w:p w14:paraId="28E50743" w14:textId="06969CCC" w:rsidR="0085266F" w:rsidRPr="00970F7A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970F7A">
        <w:rPr>
          <w:rFonts w:ascii="Lato" w:hAnsi="Lato"/>
        </w:rPr>
        <w:t xml:space="preserve">Dla </w:t>
      </w:r>
      <w:r w:rsidR="00970F7A" w:rsidRPr="00970F7A">
        <w:rPr>
          <w:rFonts w:ascii="Lato" w:hAnsi="Lato"/>
        </w:rPr>
        <w:t>363</w:t>
      </w:r>
      <w:r w:rsidRPr="00970F7A">
        <w:rPr>
          <w:rFonts w:ascii="Lato" w:hAnsi="Lato"/>
        </w:rPr>
        <w:t xml:space="preserve"> produktów ulegną obniżeniu ceny detaliczne brutto (od </w:t>
      </w:r>
      <w:r w:rsidR="00970F7A">
        <w:rPr>
          <w:rFonts w:ascii="Lato" w:hAnsi="Lato"/>
        </w:rPr>
        <w:t>0,01</w:t>
      </w:r>
      <w:r w:rsidRPr="00970F7A">
        <w:rPr>
          <w:rFonts w:ascii="Lato" w:hAnsi="Lato"/>
        </w:rPr>
        <w:t xml:space="preserve"> zł do </w:t>
      </w:r>
      <w:r w:rsidR="00970F7A" w:rsidRPr="00970F7A">
        <w:rPr>
          <w:rFonts w:ascii="Lato" w:hAnsi="Lato"/>
        </w:rPr>
        <w:t>334,52</w:t>
      </w:r>
      <w:r w:rsidR="00970F7A">
        <w:rPr>
          <w:rFonts w:ascii="Lato" w:hAnsi="Lato"/>
        </w:rPr>
        <w:t xml:space="preserve"> </w:t>
      </w:r>
      <w:r w:rsidRPr="00970F7A">
        <w:rPr>
          <w:rFonts w:ascii="Lato" w:hAnsi="Lato"/>
        </w:rPr>
        <w:t>zł).</w:t>
      </w:r>
    </w:p>
    <w:p w14:paraId="755463B6" w14:textId="69173A35" w:rsidR="0085266F" w:rsidRPr="00093AC4" w:rsidRDefault="0085266F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93AC4">
        <w:rPr>
          <w:rFonts w:ascii="Lato" w:hAnsi="Lato"/>
        </w:rPr>
        <w:t xml:space="preserve">Dla </w:t>
      </w:r>
      <w:r w:rsidR="00970F7A" w:rsidRPr="00093AC4">
        <w:rPr>
          <w:rFonts w:ascii="Lato" w:hAnsi="Lato"/>
        </w:rPr>
        <w:t>665</w:t>
      </w:r>
      <w:r w:rsidRPr="00093AC4">
        <w:rPr>
          <w:rFonts w:ascii="Lato" w:hAnsi="Lato"/>
        </w:rPr>
        <w:t xml:space="preserve"> produktów wzrosną ceny detaliczne brutto (od </w:t>
      </w:r>
      <w:r w:rsidR="00970F7A" w:rsidRPr="00093AC4">
        <w:rPr>
          <w:rFonts w:ascii="Lato" w:hAnsi="Lato"/>
        </w:rPr>
        <w:t>0,01</w:t>
      </w:r>
      <w:r w:rsidRPr="00093AC4">
        <w:rPr>
          <w:rFonts w:ascii="Lato" w:hAnsi="Lato"/>
        </w:rPr>
        <w:t xml:space="preserve"> zł do </w:t>
      </w:r>
      <w:r w:rsidR="00970F7A" w:rsidRPr="00093AC4">
        <w:rPr>
          <w:rFonts w:ascii="Lato" w:hAnsi="Lato"/>
        </w:rPr>
        <w:t xml:space="preserve">23,93 </w:t>
      </w:r>
      <w:r w:rsidRPr="00093AC4">
        <w:rPr>
          <w:rFonts w:ascii="Lato" w:hAnsi="Lato"/>
        </w:rPr>
        <w:t>zł).</w:t>
      </w:r>
    </w:p>
    <w:p w14:paraId="3FC1BC3E" w14:textId="4196B6CA" w:rsidR="009528E0" w:rsidRPr="00093AC4" w:rsidRDefault="009528E0" w:rsidP="0085266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093AC4">
        <w:rPr>
          <w:rFonts w:ascii="Lato" w:hAnsi="Lato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093AC4" w:rsidRPr="00093AC4">
        <w:rPr>
          <w:rFonts w:ascii="Lato" w:hAnsi="Lato"/>
        </w:rPr>
        <w:t>47</w:t>
      </w:r>
      <w:r w:rsidRPr="00093AC4">
        <w:rPr>
          <w:rFonts w:ascii="Lato" w:hAnsi="Lato"/>
        </w:rPr>
        <w:t xml:space="preserve"> produktów bądź wskazań figurujących w poprzednim obwieszczeniu.</w:t>
      </w:r>
    </w:p>
    <w:p w14:paraId="6AE421D1" w14:textId="508AB904" w:rsidR="00CF351E" w:rsidRDefault="004D093B" w:rsidP="009528E0">
      <w:pPr>
        <w:suppressAutoHyphens w:val="0"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F351E">
        <w:rPr>
          <w:rFonts w:ascii="Lato" w:hAnsi="Lato"/>
          <w:sz w:val="24"/>
          <w:szCs w:val="24"/>
        </w:rPr>
        <w:br w:type="page"/>
      </w:r>
      <w:r w:rsidR="00CF351E">
        <w:rPr>
          <w:noProof/>
        </w:rPr>
        <w:lastRenderedPageBreak/>
        <w:drawing>
          <wp:inline distT="0" distB="0" distL="0" distR="0" wp14:anchorId="7F7E2517" wp14:editId="1C09EE1D">
            <wp:extent cx="4468633" cy="2905125"/>
            <wp:effectExtent l="0" t="0" r="8255" b="952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F351E">
        <w:rPr>
          <w:rFonts w:ascii="Lato" w:hAnsi="Lato"/>
          <w:sz w:val="24"/>
          <w:szCs w:val="24"/>
        </w:rPr>
        <w:t xml:space="preserve"> </w:t>
      </w:r>
      <w:r w:rsidR="00CF351E">
        <w:rPr>
          <w:noProof/>
        </w:rPr>
        <w:drawing>
          <wp:inline distT="0" distB="0" distL="0" distR="0" wp14:anchorId="6ACDEFBA" wp14:editId="2B46C824">
            <wp:extent cx="4381169" cy="2914650"/>
            <wp:effectExtent l="0" t="0" r="635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394F58" w14:textId="0BC68AE7" w:rsidR="00350CC6" w:rsidRDefault="00CF351E" w:rsidP="00D46ECD">
      <w:pPr>
        <w:suppressAutoHyphens w:val="0"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0634C1FB" wp14:editId="3DFDD3AE">
            <wp:extent cx="4468495" cy="2838616"/>
            <wp:effectExtent l="0" t="0" r="8255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04CD5D" wp14:editId="038223F3">
            <wp:extent cx="4380865" cy="2834071"/>
            <wp:effectExtent l="0" t="0" r="635" b="444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50CC6">
        <w:rPr>
          <w:rFonts w:ascii="Lato" w:hAnsi="Lato"/>
          <w:sz w:val="24"/>
          <w:szCs w:val="24"/>
        </w:rPr>
        <w:t xml:space="preserve"> </w:t>
      </w:r>
      <w:r w:rsidR="00350CC6"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4D093B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4D093B" w14:paraId="7E2E9B6A" w14:textId="77777777" w:rsidTr="00294265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294265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EE5277" w:rsidRPr="004D093B" w14:paraId="1F4280B1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51FF0EA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06DDD5A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Lorviqua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42A2F3A3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lorlat</w:t>
            </w:r>
            <w:r w:rsid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</w:t>
            </w:r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0734782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02F2CBB6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18DAA9EE" w:rsidR="00EE5277" w:rsidRPr="00946C5F" w:rsidRDefault="001E4A45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pacjentów z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NDRP z mutacją w genie ALK (chorzy wcześniej nie poddawani systemowemu leczeniu z powodu zaawansowanego nowotworu).</w:t>
            </w:r>
          </w:p>
        </w:tc>
      </w:tr>
      <w:tr w:rsidR="00EE5277" w:rsidRPr="004D093B" w14:paraId="5A345E23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1BCDCC89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6E50232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Lumykras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1362A3A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sotorasib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4A2C448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1F4D1415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4F5" w14:textId="34F2AC9E" w:rsidR="00EE5277" w:rsidRPr="00946C5F" w:rsidRDefault="001E4A45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II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kolejne linie leczenia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pacjentów z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NDRP z mutacją G12C w genie KRAS  po niepowodzeniu co najmniej jednej wcześniejszej linii leczenia systemowego.</w:t>
            </w:r>
          </w:p>
        </w:tc>
      </w:tr>
      <w:tr w:rsidR="00EE5277" w:rsidRPr="004D093B" w14:paraId="2F304C7B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5DF373DC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34200626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4B98BEBD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3DDA37D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779C40FD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701B6D29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całkowitej resekcji i chemioterapii 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opartej na związkach platyny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u dorosłych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NDRP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 wysokim ryzyku wystąpienia nawrotu, u których w tkance nowotworowej ekspresja PD-L1 wynosi ≥50% na komórkach guza.</w:t>
            </w:r>
          </w:p>
        </w:tc>
      </w:tr>
      <w:tr w:rsidR="00EE5277" w:rsidRPr="004D093B" w14:paraId="41B567AC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147CA70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43063CD4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61585B9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15BDBF9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2B6CC02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NERKI (ICD-10: C64)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5F9EA12C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adjuwantowe po zabiegu nefrektomii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dorosłych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rakiem nerki.</w:t>
            </w:r>
          </w:p>
        </w:tc>
      </w:tr>
      <w:tr w:rsidR="00EE5277" w:rsidRPr="004D093B" w14:paraId="4193F70D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45429850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35360937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Tecartus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750C64D5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breksukabtagen</w:t>
            </w:r>
            <w:proofErr w:type="spellEnd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autoleucel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7785481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4F2CBA2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6DB7" w14:textId="35C8C183" w:rsidR="005E3DB9" w:rsidRDefault="00280144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lub kolejne linie leczenia terapią </w:t>
            </w:r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CAR-T 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(</w:t>
            </w:r>
            <w:proofErr w:type="spellStart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breksukabtagen</w:t>
            </w:r>
            <w:proofErr w:type="spellEnd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autoleucel</w:t>
            </w:r>
            <w:proofErr w:type="spellEnd"/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 opornym lub nawrotowym </w:t>
            </w:r>
            <w:proofErr w:type="spellStart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chłoniakiem</w:t>
            </w:r>
            <w:proofErr w:type="spellEnd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z komórek płaszcza (MCL)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którzy uprzednio otrzymali co najmniej dwie linie leczenia systemowego, w tym inhibitor kinazy tyrozynowej </w:t>
            </w:r>
            <w:proofErr w:type="spellStart"/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Brutona</w:t>
            </w:r>
            <w:proofErr w:type="spellEnd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C75D696" w14:textId="77777777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5966388A" w14:textId="443AD172" w:rsidR="00EE5277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  <w:tr w:rsidR="00EE5277" w:rsidRPr="004D093B" w14:paraId="34137848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15976FC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6B04CC80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322647D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019F720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5CE7403A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4C9F" w14:textId="2E97D34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proofErr w:type="spellEnd"/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z rakiem przełyku (płaskonabłonkowym lub gruczołowym) lub połączenia żołądkowo-przełykowego, z chorobą resztkową, po wcześniejszej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chemioradioterapii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neoadjuwantowej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65CA776D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9EFB" w14:textId="7F54634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FF90" w14:textId="448569A2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253C" w14:textId="1D69004F" w:rsidR="000A6A4A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342F" w14:textId="603DA885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AA31" w14:textId="3876DDA5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FFB5" w14:textId="4F065C7A" w:rsidR="000A6A4A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skojarzoną opartą na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(5FU) i pochodnej platyny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oksaliplatynie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kapecytabinie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według schematu CAPOX lub FOLFOX) dorosłych pacjentów z HER2-ujemnym zaawansowanym lub przerzutowym gruczolakorakiem przełyku, połączenia żołądkowo-przełykowego lub żołądka z ekspresją PD-L1 wg skali CPS ≥ 5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79F6918C" w14:textId="77777777" w:rsidTr="00094F94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1F81CA7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0FE8A39A" w:rsidR="000A6A4A" w:rsidRPr="00946C5F" w:rsidRDefault="000A6A4A" w:rsidP="00EC27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+</w:t>
            </w:r>
            <w:r w:rsidR="00EC27E5"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Yervoy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7B9550CB" w:rsidR="000A6A4A" w:rsidRPr="00946C5F" w:rsidRDefault="000A6A4A" w:rsidP="00EC27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+</w:t>
            </w:r>
            <w:r w:rsidR="00EC27E5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ipilimumab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2FC4388A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15B9DB8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514239E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 leczenia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zawierającą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pochodną platyny albo z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ipilimumabem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z zaawansowanym nieoperacyjnym, nawrotowym lub przerzutowym płaskonabłonkowym rakiem przełyku z ekspresją PD-L1 ≥ 1%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2EAEEA58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2062AE1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0F33693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Lonsurf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42592BD7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triflurydyna</w:t>
            </w:r>
            <w:proofErr w:type="spellEnd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typiracyl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71F3B96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2E1CD6F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EFD" w14:textId="74B570D2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triflurydyną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typiracylem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z gruczolakorakiem żołądka lub połączenia żołądkowo-przełykowego w stadium uogólnionym, u których udokumentowano  nieskuteczność dwóch wcześniejszych standardowych schematów leczenia choroby zaawansowanej, w tym obejmujących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platynę i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taksany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irynotekan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010C7C76" w14:textId="77777777" w:rsidTr="000F5E0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E46E" w14:textId="1D38E447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A40" w14:textId="1655071D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Retsevmo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4598" w14:textId="7812B11B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0F5E0B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selpercetynib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93EF" w14:textId="00D455AE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B.108.FM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2F1B" w14:textId="6CE798B3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RDZENIASTYM TARCZYCY (ICD-10: C73)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F67B" w14:textId="5D990DDF" w:rsidR="000A6A4A" w:rsidRPr="000F5E0B" w:rsidRDefault="000A6A4A" w:rsidP="006006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linia leczenia pacjentów z zaawansowanym rakiem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rdzeniastym</w:t>
            </w:r>
            <w:proofErr w:type="spellEnd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tarczycy z obecnością fuzji genu RET, którzy wymagają terapii systemowej po wcześniejszym leczeniu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wandetanibem</w:t>
            </w:r>
            <w:proofErr w:type="spellEnd"/>
            <w:r w:rsidR="006006C8"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kabozantynibem</w:t>
            </w:r>
            <w:proofErr w:type="spellEnd"/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9ED9F03" w14:textId="622AE351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0201259C" w14:textId="00215605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  <w:tr w:rsidR="000A6A4A" w:rsidRPr="004D093B" w14:paraId="0CE4DE4F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CB61" w14:textId="39EA1E8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11.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FF15" w14:textId="55E1059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Jemperli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755" w14:textId="349F76C0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dostarlimab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E7B7" w14:textId="649B6CE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B.148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73F" w14:textId="39ACD85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ENDOMETRIUM (ICD-10 C54)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9577" w14:textId="5C0F5DBC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pacjentek z nawrotowym lub zaawansowanym rakiem endometrium z upośledzeniem naprawy nieprawidłowo sparowanych nukleotydów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dMMR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wysoką niestabilnością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mikrosatelitarną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(MSI-H).</w:t>
            </w:r>
          </w:p>
        </w:tc>
      </w:tr>
      <w:tr w:rsidR="000A6A4A" w:rsidRPr="004D093B" w14:paraId="31F8CB73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B759" w14:textId="67FA912A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69A" w14:textId="129FDE3D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Jakavi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308C" w14:textId="1A1D85C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ruksolitynib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3318" w14:textId="79A2F9C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B.149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718" w14:textId="7C559EE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PRZESZCZEP PRZECIWKO GOSPODARZOWI (ICD-10: T86.0)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2E08" w14:textId="73E2A4FD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ruksolitynibem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od 12 roku życia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ostrą lub przewlekłą chorobą przeszczep przeciwko gospodarzowi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GvHD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 po przeszczepieniu allogenicznych krwiotwórczych komórek macierzystych i z niewystarczającą odpowiedzią na leczenie kortykosteroidami.</w:t>
            </w:r>
          </w:p>
          <w:p w14:paraId="1EAB701D" w14:textId="7055E8C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A6A4A" w:rsidRPr="004D093B" w14:paraId="33CFF744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ACD0" w14:textId="6867CC86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sz w:val="18"/>
                <w:szCs w:val="18"/>
              </w:rPr>
              <w:t>13.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74AB" w14:textId="4B75F2A3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handlowe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7413" w14:textId="07FDF17B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karboplatyna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E055" w14:textId="7E7F0713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F824" w14:textId="077782CE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CARBOPLATIN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8AA3" w14:textId="434DABF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finasowaniem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karboplatyny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nowotworach przełyku – wszystkie lokalizacje (ICD-10 C.15.) wraz z usunięciem dotychczasowego zawężenia wskazania.</w:t>
            </w:r>
          </w:p>
          <w:p w14:paraId="11F66010" w14:textId="5BD6883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A6A4A" w:rsidRPr="004D093B" w14:paraId="756ABD69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CB67" w14:textId="74E92DA7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sz w:val="18"/>
                <w:szCs w:val="18"/>
              </w:rPr>
              <w:t>14.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11A0" w14:textId="0964B3D9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ED7C" w14:textId="33004804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paklitaksel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7707" w14:textId="0CF50F3E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C.47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1E3D" w14:textId="6715346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PACLITAXEL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3F0C" w14:textId="1C52C000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finasowaniem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paklitakselu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nowotworach przełyku- wszystkie lokalizacje  (ICD-10 C.15.) wraz z usunięciem dotychczasowego zawężenia wskazania oraz dodanie możliwości finasowania podania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paklitakselu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terapii </w:t>
            </w:r>
            <w:r w:rsidR="00A26660"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nowotwor</w:t>
            </w:r>
            <w:r w:rsidR="00A26660">
              <w:rPr>
                <w:rFonts w:ascii="Lato" w:hAnsi="Lato" w:cstheme="majorHAnsi"/>
                <w:color w:val="000000"/>
                <w:sz w:val="18"/>
                <w:szCs w:val="18"/>
              </w:rPr>
              <w:t>ów</w:t>
            </w: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złośliwy</w:t>
            </w:r>
            <w:r w:rsidR="00A26660">
              <w:rPr>
                <w:rFonts w:ascii="Lato" w:hAnsi="Lato" w:cstheme="majorHAnsi"/>
                <w:color w:val="000000"/>
                <w:sz w:val="18"/>
                <w:szCs w:val="18"/>
              </w:rPr>
              <w:t>ch</w:t>
            </w: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odbytu i kanału odbytu (ICD-10 C21).</w:t>
            </w:r>
          </w:p>
          <w:p w14:paraId="0C92C3B5" w14:textId="1D087CEA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14:paraId="7FCF9A29" w14:textId="47BB4985" w:rsidR="004D093B" w:rsidRDefault="004D093B">
      <w:pPr>
        <w:suppressAutoHyphens w:val="0"/>
      </w:pPr>
    </w:p>
    <w:p w14:paraId="6001BBB2" w14:textId="77777777" w:rsidR="004762AF" w:rsidRDefault="004762AF">
      <w:pPr>
        <w:suppressAutoHyphens w:val="0"/>
      </w:pP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EE5277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2D6ED9" w:rsidRPr="004D093B" w14:paraId="1394CD71" w14:textId="77777777" w:rsidTr="00EE5277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280144" w:rsidRPr="004D093B" w14:paraId="4F7A55A3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1E6D" w14:textId="1BCF0105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FA29" w14:textId="6F66E75E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sz w:val="18"/>
                <w:szCs w:val="18"/>
              </w:rPr>
              <w:t>Evrenzo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EA6E" w14:textId="59C6F716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sz w:val="18"/>
                <w:szCs w:val="18"/>
              </w:rPr>
              <w:t>roksadustat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819C" w14:textId="4101DD3C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B.37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2341" w14:textId="77777777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NIEDOKRWISTOŚCI U CHORYCH Z PRZEWLEKŁĄ NIEWYDOLNOŚCIĄ NEREK </w:t>
            </w:r>
          </w:p>
          <w:p w14:paraId="0D201D0F" w14:textId="7E027A5B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(ICD-10: N18)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84B2" w14:textId="401CFE1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niedokrwistości u pacjentów z przewlekłą niewydolnością nerek, niedializowanych, powyżej 18 r.ż.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 pomocą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roksadustatu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(terapia doustna).</w:t>
            </w:r>
          </w:p>
        </w:tc>
      </w:tr>
      <w:tr w:rsidR="00280144" w:rsidRPr="004D093B" w14:paraId="2A8618B9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9E44" w14:textId="334D0DD4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8D8B" w14:textId="2E184473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Ultomiris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C445" w14:textId="7406BFB9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rawulizumab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5C71" w14:textId="41F61524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B.95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1892" w14:textId="1895E683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ATYPOWYM ZESPOŁEM HEMOLITYCZNO-MOCZNICOWYM (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aHUS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 (ICD-10 D 59.3)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00A9" w14:textId="77777777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atypowym zespołem hemolityczno-mocznicowym za pomocą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rawulizumabu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(kolejnego leku z grupy inhibitorów białka C5 dopełniacza).</w:t>
            </w:r>
          </w:p>
          <w:p w14:paraId="6DF35162" w14:textId="595B41C3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3E172AD8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E7A2" w14:textId="1CF6C509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F669" w14:textId="41F1B306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sz w:val="18"/>
                <w:szCs w:val="18"/>
              </w:rPr>
              <w:t>Ultomiris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FBB3" w14:textId="706DD554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sz w:val="18"/>
                <w:szCs w:val="18"/>
              </w:rPr>
              <w:t>rawulizumab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EF0C" w14:textId="409DE3C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B.96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8437" w14:textId="043881FF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NOCNĄ NAPADOWĄ HEMOGLOBINURIĄ (PNH) (ICD-10 D59.5)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BD4D" w14:textId="77777777" w:rsidR="00280144" w:rsidRPr="00E34E3C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pacjentów </w:t>
            </w:r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nocną napadową hemoglobinurią</w:t>
            </w:r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 pomocą </w:t>
            </w:r>
            <w:proofErr w:type="spellStart"/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>rawulizumabu</w:t>
            </w:r>
            <w:proofErr w:type="spellEnd"/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(kolejnego leku z grupy inhibitorów białka C5 dopełniacza)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5ADF830" w14:textId="506DE626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4E3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09131A5B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4EFC" w14:textId="23231BF8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F70E" w14:textId="14F4BC9B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Aspaveli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C84C" w14:textId="0BF4530A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pegcetakoplan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0153" w14:textId="37225A1C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B.96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8E56" w14:textId="3BE7B5D8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NOCNĄ NAPADOWĄ HEMOGLOBINURIĄ (PNH) (ICD-10 D59.5)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F8DC" w14:textId="77777777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II linia leczenia pacjentów</w:t>
            </w: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nocną napadową hemoglobinurią</w:t>
            </w: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, u których wystąpiła niedokrwistość po leczeniu inhibitorem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białka C5 dopełniacza.</w:t>
            </w:r>
          </w:p>
          <w:p w14:paraId="59A77A7E" w14:textId="5552DE25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78BDE690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DFA2" w14:textId="17C74031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2A0F" w14:textId="51F661E7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Lojuxta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63FA" w14:textId="7416CD68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  <w:t>lomitapid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688D" w14:textId="29D2FD9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D772" w14:textId="1E57C94D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ZABURZENIAMI LIPIDOWYMI (ICD-10: E78.01, I21, I22, I25)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45F9" w14:textId="77777777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pacjentów z homozygotyczną hipercholesterolemią rodzinną (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HoFH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4767EB62" w14:textId="25D3215F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1AF8AB98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6A531E4F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12997AC5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Ozurdex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60696BD8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deksametazon</w:t>
            </w:r>
            <w:proofErr w:type="spellEnd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w postaci implantu </w:t>
            </w:r>
            <w:proofErr w:type="spellStart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doszklistkowego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2EAA2872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B.105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3715B3A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CHORYCH NA ZAPALENIE BŁONY NACZYNIOWEJ OKA (ZBN) (ICD-10: H20.0, H30.0).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7CCF011E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klinicznie znamiennego obrzęku plamki w przebiegu zapalenia błony naczyniowej oka.</w:t>
            </w:r>
          </w:p>
        </w:tc>
      </w:tr>
      <w:tr w:rsidR="00280144" w:rsidRPr="004D093B" w14:paraId="54B6BE65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A27F" w14:textId="4285457F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AC2A" w14:textId="0DC7E724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Saphnelo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B2C7" w14:textId="48FB06ED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anifrolumab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6F4F" w14:textId="4535BAC1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B.150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FC91" w14:textId="43DCCA72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TOCZNIEM RUMIENIOWATYM UKŁADOWYM (TRU, SLE) (ICD-10: M32)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42D4" w14:textId="084F5680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u dorosłych pacjentów z aktywnym, seropozytywnym toczniem rumieniowatym układowym.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5551D5" w:rsidRPr="004D093B" w14:paraId="50DA02B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1E68AEB9" w:rsidR="005551D5" w:rsidRPr="004D093B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72D98A20" w:rsidR="005551D5" w:rsidRPr="005551D5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1E94D939" w:rsidR="005551D5" w:rsidRPr="004D093B" w:rsidRDefault="005551D5" w:rsidP="005551D5">
            <w:pPr>
              <w:spacing w:before="60" w:after="6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26C9D">
              <w:rPr>
                <w:rFonts w:ascii="Lato" w:hAnsi="Lato" w:cstheme="majorHAnsi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735998D1" w:rsidR="005551D5" w:rsidRPr="004D093B" w:rsidRDefault="005551D5" w:rsidP="005551D5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Dodano zapisy dotyczące monitorowania wskaźników skuteczności leczenia wykorzystywanego w programie oraz podkreślono brak możliwości uprzedniego leczenia immunoterapią lub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immunochemioterapią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pacjentów kwalifikowanych do leczenia immunoterapią w I linii leczenia NDRP</w:t>
            </w:r>
            <w:r w:rsidR="00946C5F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280144" w:rsidRPr="004D093B" w14:paraId="7FD5BB4B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5B7" w14:textId="6FE13C38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8214" w14:textId="2ED01905" w:rsidR="00280144" w:rsidRPr="005551D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B.37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26BD" w14:textId="005CA538" w:rsidR="00280144" w:rsidRDefault="00280144" w:rsidP="0028014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NIEDOKRWISTOŚCI U CHORYCH Z PRZEWLEKŁĄ NIEWYDOLNOŚĆ NEREK (ICD-10: N18)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04FF" w14:textId="77777777" w:rsidR="00280144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Wprowadzenie do programu leku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Evrenzo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roxadustatum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 do leczenia niedokrwistości u pacjentów powyżej 18 roku życia, niedializowanych, chorujących na przewlekłą niewydolność nerek.</w:t>
            </w:r>
          </w:p>
          <w:p w14:paraId="5C3B988E" w14:textId="77777777" w:rsidR="00280144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Kompleksowe przeredagowanie treści programu lekowego.</w:t>
            </w:r>
          </w:p>
          <w:p w14:paraId="5F05E2AC" w14:textId="755879CB" w:rsidR="00280144" w:rsidRDefault="00280144" w:rsidP="00280144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Zmiany w zakresie wieku osób kwalifikowanych do programu i dawkowania poszczególnych terapii (zgodnie z Charakterystykami Produktów Leczniczych objętych finansowaniem w ramach programu lekowego).</w:t>
            </w:r>
          </w:p>
        </w:tc>
      </w:tr>
      <w:tr w:rsidR="00280144" w:rsidRPr="004D093B" w14:paraId="67293BB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11BEB1A1" w:rsidR="00280144" w:rsidRPr="004D093B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1101AA26" w:rsidR="00280144" w:rsidRPr="005551D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B.105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074266C9" w:rsidR="00280144" w:rsidRPr="004D093B" w:rsidRDefault="00280144" w:rsidP="0028014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CHORYCH NA ZAPALENIE BŁONY NACZYNIOWEJ OKA (ZBN) – CZĘŚCI POŚREDNIEJ, ODCINKA TYLNEGO LUB CAŁEJ BŁONY NACZYNIOWEJ (ICD-10: H20.0, H30.0)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F15D" w14:textId="77777777" w:rsidR="00280144" w:rsidRDefault="00280144" w:rsidP="00280144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Wprowadzenie do programu leku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Ozurdex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dexamethasonum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>) do leczenia klinicznie znamiennego obrzęku plamki w przebiegu zapalenia błony naczyniowej oka.</w:t>
            </w:r>
          </w:p>
          <w:p w14:paraId="4FCF84DF" w14:textId="686625E3" w:rsidR="00280144" w:rsidRPr="004D093B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Kompleksowa zmiana programu lekowego B.105 obejmująca swoim zakresem modyfikację zapisów dotyczących kryteriów kwalifikacji, kryteriów wyłączenia z programu, dawkowania oraz badań diagnostycznych i monitorujących skuteczność terapii stosowany w ramach programu.</w:t>
            </w:r>
          </w:p>
        </w:tc>
      </w:tr>
      <w:tr w:rsidR="00280144" w:rsidRPr="004D093B" w14:paraId="66D571B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5BB11F17" w:rsidR="00280144" w:rsidRPr="004D093B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083F41AB" w:rsidR="00280144" w:rsidRPr="005551D5" w:rsidRDefault="00280144" w:rsidP="00280144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B.122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556C24EE" w:rsidR="00280144" w:rsidRPr="005551D5" w:rsidRDefault="00280144" w:rsidP="0028014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5551D5">
              <w:rPr>
                <w:rFonts w:ascii="Lato" w:hAnsi="Lato" w:cstheme="majorHAnsi"/>
                <w:color w:val="000000"/>
                <w:sz w:val="18"/>
                <w:szCs w:val="18"/>
              </w:rPr>
              <w:t>LECZENIE ZAPOBIEGAWCZE CHORYCH Z NAWRACAJĄCYMI NAPADAMI DZIEDZICZNEGO OBRZĘKU NACZYNIORUCHOWEGO O CIĘŻKIM PRZEBIEGU (ICD-10: D 84.1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7FE6" w14:textId="77777777" w:rsidR="00280144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sz w:val="18"/>
                <w:szCs w:val="18"/>
              </w:rPr>
              <w:t xml:space="preserve">Zmiany umożliwiające pacjentom leczenie w warunkach domowych.  </w:t>
            </w:r>
          </w:p>
          <w:p w14:paraId="4C9AB9C4" w14:textId="744ED8CF" w:rsidR="00280144" w:rsidRPr="005551D5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sz w:val="18"/>
                <w:szCs w:val="18"/>
              </w:rPr>
              <w:t>Dodano zapisy dotyczące monitorowania wskaźników skuteczności i bezpieczeństwa leczenia wykorzystywane</w:t>
            </w:r>
            <w:r w:rsidR="00A26660">
              <w:rPr>
                <w:rFonts w:ascii="Lato" w:hAnsi="Lato" w:cstheme="majorHAnsi"/>
                <w:sz w:val="18"/>
                <w:szCs w:val="18"/>
              </w:rPr>
              <w:t>go</w:t>
            </w:r>
            <w:r w:rsidRPr="005551D5">
              <w:rPr>
                <w:rFonts w:ascii="Lato" w:hAnsi="Lato" w:cstheme="majorHAnsi"/>
                <w:sz w:val="18"/>
                <w:szCs w:val="18"/>
              </w:rPr>
              <w:t xml:space="preserve"> w programie</w:t>
            </w:r>
            <w:r w:rsidR="00A26660">
              <w:rPr>
                <w:rFonts w:ascii="Lato" w:hAnsi="Lato" w:cstheme="majorHAnsi"/>
                <w:sz w:val="18"/>
                <w:szCs w:val="18"/>
              </w:rPr>
              <w:t xml:space="preserve"> lekowym</w:t>
            </w:r>
            <w:r w:rsidRPr="005551D5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</w:tbl>
    <w:p w14:paraId="08AE375A" w14:textId="7939F698" w:rsidR="004762AF" w:rsidRDefault="004762A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3FB617C9" w14:textId="77777777" w:rsidR="004762AF" w:rsidRDefault="004762A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294265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294265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294265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294265" w:rsidRPr="004D093B" w14:paraId="3E62A70D" w14:textId="77777777" w:rsidTr="00294265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22D113FB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3D230AD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Fostex</w:t>
            </w:r>
            <w:proofErr w:type="spellEnd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Nexthaler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0846A209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beklometazonu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dipropionian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formoterolu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fumaran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dwuwodn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4558" w14:textId="77777777" w:rsidR="00E34E3C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B58C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Przewlekła obturacyjna choroba płuc, </w:t>
            </w:r>
          </w:p>
          <w:p w14:paraId="0440D22F" w14:textId="1F07AC0E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DB58C7">
              <w:rPr>
                <w:rFonts w:ascii="Lato" w:hAnsi="Lato" w:cstheme="majorHAnsi"/>
                <w:color w:val="000000"/>
                <w:sz w:val="18"/>
                <w:szCs w:val="18"/>
              </w:rPr>
              <w:t>Astma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417BAF94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Nowy</w:t>
            </w:r>
            <w:r w:rsidR="000263FB">
              <w:rPr>
                <w:rFonts w:ascii="Lato" w:hAnsi="Lato" w:cstheme="majorHAnsi"/>
                <w:color w:val="000000"/>
                <w:sz w:val="18"/>
                <w:szCs w:val="18"/>
              </w:rPr>
              <w:t>, dwuskładnikowy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produkt leczniczy w postaci proszku do inhalacji z inhalatorem proszkowym DPI</w:t>
            </w:r>
            <w:r w:rsidR="000263FB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7C20878C" w14:textId="77777777" w:rsidR="00BD70CC" w:rsidRDefault="00BD70CC" w:rsidP="0068046C">
      <w:pPr>
        <w:suppressAutoHyphens w:val="0"/>
        <w:rPr>
          <w:rFonts w:ascii="Lato" w:hAnsi="Lato"/>
          <w:b/>
          <w:bCs/>
          <w:color w:val="00B0F0"/>
        </w:rPr>
      </w:pPr>
    </w:p>
    <w:sectPr w:rsidR="00BD70CC" w:rsidSect="00CF351E">
      <w:headerReference w:type="first" r:id="rId11"/>
      <w:pgSz w:w="16838" w:h="11906" w:orient="landscape"/>
      <w:pgMar w:top="1417" w:right="1417" w:bottom="1276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AD6" w14:textId="77777777" w:rsidR="00B03489" w:rsidRDefault="00B03489">
      <w:pPr>
        <w:spacing w:after="0" w:line="240" w:lineRule="auto"/>
      </w:pPr>
      <w:r>
        <w:separator/>
      </w:r>
    </w:p>
  </w:endnote>
  <w:endnote w:type="continuationSeparator" w:id="0">
    <w:p w14:paraId="6A7191DE" w14:textId="77777777" w:rsidR="00B03489" w:rsidRDefault="00B0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A0EF" w14:textId="77777777" w:rsidR="00B03489" w:rsidRDefault="00B034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78FA0C" w14:textId="77777777" w:rsidR="00B03489" w:rsidRDefault="00B0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2" w:name="_Hlk74147372"/>
    <w:bookmarkEnd w:id="2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479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3701726"/>
    <w:multiLevelType w:val="hybridMultilevel"/>
    <w:tmpl w:val="6CEE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4" w15:restartNumberingAfterBreak="0">
    <w:nsid w:val="0E7A14F3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1B8161C1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1F277A1"/>
    <w:multiLevelType w:val="hybridMultilevel"/>
    <w:tmpl w:val="288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6626E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2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11972"/>
    <w:multiLevelType w:val="hybridMultilevel"/>
    <w:tmpl w:val="DFCAC68E"/>
    <w:lvl w:ilvl="0" w:tplc="07C0B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22FBC"/>
    <w:multiLevelType w:val="hybridMultilevel"/>
    <w:tmpl w:val="1A128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8"/>
  </w:num>
  <w:num w:numId="2" w16cid:durableId="983047750">
    <w:abstractNumId w:val="6"/>
  </w:num>
  <w:num w:numId="3" w16cid:durableId="912206815">
    <w:abstractNumId w:val="9"/>
  </w:num>
  <w:num w:numId="4" w16cid:durableId="1919241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7"/>
  </w:num>
  <w:num w:numId="6" w16cid:durableId="1164782895">
    <w:abstractNumId w:val="7"/>
  </w:num>
  <w:num w:numId="7" w16cid:durableId="1764568987">
    <w:abstractNumId w:val="14"/>
  </w:num>
  <w:num w:numId="8" w16cid:durableId="1605840971">
    <w:abstractNumId w:val="15"/>
  </w:num>
  <w:num w:numId="9" w16cid:durableId="969629549">
    <w:abstractNumId w:val="25"/>
  </w:num>
  <w:num w:numId="10" w16cid:durableId="1576276737">
    <w:abstractNumId w:val="3"/>
  </w:num>
  <w:num w:numId="11" w16cid:durableId="409036424">
    <w:abstractNumId w:val="30"/>
  </w:num>
  <w:num w:numId="12" w16cid:durableId="1526747669">
    <w:abstractNumId w:val="5"/>
  </w:num>
  <w:num w:numId="13" w16cid:durableId="1746950255">
    <w:abstractNumId w:val="16"/>
  </w:num>
  <w:num w:numId="14" w16cid:durableId="329715522">
    <w:abstractNumId w:val="18"/>
  </w:num>
  <w:num w:numId="15" w16cid:durableId="1837842867">
    <w:abstractNumId w:val="17"/>
  </w:num>
  <w:num w:numId="16" w16cid:durableId="1970238000">
    <w:abstractNumId w:val="26"/>
  </w:num>
  <w:num w:numId="17" w16cid:durableId="485172914">
    <w:abstractNumId w:val="21"/>
  </w:num>
  <w:num w:numId="18" w16cid:durableId="338780148">
    <w:abstractNumId w:val="11"/>
  </w:num>
  <w:num w:numId="19" w16cid:durableId="1977641737">
    <w:abstractNumId w:val="3"/>
  </w:num>
  <w:num w:numId="20" w16cid:durableId="1099830501">
    <w:abstractNumId w:val="2"/>
  </w:num>
  <w:num w:numId="21" w16cid:durableId="1796680411">
    <w:abstractNumId w:val="23"/>
  </w:num>
  <w:num w:numId="22" w16cid:durableId="1157845039">
    <w:abstractNumId w:val="22"/>
  </w:num>
  <w:num w:numId="23" w16cid:durableId="1318220489">
    <w:abstractNumId w:val="19"/>
  </w:num>
  <w:num w:numId="24" w16cid:durableId="791442922">
    <w:abstractNumId w:val="24"/>
  </w:num>
  <w:num w:numId="25" w16cid:durableId="493031844">
    <w:abstractNumId w:val="0"/>
  </w:num>
  <w:num w:numId="26" w16cid:durableId="2001806445">
    <w:abstractNumId w:val="10"/>
  </w:num>
  <w:num w:numId="27" w16cid:durableId="267157109">
    <w:abstractNumId w:val="13"/>
  </w:num>
  <w:num w:numId="28" w16cid:durableId="542986621">
    <w:abstractNumId w:val="4"/>
  </w:num>
  <w:num w:numId="29" w16cid:durableId="66652830">
    <w:abstractNumId w:val="20"/>
  </w:num>
  <w:num w:numId="30" w16cid:durableId="1707293543">
    <w:abstractNumId w:val="1"/>
  </w:num>
  <w:num w:numId="31" w16cid:durableId="30885514">
    <w:abstractNumId w:val="28"/>
  </w:num>
  <w:num w:numId="32" w16cid:durableId="12461882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47240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263FB"/>
    <w:rsid w:val="00031E9F"/>
    <w:rsid w:val="00033ED5"/>
    <w:rsid w:val="0004009C"/>
    <w:rsid w:val="0005011B"/>
    <w:rsid w:val="00052E44"/>
    <w:rsid w:val="000702E4"/>
    <w:rsid w:val="00070A13"/>
    <w:rsid w:val="00070A89"/>
    <w:rsid w:val="00080C23"/>
    <w:rsid w:val="0008118E"/>
    <w:rsid w:val="00086074"/>
    <w:rsid w:val="0009112E"/>
    <w:rsid w:val="00093AC4"/>
    <w:rsid w:val="00094F94"/>
    <w:rsid w:val="00097B17"/>
    <w:rsid w:val="000A4576"/>
    <w:rsid w:val="000A688D"/>
    <w:rsid w:val="000A6A4A"/>
    <w:rsid w:val="000A6B96"/>
    <w:rsid w:val="000B21F0"/>
    <w:rsid w:val="000B32C4"/>
    <w:rsid w:val="000B7075"/>
    <w:rsid w:val="000D02C0"/>
    <w:rsid w:val="000D2FED"/>
    <w:rsid w:val="000E06C3"/>
    <w:rsid w:val="000E3BBE"/>
    <w:rsid w:val="000E649C"/>
    <w:rsid w:val="000F077F"/>
    <w:rsid w:val="000F3ED2"/>
    <w:rsid w:val="000F5E0B"/>
    <w:rsid w:val="000F5E24"/>
    <w:rsid w:val="001030B2"/>
    <w:rsid w:val="0011293D"/>
    <w:rsid w:val="001204EA"/>
    <w:rsid w:val="0014120D"/>
    <w:rsid w:val="00143D0B"/>
    <w:rsid w:val="00144B55"/>
    <w:rsid w:val="00155C8E"/>
    <w:rsid w:val="00161605"/>
    <w:rsid w:val="00163D32"/>
    <w:rsid w:val="00170D7F"/>
    <w:rsid w:val="00172790"/>
    <w:rsid w:val="00173D8E"/>
    <w:rsid w:val="00180F5C"/>
    <w:rsid w:val="00186C26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C6836"/>
    <w:rsid w:val="001D6485"/>
    <w:rsid w:val="001E0A40"/>
    <w:rsid w:val="001E2320"/>
    <w:rsid w:val="001E4A45"/>
    <w:rsid w:val="001E610A"/>
    <w:rsid w:val="001E721F"/>
    <w:rsid w:val="00205C55"/>
    <w:rsid w:val="00206C0B"/>
    <w:rsid w:val="00221A2A"/>
    <w:rsid w:val="002270E2"/>
    <w:rsid w:val="00230BB7"/>
    <w:rsid w:val="002358AA"/>
    <w:rsid w:val="0024697E"/>
    <w:rsid w:val="00255E53"/>
    <w:rsid w:val="00275115"/>
    <w:rsid w:val="00275C31"/>
    <w:rsid w:val="00280144"/>
    <w:rsid w:val="00280311"/>
    <w:rsid w:val="00281BE7"/>
    <w:rsid w:val="00286651"/>
    <w:rsid w:val="00287196"/>
    <w:rsid w:val="0029287B"/>
    <w:rsid w:val="0029403F"/>
    <w:rsid w:val="00294265"/>
    <w:rsid w:val="002C0340"/>
    <w:rsid w:val="002C19DE"/>
    <w:rsid w:val="002C7508"/>
    <w:rsid w:val="002D22F9"/>
    <w:rsid w:val="002D55B8"/>
    <w:rsid w:val="002D6ED9"/>
    <w:rsid w:val="002E46AC"/>
    <w:rsid w:val="002F0FB2"/>
    <w:rsid w:val="002F61E3"/>
    <w:rsid w:val="003051DF"/>
    <w:rsid w:val="00306B1C"/>
    <w:rsid w:val="0031104C"/>
    <w:rsid w:val="003130CA"/>
    <w:rsid w:val="00325586"/>
    <w:rsid w:val="00326537"/>
    <w:rsid w:val="003357D9"/>
    <w:rsid w:val="00337B00"/>
    <w:rsid w:val="00341AAF"/>
    <w:rsid w:val="00350CC6"/>
    <w:rsid w:val="00352A2A"/>
    <w:rsid w:val="003533DE"/>
    <w:rsid w:val="00355899"/>
    <w:rsid w:val="00356E75"/>
    <w:rsid w:val="0035733E"/>
    <w:rsid w:val="00370FBC"/>
    <w:rsid w:val="00374DBE"/>
    <w:rsid w:val="0037704D"/>
    <w:rsid w:val="0037714E"/>
    <w:rsid w:val="003841AB"/>
    <w:rsid w:val="00387B03"/>
    <w:rsid w:val="003935E8"/>
    <w:rsid w:val="003975D4"/>
    <w:rsid w:val="003A0F16"/>
    <w:rsid w:val="003A5B7D"/>
    <w:rsid w:val="003A6433"/>
    <w:rsid w:val="003B46BF"/>
    <w:rsid w:val="003C7B2E"/>
    <w:rsid w:val="003D2AE2"/>
    <w:rsid w:val="003D71C6"/>
    <w:rsid w:val="003E7973"/>
    <w:rsid w:val="003F072E"/>
    <w:rsid w:val="00404F9B"/>
    <w:rsid w:val="00411C64"/>
    <w:rsid w:val="004156E6"/>
    <w:rsid w:val="00415707"/>
    <w:rsid w:val="00416F70"/>
    <w:rsid w:val="0041703B"/>
    <w:rsid w:val="0042390D"/>
    <w:rsid w:val="004403B4"/>
    <w:rsid w:val="00446466"/>
    <w:rsid w:val="00447CE9"/>
    <w:rsid w:val="004509A0"/>
    <w:rsid w:val="00453B55"/>
    <w:rsid w:val="00457779"/>
    <w:rsid w:val="00462C37"/>
    <w:rsid w:val="00466FE8"/>
    <w:rsid w:val="004744CD"/>
    <w:rsid w:val="004762AF"/>
    <w:rsid w:val="0048011A"/>
    <w:rsid w:val="004850DC"/>
    <w:rsid w:val="00490715"/>
    <w:rsid w:val="00491267"/>
    <w:rsid w:val="00491300"/>
    <w:rsid w:val="00492285"/>
    <w:rsid w:val="004A12DD"/>
    <w:rsid w:val="004A2F20"/>
    <w:rsid w:val="004A2F45"/>
    <w:rsid w:val="004A5135"/>
    <w:rsid w:val="004B04D9"/>
    <w:rsid w:val="004B2F38"/>
    <w:rsid w:val="004C35E7"/>
    <w:rsid w:val="004D093B"/>
    <w:rsid w:val="004D2191"/>
    <w:rsid w:val="004D7DDC"/>
    <w:rsid w:val="004E4723"/>
    <w:rsid w:val="004E6C17"/>
    <w:rsid w:val="004F3FEF"/>
    <w:rsid w:val="005058F2"/>
    <w:rsid w:val="00512C38"/>
    <w:rsid w:val="00512C7C"/>
    <w:rsid w:val="005130EF"/>
    <w:rsid w:val="005143E4"/>
    <w:rsid w:val="0055182D"/>
    <w:rsid w:val="005551D5"/>
    <w:rsid w:val="0056748F"/>
    <w:rsid w:val="00574D83"/>
    <w:rsid w:val="005871C9"/>
    <w:rsid w:val="005B06B3"/>
    <w:rsid w:val="005B598A"/>
    <w:rsid w:val="005C1959"/>
    <w:rsid w:val="005C499F"/>
    <w:rsid w:val="005C608D"/>
    <w:rsid w:val="005C641F"/>
    <w:rsid w:val="005C6551"/>
    <w:rsid w:val="005D269A"/>
    <w:rsid w:val="005D3140"/>
    <w:rsid w:val="005D5D31"/>
    <w:rsid w:val="005E3DB9"/>
    <w:rsid w:val="005E4CF5"/>
    <w:rsid w:val="005E7898"/>
    <w:rsid w:val="005F70FE"/>
    <w:rsid w:val="006006C8"/>
    <w:rsid w:val="006008CD"/>
    <w:rsid w:val="00633806"/>
    <w:rsid w:val="00633883"/>
    <w:rsid w:val="00634434"/>
    <w:rsid w:val="0064109C"/>
    <w:rsid w:val="0064487F"/>
    <w:rsid w:val="00662A0A"/>
    <w:rsid w:val="006636D7"/>
    <w:rsid w:val="006648F3"/>
    <w:rsid w:val="00670C14"/>
    <w:rsid w:val="0068046C"/>
    <w:rsid w:val="00680B0E"/>
    <w:rsid w:val="00686AC2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466"/>
    <w:rsid w:val="006D079B"/>
    <w:rsid w:val="006D183E"/>
    <w:rsid w:val="006D336E"/>
    <w:rsid w:val="006D7964"/>
    <w:rsid w:val="006E7D46"/>
    <w:rsid w:val="006F498A"/>
    <w:rsid w:val="006F5BEB"/>
    <w:rsid w:val="00702FCA"/>
    <w:rsid w:val="007135A8"/>
    <w:rsid w:val="00714B9D"/>
    <w:rsid w:val="007156F6"/>
    <w:rsid w:val="00715B91"/>
    <w:rsid w:val="007321D8"/>
    <w:rsid w:val="00733AF9"/>
    <w:rsid w:val="00734732"/>
    <w:rsid w:val="00740ABA"/>
    <w:rsid w:val="0074295D"/>
    <w:rsid w:val="00754B71"/>
    <w:rsid w:val="00755E27"/>
    <w:rsid w:val="0078723A"/>
    <w:rsid w:val="00797762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483"/>
    <w:rsid w:val="007F016E"/>
    <w:rsid w:val="008008F6"/>
    <w:rsid w:val="008017A7"/>
    <w:rsid w:val="00823875"/>
    <w:rsid w:val="00827817"/>
    <w:rsid w:val="00827986"/>
    <w:rsid w:val="008279BD"/>
    <w:rsid w:val="008373B1"/>
    <w:rsid w:val="00837FA6"/>
    <w:rsid w:val="0084154E"/>
    <w:rsid w:val="00843352"/>
    <w:rsid w:val="00844624"/>
    <w:rsid w:val="008462C0"/>
    <w:rsid w:val="00846834"/>
    <w:rsid w:val="0085266F"/>
    <w:rsid w:val="0085698B"/>
    <w:rsid w:val="0087118E"/>
    <w:rsid w:val="008771C8"/>
    <w:rsid w:val="00882DCA"/>
    <w:rsid w:val="0088727A"/>
    <w:rsid w:val="00896D35"/>
    <w:rsid w:val="008B00C4"/>
    <w:rsid w:val="008B1EB7"/>
    <w:rsid w:val="008B43B0"/>
    <w:rsid w:val="008C0493"/>
    <w:rsid w:val="008C0E92"/>
    <w:rsid w:val="008D3C22"/>
    <w:rsid w:val="008D45C3"/>
    <w:rsid w:val="008E18D7"/>
    <w:rsid w:val="008E33C7"/>
    <w:rsid w:val="008F1D35"/>
    <w:rsid w:val="009066C7"/>
    <w:rsid w:val="0092216D"/>
    <w:rsid w:val="00933339"/>
    <w:rsid w:val="00946C5F"/>
    <w:rsid w:val="009528E0"/>
    <w:rsid w:val="00953B84"/>
    <w:rsid w:val="00970F7A"/>
    <w:rsid w:val="00977DE9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E79D5"/>
    <w:rsid w:val="009F1561"/>
    <w:rsid w:val="009F413F"/>
    <w:rsid w:val="009F550A"/>
    <w:rsid w:val="009F7497"/>
    <w:rsid w:val="00A01F60"/>
    <w:rsid w:val="00A118F0"/>
    <w:rsid w:val="00A122C2"/>
    <w:rsid w:val="00A159DA"/>
    <w:rsid w:val="00A22494"/>
    <w:rsid w:val="00A22A7B"/>
    <w:rsid w:val="00A242D8"/>
    <w:rsid w:val="00A26660"/>
    <w:rsid w:val="00A434EB"/>
    <w:rsid w:val="00A515CA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8700E"/>
    <w:rsid w:val="00A90397"/>
    <w:rsid w:val="00A90CB0"/>
    <w:rsid w:val="00A9374D"/>
    <w:rsid w:val="00A94461"/>
    <w:rsid w:val="00A960EA"/>
    <w:rsid w:val="00AA4608"/>
    <w:rsid w:val="00AA4A6A"/>
    <w:rsid w:val="00AA6179"/>
    <w:rsid w:val="00AB1235"/>
    <w:rsid w:val="00AB2D5E"/>
    <w:rsid w:val="00AC0511"/>
    <w:rsid w:val="00AD08C5"/>
    <w:rsid w:val="00AE069A"/>
    <w:rsid w:val="00AF1EBC"/>
    <w:rsid w:val="00B03489"/>
    <w:rsid w:val="00B10B0F"/>
    <w:rsid w:val="00B1467F"/>
    <w:rsid w:val="00B1688D"/>
    <w:rsid w:val="00B31928"/>
    <w:rsid w:val="00B326A9"/>
    <w:rsid w:val="00B45ED3"/>
    <w:rsid w:val="00B543E9"/>
    <w:rsid w:val="00B57127"/>
    <w:rsid w:val="00B73663"/>
    <w:rsid w:val="00B74035"/>
    <w:rsid w:val="00B76B2B"/>
    <w:rsid w:val="00B8251D"/>
    <w:rsid w:val="00B94288"/>
    <w:rsid w:val="00B9538B"/>
    <w:rsid w:val="00BA15A9"/>
    <w:rsid w:val="00BB138C"/>
    <w:rsid w:val="00BB30C0"/>
    <w:rsid w:val="00BC376D"/>
    <w:rsid w:val="00BD18E8"/>
    <w:rsid w:val="00BD20BC"/>
    <w:rsid w:val="00BD70CC"/>
    <w:rsid w:val="00C06613"/>
    <w:rsid w:val="00C15673"/>
    <w:rsid w:val="00C15E6F"/>
    <w:rsid w:val="00C210A9"/>
    <w:rsid w:val="00C22821"/>
    <w:rsid w:val="00C243BF"/>
    <w:rsid w:val="00C25F63"/>
    <w:rsid w:val="00C276AE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03C1"/>
    <w:rsid w:val="00CA1AD2"/>
    <w:rsid w:val="00CA2878"/>
    <w:rsid w:val="00CA3B1B"/>
    <w:rsid w:val="00CA7D06"/>
    <w:rsid w:val="00CB2E2B"/>
    <w:rsid w:val="00CB3D33"/>
    <w:rsid w:val="00CC0463"/>
    <w:rsid w:val="00CC42B1"/>
    <w:rsid w:val="00CC7F58"/>
    <w:rsid w:val="00CD47C3"/>
    <w:rsid w:val="00CE099F"/>
    <w:rsid w:val="00CE73E2"/>
    <w:rsid w:val="00CF351E"/>
    <w:rsid w:val="00CF402D"/>
    <w:rsid w:val="00CF5E4F"/>
    <w:rsid w:val="00CF7674"/>
    <w:rsid w:val="00D17D3E"/>
    <w:rsid w:val="00D44A5D"/>
    <w:rsid w:val="00D46ECD"/>
    <w:rsid w:val="00D510E8"/>
    <w:rsid w:val="00D554A2"/>
    <w:rsid w:val="00D5628B"/>
    <w:rsid w:val="00D63F4F"/>
    <w:rsid w:val="00D6426A"/>
    <w:rsid w:val="00D66456"/>
    <w:rsid w:val="00D77CD0"/>
    <w:rsid w:val="00D9306F"/>
    <w:rsid w:val="00DA09D0"/>
    <w:rsid w:val="00DB0B88"/>
    <w:rsid w:val="00DB793C"/>
    <w:rsid w:val="00DD18C6"/>
    <w:rsid w:val="00DD6D00"/>
    <w:rsid w:val="00DE00F0"/>
    <w:rsid w:val="00DE1894"/>
    <w:rsid w:val="00DE5079"/>
    <w:rsid w:val="00DF6B3A"/>
    <w:rsid w:val="00E10271"/>
    <w:rsid w:val="00E10F0D"/>
    <w:rsid w:val="00E32520"/>
    <w:rsid w:val="00E34DF7"/>
    <w:rsid w:val="00E34E3C"/>
    <w:rsid w:val="00E35DF6"/>
    <w:rsid w:val="00E50BF3"/>
    <w:rsid w:val="00E50D44"/>
    <w:rsid w:val="00E52765"/>
    <w:rsid w:val="00E64133"/>
    <w:rsid w:val="00E66456"/>
    <w:rsid w:val="00E7290F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27E5"/>
    <w:rsid w:val="00EC2B8F"/>
    <w:rsid w:val="00EC74BA"/>
    <w:rsid w:val="00ED15F0"/>
    <w:rsid w:val="00EE4384"/>
    <w:rsid w:val="00EE4BD7"/>
    <w:rsid w:val="00EE5277"/>
    <w:rsid w:val="00EF3551"/>
    <w:rsid w:val="00EF3A08"/>
    <w:rsid w:val="00F017D6"/>
    <w:rsid w:val="00F12CF6"/>
    <w:rsid w:val="00F147FC"/>
    <w:rsid w:val="00F15BD4"/>
    <w:rsid w:val="00F31A79"/>
    <w:rsid w:val="00F42214"/>
    <w:rsid w:val="00F5061B"/>
    <w:rsid w:val="00F61A7D"/>
    <w:rsid w:val="00F63AA8"/>
    <w:rsid w:val="00F67CA2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3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styleId="Poprawka">
    <w:name w:val="Revision"/>
    <w:hidden/>
    <w:uiPriority w:val="99"/>
    <w:semiHidden/>
    <w:rsid w:val="005E3DB9"/>
    <w:pPr>
      <w:autoSpaceDN/>
      <w:spacing w:after="0" w:line="240" w:lineRule="auto"/>
      <w:textAlignment w:val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0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0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9-431D-9811-BDA6C8D8F5C1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32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9-431D-9811-BDA6C8D8F5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F-41C1-BB10-F441BB124D23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8</c:v>
                </c:pt>
                <c:pt idx="3">
                  <c:v>35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3F-41C1-BB10-F441BB124D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 (stan na wrzesień)</a:t>
            </a:r>
          </a:p>
        </c:rich>
      </c:tx>
      <c:layout>
        <c:manualLayout>
          <c:xMode val="edge"/>
          <c:yMode val="edge"/>
          <c:x val="0.19201289838770152"/>
          <c:y val="8.68872809817691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8.1695291444274148E-2"/>
          <c:w val="0.84009663854336591"/>
          <c:h val="0.82951117687470277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2023'!$A$3:$A$8,'miesiące 2023'!$A$10:$A$12)</c:f>
              <c:strCache>
                <c:ptCount val="9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nerki</c:v>
                </c:pt>
                <c:pt idx="6">
                  <c:v>Nowotwory 
ginekologiczne</c:v>
                </c:pt>
                <c:pt idx="7">
                  <c:v>Nowotwory układu 
endokrynnego</c:v>
                </c:pt>
                <c:pt idx="8">
                  <c:v>Hematoonkologia</c:v>
                </c:pt>
              </c:strCache>
              <c:extLst/>
            </c:strRef>
          </c:cat>
          <c:val>
            <c:numRef>
              <c:f>('miesiące 2023'!$B$3:$B$8,'miesiące 2023'!$B$10:$B$12)</c:f>
              <c:numCache>
                <c:formatCode>General</c:formatCode>
                <c:ptCount val="9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  <c:pt idx="4">
                  <c:v>11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151-4C89-B225-4F676941D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2023 r. (stan na wrzesień)</a:t>
            </a:r>
          </a:p>
        </c:rich>
      </c:tx>
      <c:layout>
        <c:manualLayout>
          <c:xMode val="edge"/>
          <c:yMode val="edge"/>
          <c:x val="0.1291803278688524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1487919932559683"/>
          <c:w val="0.76644349190079053"/>
          <c:h val="0.799937940559252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2023'!$A$20:$A$28,'miesiące 2023'!$A$30,'miesiące 2023'!$A$32:$A$36,'miesiące 2023'!$A$38)</c:f>
              <c:strCache>
                <c:ptCount val="16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Hematologia</c:v>
                </c:pt>
                <c:pt idx="10">
                  <c:v>Gastroenterologia</c:v>
                </c:pt>
                <c:pt idx="11">
                  <c:v>Endokrynologia</c:v>
                </c:pt>
                <c:pt idx="12">
                  <c:v>Diabetologia</c:v>
                </c:pt>
                <c:pt idx="13">
                  <c:v>Dermatologia</c:v>
                </c:pt>
                <c:pt idx="14">
                  <c:v>Choroby metaboliczne</c:v>
                </c:pt>
                <c:pt idx="15">
                  <c:v>Alergologia</c:v>
                </c:pt>
              </c:strCache>
              <c:extLst/>
            </c:strRef>
          </c:cat>
          <c:val>
            <c:numRef>
              <c:f>('miesiące 2023'!$B$20:$B$28,'miesiące 2023'!$B$30,'miesiące 2023'!$B$32:$B$36,'miesiące 2023'!$B$38)</c:f>
              <c:numCache>
                <c:formatCode>General</c:formatCode>
                <c:ptCount val="1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20</c:v>
                </c:pt>
                <c:pt idx="8">
                  <c:v>2</c:v>
                </c:pt>
                <c:pt idx="9">
                  <c:v>7</c:v>
                </c:pt>
                <c:pt idx="10">
                  <c:v>4</c:v>
                </c:pt>
                <c:pt idx="11">
                  <c:v>1</c:v>
                </c:pt>
                <c:pt idx="12">
                  <c:v>3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24E-4F9C-BFB6-6694C4117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3</cp:revision>
  <dcterms:created xsi:type="dcterms:W3CDTF">2023-08-23T18:16:00Z</dcterms:created>
  <dcterms:modified xsi:type="dcterms:W3CDTF">2023-08-24T09:05:00Z</dcterms:modified>
</cp:coreProperties>
</file>