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Pr="004D093B" w:rsidRDefault="008C0E92" w:rsidP="008C0E92">
      <w:pPr>
        <w:jc w:val="right"/>
        <w:rPr>
          <w:rFonts w:ascii="Lato" w:hAnsi="Lato"/>
          <w:b/>
          <w:bCs/>
          <w:color w:val="00B0F0"/>
          <w:sz w:val="28"/>
          <w:szCs w:val="28"/>
        </w:rPr>
      </w:pPr>
    </w:p>
    <w:p w14:paraId="2E434D60" w14:textId="76A89466" w:rsidR="00202697" w:rsidRDefault="00202697" w:rsidP="00202697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>
        <w:rPr>
          <w:rFonts w:ascii="Lato" w:hAnsi="Lato"/>
          <w:b/>
          <w:bCs/>
          <w:color w:val="00B0F0"/>
          <w:sz w:val="36"/>
          <w:szCs w:val="36"/>
          <w:u w:val="single"/>
        </w:rPr>
        <w:t>PROJEKT OBWIESZCZENIA REFUNDACYJNEGO NR 74 (1 KWIETNIA 2024 r.)</w:t>
      </w:r>
    </w:p>
    <w:p w14:paraId="66FC1558" w14:textId="77D838E2" w:rsidR="00202697" w:rsidRDefault="00202697" w:rsidP="00202697">
      <w:pPr>
        <w:spacing w:before="240"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Prezentowane podsumowanie projektu obwieszczenia refundacyjnego nr 74 </w:t>
      </w:r>
      <w:r>
        <w:rPr>
          <w:rFonts w:ascii="Lato" w:hAnsi="Lato"/>
          <w:b/>
          <w:bCs/>
        </w:rPr>
        <w:t>nie stanowi jego ostatecznej wersji</w:t>
      </w:r>
      <w:r>
        <w:rPr>
          <w:rFonts w:ascii="Lato" w:hAnsi="Lato"/>
        </w:rPr>
        <w:t xml:space="preserve">, bowiem nadal trwają prace administracyjne nad finalnym wykazem refundowanych leków, środków spożywczych specjalnego przeznaczenia żywieniowego oraz wyrobów medycznych obowiązującym od 1 kwietnia 2024 r. </w:t>
      </w:r>
    </w:p>
    <w:p w14:paraId="6FCBB705" w14:textId="55512B89" w:rsidR="00202697" w:rsidRPr="00A053B9" w:rsidRDefault="00202697" w:rsidP="00202697">
      <w:pPr>
        <w:spacing w:after="120" w:line="360" w:lineRule="auto"/>
        <w:jc w:val="both"/>
        <w:rPr>
          <w:rFonts w:ascii="Lato" w:hAnsi="Lato"/>
        </w:rPr>
      </w:pPr>
      <w:r w:rsidRPr="00A053B9">
        <w:rPr>
          <w:rFonts w:ascii="Lato" w:hAnsi="Lato"/>
        </w:rPr>
        <w:t xml:space="preserve">Uwzględniając niniejszy projekt, w drugim wykazie w roku 2024, finansowaniem ze środków publicznych zostanie objętych </w:t>
      </w:r>
      <w:r w:rsidR="00516499" w:rsidRPr="00A053B9">
        <w:rPr>
          <w:rFonts w:ascii="Lato" w:hAnsi="Lato"/>
          <w:b/>
          <w:bCs/>
        </w:rPr>
        <w:t>3</w:t>
      </w:r>
      <w:r w:rsidR="00305610">
        <w:rPr>
          <w:rFonts w:ascii="Lato" w:hAnsi="Lato"/>
          <w:b/>
          <w:bCs/>
        </w:rPr>
        <w:t>3</w:t>
      </w:r>
      <w:r w:rsidRPr="00A053B9">
        <w:rPr>
          <w:rFonts w:ascii="Lato" w:hAnsi="Lato"/>
          <w:b/>
          <w:bCs/>
        </w:rPr>
        <w:t xml:space="preserve"> nowych cząsteczko – wskazań</w:t>
      </w:r>
      <w:r w:rsidRPr="00A053B9">
        <w:rPr>
          <w:rFonts w:ascii="Lato" w:hAnsi="Lato"/>
        </w:rPr>
        <w:t>, w tym:</w:t>
      </w:r>
    </w:p>
    <w:p w14:paraId="753923CA" w14:textId="22DE8C51" w:rsidR="00202697" w:rsidRPr="00A053B9" w:rsidRDefault="00516499" w:rsidP="00202697">
      <w:pPr>
        <w:pStyle w:val="Akapitzlist"/>
        <w:numPr>
          <w:ilvl w:val="0"/>
          <w:numId w:val="27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A053B9">
        <w:rPr>
          <w:rFonts w:ascii="Lato" w:hAnsi="Lato"/>
        </w:rPr>
        <w:t>7</w:t>
      </w:r>
      <w:r w:rsidR="00202697" w:rsidRPr="00A053B9">
        <w:rPr>
          <w:rFonts w:ascii="Lato" w:hAnsi="Lato"/>
        </w:rPr>
        <w:t xml:space="preserve"> cząsteczko – wskazań onkologicznych,</w:t>
      </w:r>
    </w:p>
    <w:p w14:paraId="2C1EE8A8" w14:textId="170C9662" w:rsidR="00202697" w:rsidRPr="00A053B9" w:rsidRDefault="00516499" w:rsidP="00202697">
      <w:pPr>
        <w:pStyle w:val="Akapitzlist"/>
        <w:numPr>
          <w:ilvl w:val="0"/>
          <w:numId w:val="27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A053B9">
        <w:rPr>
          <w:rFonts w:ascii="Lato" w:hAnsi="Lato"/>
        </w:rPr>
        <w:t>2</w:t>
      </w:r>
      <w:r w:rsidR="00305610">
        <w:rPr>
          <w:rFonts w:ascii="Lato" w:hAnsi="Lato"/>
        </w:rPr>
        <w:t>6</w:t>
      </w:r>
      <w:r w:rsidR="00202697" w:rsidRPr="00A053B9">
        <w:rPr>
          <w:rFonts w:ascii="Lato" w:hAnsi="Lato"/>
        </w:rPr>
        <w:t xml:space="preserve"> cząsteczko - wskaza</w:t>
      </w:r>
      <w:r w:rsidRPr="00A053B9">
        <w:rPr>
          <w:rFonts w:ascii="Lato" w:hAnsi="Lato"/>
        </w:rPr>
        <w:t>nia</w:t>
      </w:r>
      <w:r w:rsidR="00202697" w:rsidRPr="00A053B9">
        <w:rPr>
          <w:rFonts w:ascii="Lato" w:hAnsi="Lato"/>
        </w:rPr>
        <w:t xml:space="preserve"> nieonkologiczn</w:t>
      </w:r>
      <w:r w:rsidRPr="00A053B9">
        <w:rPr>
          <w:rFonts w:ascii="Lato" w:hAnsi="Lato"/>
        </w:rPr>
        <w:t>e</w:t>
      </w:r>
      <w:r w:rsidR="00202697" w:rsidRPr="00A053B9">
        <w:rPr>
          <w:rFonts w:ascii="Lato" w:hAnsi="Lato"/>
        </w:rPr>
        <w:t>,</w:t>
      </w:r>
    </w:p>
    <w:p w14:paraId="38D03AA4" w14:textId="5698932F" w:rsidR="00202697" w:rsidRPr="00A053B9" w:rsidRDefault="00516499" w:rsidP="00202697">
      <w:pPr>
        <w:pStyle w:val="Akapitzlist"/>
        <w:numPr>
          <w:ilvl w:val="0"/>
          <w:numId w:val="27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A053B9">
        <w:rPr>
          <w:rFonts w:ascii="Lato" w:hAnsi="Lato"/>
        </w:rPr>
        <w:t>8</w:t>
      </w:r>
      <w:r w:rsidR="00202697" w:rsidRPr="00A053B9">
        <w:rPr>
          <w:rFonts w:ascii="Lato" w:hAnsi="Lato"/>
        </w:rPr>
        <w:t xml:space="preserve"> cząsteczko - wskazań dedykowanych chorobom rzadkim.</w:t>
      </w:r>
    </w:p>
    <w:p w14:paraId="2766759A" w14:textId="778CC7F2" w:rsidR="00202697" w:rsidRPr="00A053B9" w:rsidRDefault="00202697" w:rsidP="00202697">
      <w:pPr>
        <w:autoSpaceDE w:val="0"/>
        <w:spacing w:after="0" w:line="360" w:lineRule="auto"/>
        <w:jc w:val="both"/>
        <w:rPr>
          <w:rFonts w:ascii="Lato" w:hAnsi="Lato" w:cs="Arial"/>
        </w:rPr>
      </w:pPr>
      <w:r w:rsidRPr="00A053B9">
        <w:rPr>
          <w:rFonts w:ascii="Lato" w:hAnsi="Lato" w:cs="Arial"/>
        </w:rPr>
        <w:t>Najwięcej nowych cząsteczko - wskazań onkologicznych w 2024 r. obserwujemy w hematoonkologii (</w:t>
      </w:r>
      <w:r w:rsidR="00516499" w:rsidRPr="00A053B9">
        <w:rPr>
          <w:rFonts w:ascii="Lato" w:hAnsi="Lato" w:cs="Arial"/>
        </w:rPr>
        <w:t>7</w:t>
      </w:r>
      <w:r w:rsidRPr="00A053B9">
        <w:rPr>
          <w:rFonts w:ascii="Lato" w:hAnsi="Lato" w:cs="Arial"/>
        </w:rPr>
        <w:t xml:space="preserve">), w nowotworach </w:t>
      </w:r>
      <w:r w:rsidR="00516499" w:rsidRPr="00A053B9">
        <w:rPr>
          <w:rFonts w:ascii="Lato" w:hAnsi="Lato" w:cs="Arial"/>
        </w:rPr>
        <w:t>ginekologicznych</w:t>
      </w:r>
      <w:r w:rsidRPr="00A053B9">
        <w:rPr>
          <w:rFonts w:ascii="Lato" w:hAnsi="Lato" w:cs="Arial"/>
        </w:rPr>
        <w:t xml:space="preserve"> (</w:t>
      </w:r>
      <w:r w:rsidR="00D4388C" w:rsidRPr="00A053B9">
        <w:rPr>
          <w:rFonts w:ascii="Lato" w:hAnsi="Lato" w:cs="Arial"/>
        </w:rPr>
        <w:t>2</w:t>
      </w:r>
      <w:r w:rsidRPr="00A053B9">
        <w:rPr>
          <w:rFonts w:ascii="Lato" w:hAnsi="Lato" w:cs="Arial"/>
        </w:rPr>
        <w:t xml:space="preserve">) oraz nowotworach układu </w:t>
      </w:r>
      <w:r w:rsidR="00516499" w:rsidRPr="00A053B9">
        <w:rPr>
          <w:rFonts w:ascii="Lato" w:hAnsi="Lato" w:cs="Arial"/>
        </w:rPr>
        <w:t>pokarmowego</w:t>
      </w:r>
      <w:r w:rsidRPr="00A053B9">
        <w:rPr>
          <w:rFonts w:ascii="Lato" w:hAnsi="Lato" w:cs="Arial"/>
        </w:rPr>
        <w:t xml:space="preserve"> (</w:t>
      </w:r>
      <w:r w:rsidR="00516499" w:rsidRPr="00A053B9">
        <w:rPr>
          <w:rFonts w:ascii="Lato" w:hAnsi="Lato" w:cs="Arial"/>
        </w:rPr>
        <w:t>2</w:t>
      </w:r>
      <w:r w:rsidRPr="00A053B9">
        <w:rPr>
          <w:rFonts w:ascii="Lato" w:hAnsi="Lato" w:cs="Arial"/>
        </w:rPr>
        <w:t xml:space="preserve">). </w:t>
      </w:r>
    </w:p>
    <w:p w14:paraId="20BA6E7D" w14:textId="38C07492" w:rsidR="00202697" w:rsidRDefault="00202697" w:rsidP="00202697">
      <w:pPr>
        <w:autoSpaceDE w:val="0"/>
        <w:spacing w:after="0" w:line="360" w:lineRule="auto"/>
        <w:jc w:val="both"/>
        <w:rPr>
          <w:rFonts w:ascii="Lato" w:hAnsi="Lato" w:cs="Arial"/>
        </w:rPr>
      </w:pPr>
      <w:r w:rsidRPr="00A053B9">
        <w:rPr>
          <w:rFonts w:ascii="Lato" w:hAnsi="Lato" w:cs="Arial"/>
        </w:rPr>
        <w:t xml:space="preserve">Najwięcej nowych cząsteczko - wskazań nieonkologicznych w 2024 r. obserwujemy w </w:t>
      </w:r>
      <w:r w:rsidR="00516499" w:rsidRPr="00A053B9">
        <w:rPr>
          <w:rFonts w:ascii="Lato" w:hAnsi="Lato" w:cs="Arial"/>
        </w:rPr>
        <w:t>neurologii</w:t>
      </w:r>
      <w:r w:rsidRPr="00A053B9">
        <w:rPr>
          <w:rFonts w:ascii="Lato" w:hAnsi="Lato" w:cs="Arial"/>
        </w:rPr>
        <w:t xml:space="preserve"> (</w:t>
      </w:r>
      <w:r w:rsidR="00516499" w:rsidRPr="00A053B9">
        <w:rPr>
          <w:rFonts w:ascii="Lato" w:hAnsi="Lato" w:cs="Arial"/>
        </w:rPr>
        <w:t>7</w:t>
      </w:r>
      <w:r w:rsidRPr="00A053B9">
        <w:rPr>
          <w:rFonts w:ascii="Lato" w:hAnsi="Lato" w:cs="Arial"/>
        </w:rPr>
        <w:t xml:space="preserve">), </w:t>
      </w:r>
      <w:r w:rsidR="00516499" w:rsidRPr="00A053B9">
        <w:rPr>
          <w:rFonts w:ascii="Lato" w:hAnsi="Lato" w:cs="Arial"/>
        </w:rPr>
        <w:t xml:space="preserve">kardiologii (5) oraz </w:t>
      </w:r>
      <w:r w:rsidRPr="00A053B9">
        <w:rPr>
          <w:rFonts w:ascii="Lato" w:hAnsi="Lato" w:cs="Arial"/>
        </w:rPr>
        <w:t>nefrologii (</w:t>
      </w:r>
      <w:r w:rsidR="00FE34E5">
        <w:rPr>
          <w:rFonts w:ascii="Lato" w:hAnsi="Lato" w:cs="Arial"/>
        </w:rPr>
        <w:t>5</w:t>
      </w:r>
      <w:r w:rsidRPr="00A053B9">
        <w:rPr>
          <w:rFonts w:ascii="Lato" w:hAnsi="Lato" w:cs="Arial"/>
        </w:rPr>
        <w:t>)</w:t>
      </w:r>
      <w:r w:rsidR="00516499" w:rsidRPr="00A053B9">
        <w:rPr>
          <w:rFonts w:ascii="Lato" w:hAnsi="Lato" w:cs="Arial"/>
        </w:rPr>
        <w:t>.</w:t>
      </w:r>
    </w:p>
    <w:p w14:paraId="6B466A0C" w14:textId="77777777" w:rsidR="004D093B" w:rsidRDefault="004D093B">
      <w:pPr>
        <w:suppressAutoHyphens w:val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br w:type="page"/>
      </w:r>
    </w:p>
    <w:p w14:paraId="38E7C447" w14:textId="65B99C45" w:rsidR="00127452" w:rsidRDefault="00FE34E5">
      <w:pPr>
        <w:suppressAutoHyphens w:val="0"/>
        <w:rPr>
          <w:noProof/>
        </w:rPr>
      </w:pPr>
      <w:r>
        <w:rPr>
          <w:noProof/>
        </w:rPr>
        <w:lastRenderedPageBreak/>
        <w:drawing>
          <wp:inline distT="0" distB="0" distL="0" distR="0" wp14:anchorId="2E9663ED" wp14:editId="1FD64454">
            <wp:extent cx="4410075" cy="2859405"/>
            <wp:effectExtent l="0" t="0" r="9525" b="17145"/>
            <wp:docPr id="168829232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C6074ED-C953-414E-8657-6D9838D8DB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0285F"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DCE10D4" wp14:editId="1D3C03AF">
            <wp:extent cx="4229100" cy="2886075"/>
            <wp:effectExtent l="0" t="0" r="0" b="9525"/>
            <wp:docPr id="1720861776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3EEC769-7086-49DE-8BAD-8CC35BDC18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0285F">
        <w:rPr>
          <w:rFonts w:ascii="Lato" w:hAnsi="Lato"/>
          <w:sz w:val="24"/>
          <w:szCs w:val="24"/>
        </w:rPr>
        <w:t xml:space="preserve"> </w:t>
      </w:r>
      <w:r w:rsidR="00C0285F">
        <w:rPr>
          <w:noProof/>
        </w:rPr>
        <w:drawing>
          <wp:inline distT="0" distB="0" distL="0" distR="0" wp14:anchorId="4277A410" wp14:editId="1D1D9ED5">
            <wp:extent cx="4410075" cy="2796540"/>
            <wp:effectExtent l="0" t="0" r="9525" b="3810"/>
            <wp:docPr id="892991149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EA79078D-806F-4958-9948-92A3449EF9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0285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0BAA865" wp14:editId="39A156FB">
            <wp:extent cx="4223982" cy="2785745"/>
            <wp:effectExtent l="0" t="0" r="5715" b="14605"/>
            <wp:docPr id="1389739519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8E0023C9-8891-4322-B9CF-5D2C6FA255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A06678" w14:textId="6B7EEC54" w:rsidR="00AD08C5" w:rsidRPr="004D093B" w:rsidRDefault="00127452" w:rsidP="00127452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r>
        <w:rPr>
          <w:noProof/>
        </w:rPr>
        <w:br w:type="page"/>
      </w:r>
      <w:r w:rsidR="006A7DCE"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0" w:name="_Hlk95686308"/>
      <w:r w:rsidR="006A7DCE" w:rsidRPr="004D093B">
        <w:rPr>
          <w:rFonts w:ascii="Lato" w:hAnsi="Lato"/>
          <w:b/>
          <w:bCs/>
          <w:color w:val="00B0F0"/>
          <w:sz w:val="28"/>
          <w:szCs w:val="28"/>
        </w:rPr>
        <w:t>M</w:t>
      </w:r>
      <w:bookmarkEnd w:id="0"/>
      <w:r w:rsidR="006A7DCE" w:rsidRPr="004D093B">
        <w:rPr>
          <w:rFonts w:ascii="Lato" w:hAnsi="Lato"/>
          <w:b/>
          <w:bCs/>
          <w:color w:val="00B0F0"/>
          <w:sz w:val="28"/>
          <w:szCs w:val="28"/>
        </w:rPr>
        <w:t>ACH LEKOWYCH</w:t>
      </w:r>
      <w:r w:rsidR="0056748F" w:rsidRPr="004D093B">
        <w:rPr>
          <w:rFonts w:ascii="Lato" w:hAnsi="Lato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496"/>
        <w:gridCol w:w="2063"/>
        <w:gridCol w:w="1867"/>
        <w:gridCol w:w="3198"/>
        <w:gridCol w:w="4869"/>
      </w:tblGrid>
      <w:tr w:rsidR="005058F2" w:rsidRPr="004D093B" w14:paraId="7E2E9B6A" w14:textId="77777777" w:rsidTr="004D093B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4D093B" w14:paraId="1C096482" w14:textId="77777777" w:rsidTr="004D093B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D7964" w:rsidRPr="004D093B" w14:paraId="60CDF2D4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B265ED" w:rsidRPr="004D093B" w14:paraId="41B567AC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FECB" w14:textId="68FD1566" w:rsidR="00961330" w:rsidRPr="004D093B" w:rsidRDefault="00961330" w:rsidP="00961330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A0DD" w14:textId="53C3B106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Lynparza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2683" w14:textId="156B1C88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olaparyb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3C78" w14:textId="49324FB8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B.50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8902" w14:textId="2A29162B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JAJNIKA, RAKA JAJOWODU LUB RAKA OTRZEWNEJ (ICD-10: C56, C57, C48)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DB27" w14:textId="49501823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II linii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>olaparyb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em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monoterapii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na 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>nawrotowego raka jajnika, raka jajowodu lub pierwotnego raka otrzewnej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chorych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brakiem obecności mutacji w genach BRCA 1/2.</w:t>
            </w:r>
          </w:p>
        </w:tc>
      </w:tr>
      <w:tr w:rsidR="00B265ED" w:rsidRPr="004D093B" w14:paraId="7B60364B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DFB9" w14:textId="15170971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820A" w14:textId="6F2CBB37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Opdualag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9E90" w14:textId="22172DB6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niwolumab + relatlimab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C791" w14:textId="6E416339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B.59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C392" w14:textId="5D88862E" w:rsidR="00B265ED" w:rsidRPr="00DA4459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LECZENIECH CHORYCH NA CZERNIAKA SKÓRY LUB BŁON ŚLUZOWYCH (ICD-10: C43)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6CDD" w14:textId="41722729" w:rsidR="00B265ED" w:rsidRDefault="00DC6168" w:rsidP="00DC616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C6168">
              <w:rPr>
                <w:rFonts w:ascii="Lato" w:hAnsi="Lato" w:cstheme="majorHAnsi"/>
                <w:color w:val="000000"/>
                <w:sz w:val="18"/>
                <w:szCs w:val="18"/>
              </w:rPr>
              <w:t>Leczenie niwolumabem z relatlimabem pacjentów od 12 roku życia z czerniakiem w stopniu zaawansowania III lub IV i z ekspresją PDL1 &lt; 1%</w:t>
            </w:r>
            <w:r w:rsidRPr="00DC6168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B265ED" w:rsidRPr="004D093B" w14:paraId="4193F70D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24A8C0D3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575EDF65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Imbruvica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6DAD1794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ibrutynib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246E8C91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B.79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40135DA2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A4459">
              <w:rPr>
                <w:rFonts w:ascii="Lato" w:hAnsi="Lato" w:cstheme="majorHAnsi"/>
                <w:sz w:val="18"/>
                <w:szCs w:val="18"/>
              </w:rPr>
              <w:t>LECZENIE CHORYCH NA PRZEWLEKŁĄ BIAŁACZKĘ LIMFOCYTOWĄ (ICD-10: C91.1)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EA37" w14:textId="2323D3C2" w:rsidR="00B265ED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I linii</w:t>
            </w:r>
            <w:r w:rsidR="00B265ED" w:rsidRPr="001667F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na 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przewlekłą białaczkę limfocytową ibrutynibem w skojarzeniu z wenetoklaksem (schemat I+V), bez względu na status del17p/mutTP53.</w:t>
            </w:r>
          </w:p>
          <w:p w14:paraId="5966388A" w14:textId="78551C10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667F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B265ED" w:rsidRPr="004D093B" w14:paraId="34137848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3C1" w14:textId="3230AD21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E305" w14:textId="74229B14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Calquence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23D5" w14:textId="6EA44579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akalabrutynib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ADAB" w14:textId="2F0A32DC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B.79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6CBD" w14:textId="354DFE29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A4459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PRZEWLEKŁĄ BIAŁACZKĘ LIMFOCYTOWĄ (ICD-10: C91.1)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3560" w14:textId="1105255F" w:rsidR="00B265ED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od II linii</w:t>
            </w:r>
            <w:r w:rsidR="00B265ED" w:rsidRPr="001667F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na 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przewlekłą białaczkę limfocytową bez del17p/mutTP53 akalabrutynibem w monoterapii (rozszerzenie dotychczas</w:t>
            </w:r>
            <w:r w:rsidR="00B265ED" w:rsidRPr="00DA445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refundowanego wskazania poprzez usunięcie warunków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dotyczących </w:t>
            </w:r>
            <w:r w:rsidR="00B265ED" w:rsidRPr="00DA4459">
              <w:rPr>
                <w:rFonts w:ascii="Lato" w:hAnsi="Lato" w:cstheme="majorHAnsi"/>
                <w:color w:val="000000"/>
                <w:sz w:val="18"/>
                <w:szCs w:val="18"/>
              </w:rPr>
              <w:t>wcześniejszego leczenia wenetoklaksem w skojarzeniu z przeciwciałem anty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-</w:t>
            </w:r>
            <w:r w:rsidR="00B265ED" w:rsidRPr="00DA4459">
              <w:rPr>
                <w:rFonts w:ascii="Lato" w:hAnsi="Lato" w:cstheme="majorHAnsi"/>
                <w:color w:val="000000"/>
                <w:sz w:val="18"/>
                <w:szCs w:val="18"/>
              </w:rPr>
              <w:t>CD20 lub z przeciwwskazaniami do tej terapii lub z toksycznością tej terapii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).</w:t>
            </w:r>
          </w:p>
          <w:p w14:paraId="75074C9F" w14:textId="31386C7B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667F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B265ED" w:rsidRPr="004D093B" w14:paraId="79F6918C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9E07" w14:textId="7C2F934B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304" w14:textId="64F25845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638" w14:textId="40312F59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ACC" w14:textId="59675B1D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B.</w:t>
            </w:r>
            <w:r w:rsidR="009F1AF3">
              <w:rPr>
                <w:rFonts w:ascii="Lato" w:hAnsi="Lato" w:cstheme="majorHAnsi"/>
                <w:sz w:val="18"/>
                <w:szCs w:val="18"/>
              </w:rPr>
              <w:t>159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E6BF" w14:textId="206085A1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20E1">
              <w:rPr>
                <w:rFonts w:ascii="Lato" w:hAnsi="Lato" w:cstheme="majorHAnsi"/>
                <w:sz w:val="18"/>
                <w:szCs w:val="18"/>
              </w:rPr>
              <w:t>LECZENIE CHORYCH NA RAKA SZYJKI MACICY (ICD-10: C53)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2A24" w14:textId="6D1F4B90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I linii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pembrolizumabem 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>w skojarzeniu z chemioterapią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bewacyzumabem lub bez bewacyzumabu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chorych na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przetrwałego, nawrotowego lub z przerzutami raka szyjki macicy, u których CPS z ekspresją PD-L1 w tkance nowotworowej wynosi ≥ 1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B265ED" w:rsidRPr="004D093B" w14:paraId="2EAEEA58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4B85" w14:textId="583DB425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EC7B" w14:textId="487E28BC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Różne nazwy handlowe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93F" w14:textId="2AED80BA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kapecytabina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7235" w14:textId="74701D88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C.5.b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1733" w14:textId="0C29F2EE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CAPECITABINE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4624" w14:textId="77777777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załącznika C.5.b o wskazania pozarejestracyjne:</w:t>
            </w:r>
          </w:p>
          <w:p w14:paraId="3BE496F7" w14:textId="4FE51EB3" w:rsidR="00B265ED" w:rsidRDefault="00B265ED" w:rsidP="00B265ED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nowotwory złośliwe narządów głowy i szyi (C00 – C14)</w:t>
            </w:r>
            <w:r w:rsidR="00C36F4C"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4B804AEF" w14:textId="224967E1" w:rsidR="00B265ED" w:rsidRDefault="00B265ED" w:rsidP="00B265ED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nowotwory złośliwe przełyku (C15)</w:t>
            </w:r>
            <w:r w:rsidR="00C36F4C"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13C79E6D" w14:textId="5871C042" w:rsidR="00B265ED" w:rsidRDefault="00B265ED" w:rsidP="00B265ED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nowotwory złośliwe jelita cienkiego (C17)</w:t>
            </w:r>
            <w:r w:rsidR="00C36F4C"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6C1568C7" w14:textId="003039B8" w:rsidR="00B265ED" w:rsidRDefault="00B265ED" w:rsidP="00B265ED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nowotwory złośliwe odbytu i kanału odbytu (C21)</w:t>
            </w:r>
            <w:r w:rsidR="00C36F4C"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0C618871" w14:textId="77777777" w:rsidR="00B265ED" w:rsidRDefault="00B265ED" w:rsidP="00B265ED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</w:t>
            </w:r>
            <w:r w:rsidRPr="00BE5438">
              <w:rPr>
                <w:rFonts w:ascii="Lato" w:hAnsi="Lato" w:cstheme="majorHAnsi"/>
                <w:color w:val="000000"/>
                <w:sz w:val="18"/>
                <w:szCs w:val="18"/>
              </w:rPr>
              <w:t>owotwory złośliwe tarczycy i innych gruczołów wydzielania wewnętrznego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(C73 – C75).</w:t>
            </w:r>
          </w:p>
          <w:p w14:paraId="14BC0B21" w14:textId="6047F60F" w:rsidR="00B265ED" w:rsidRPr="00F0148C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o leczenie choroby zaawansowanej w rozpoznaniach C</w:t>
            </w:r>
            <w:r w:rsidR="00961330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22–C</w:t>
            </w:r>
            <w:r w:rsidR="00961330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25.</w:t>
            </w:r>
          </w:p>
          <w:p w14:paraId="7CDFBEFD" w14:textId="0D03ADAF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B56D6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off-label)</w:t>
            </w:r>
          </w:p>
        </w:tc>
      </w:tr>
      <w:tr w:rsidR="00B265ED" w:rsidRPr="004D093B" w14:paraId="189EA4B0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43F4" w14:textId="51C6968A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A83A" w14:textId="612ACAFE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A8F1" w14:textId="41BA69DC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oksaliplatyna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E05E" w14:textId="277BF2DE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C.46.b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668A" w14:textId="5920EF3C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OXALIPLATIN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C0AA" w14:textId="77777777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załącznika C.46.b o wskazanie pozarejestracyjne: nowotwór złośliwy przełyku (C15).</w:t>
            </w:r>
          </w:p>
          <w:p w14:paraId="0B1AA7A9" w14:textId="4F9A1ADD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B56D6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off-label)</w:t>
            </w:r>
          </w:p>
        </w:tc>
      </w:tr>
    </w:tbl>
    <w:p w14:paraId="7F9CCF36" w14:textId="51B74B46" w:rsidR="004D093B" w:rsidRDefault="004D093B"/>
    <w:p w14:paraId="7FCF9A29" w14:textId="77777777" w:rsidR="004D093B" w:rsidRDefault="004D093B">
      <w:pPr>
        <w:suppressAutoHyphens w:val="0"/>
      </w:pPr>
      <w: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2D6ED9" w:rsidRPr="004D093B" w14:paraId="4C9C4901" w14:textId="77777777" w:rsidTr="004D093B">
        <w:trPr>
          <w:cantSplit/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Nowe wskazania nieonkologiczne</w:t>
            </w:r>
          </w:p>
        </w:tc>
      </w:tr>
      <w:tr w:rsidR="002D6ED9" w:rsidRPr="004D093B" w14:paraId="1394CD71" w14:textId="77777777" w:rsidTr="004D093B">
        <w:trPr>
          <w:cantSplit/>
          <w:trHeight w:val="628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B265ED" w:rsidRPr="004D093B" w14:paraId="641E2DE2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6D1C" w14:textId="0B662CAD" w:rsidR="00B265ED" w:rsidRPr="004D093B" w:rsidRDefault="00A1146C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B6C4" w14:textId="4992DB2A" w:rsidR="00B265ED" w:rsidRPr="00496AA9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Tysabri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A590" w14:textId="77777777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natalizumab </w:t>
            </w:r>
          </w:p>
          <w:p w14:paraId="1619771D" w14:textId="5B524DD7" w:rsidR="00B265ED" w:rsidRPr="00496AA9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(postać podskórna)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5B64" w14:textId="7DA7174E" w:rsidR="00B265ED" w:rsidRPr="00496AA9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B.29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EC95" w14:textId="195080C1" w:rsidR="00B265ED" w:rsidRPr="00496AA9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15FCD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STWARDNIENIE ROZSIANE (ICD-10: G35)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30AC" w14:textId="6C6D32CF" w:rsidR="00B265ED" w:rsidRDefault="00645CA2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Refundacja natalizumabu </w:t>
            </w:r>
            <w:r w:rsidR="00A1146C">
              <w:rPr>
                <w:rFonts w:ascii="Lato" w:hAnsi="Lato" w:cstheme="majorHAnsi"/>
                <w:color w:val="000000"/>
                <w:sz w:val="18"/>
                <w:szCs w:val="18"/>
              </w:rPr>
              <w:t>w formie podskórnej.</w:t>
            </w:r>
          </w:p>
          <w:p w14:paraId="449A077D" w14:textId="6CE82AD4" w:rsidR="00B265ED" w:rsidRPr="00496AA9" w:rsidRDefault="00C36F4C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</w:t>
            </w:r>
            <w:r w:rsidR="00B265ED" w:rsidRPr="00015FC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nietolerancj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  <w:r w:rsidR="00B265ED" w:rsidRPr="00015FC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terapii z </w:t>
            </w:r>
            <w:r w:rsidR="00B265ED" w:rsidRPr="00015FCD">
              <w:rPr>
                <w:rFonts w:ascii="Lato" w:hAnsi="Lato" w:cstheme="majorHAnsi"/>
                <w:color w:val="000000"/>
                <w:sz w:val="18"/>
                <w:szCs w:val="18"/>
              </w:rPr>
              <w:t>natalizumabem i.v. (w postaci dożylnej) z powodu zapalenia żył po wlewach dożylnych lub z powodu trudnego dostępu do żył.</w:t>
            </w:r>
          </w:p>
        </w:tc>
      </w:tr>
      <w:tr w:rsidR="00A1146C" w:rsidRPr="004D093B" w14:paraId="7522F87A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592E" w14:textId="6898F934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FB93" w14:textId="0DC37823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b/>
                <w:bCs/>
                <w:sz w:val="18"/>
                <w:szCs w:val="18"/>
              </w:rPr>
              <w:t>Rinvoq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0348" w14:textId="1EE48792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i/>
                <w:iCs/>
                <w:sz w:val="18"/>
                <w:szCs w:val="18"/>
              </w:rPr>
              <w:t>upadacytynib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A292" w14:textId="4031B000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B.32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8478" w14:textId="4D39C02C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CHOROBĄ LEŚNIOWSKIEGO – CROHNA (ICD-10: K50)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C9BB" w14:textId="3B8E3F76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476B">
              <w:rPr>
                <w:rFonts w:ascii="Lato" w:hAnsi="Lato" w:cstheme="majorHAnsi"/>
                <w:color w:val="000000"/>
                <w:sz w:val="18"/>
                <w:szCs w:val="18"/>
              </w:rPr>
              <w:t>Leczenie dorosłych pacjentów z rozpoznaną ciężk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 lub umiarkowaną</w:t>
            </w:r>
            <w:r w:rsidRPr="0084476B">
              <w:rPr>
                <w:rFonts w:ascii="Lato" w:hAnsi="Lato" w:cstheme="majorHAnsi"/>
                <w:color w:val="000000"/>
                <w:sz w:val="18"/>
                <w:szCs w:val="18"/>
              </w:rPr>
              <w:t>, czynna postać choroby Leśniowskiego-Crohna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</w:t>
            </w:r>
            <w:r w:rsidRPr="0084476B">
              <w:rPr>
                <w:rFonts w:ascii="Lato" w:hAnsi="Lato" w:cstheme="majorHAnsi"/>
                <w:color w:val="000000"/>
                <w:sz w:val="18"/>
                <w:szCs w:val="18"/>
              </w:rPr>
              <w:t>pierwszy lek  z grupy inhibitorów JAK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A1146C" w:rsidRPr="004D093B" w14:paraId="5C1FF5AC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9FC7" w14:textId="5B7A8F60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6492" w14:textId="687D74D3" w:rsidR="00A1146C" w:rsidRPr="00496AA9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Synagis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EF43" w14:textId="2FF7B931" w:rsidR="00A1146C" w:rsidRPr="00496AA9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paliwizumab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95FD" w14:textId="4D884DEA" w:rsidR="00A1146C" w:rsidRPr="00496AA9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B.40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CAAD" w14:textId="0121DDEF" w:rsidR="00A1146C" w:rsidRPr="00496AA9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7186F">
              <w:rPr>
                <w:rFonts w:ascii="Lato" w:hAnsi="Lato" w:cstheme="majorHAnsi"/>
                <w:color w:val="000000"/>
                <w:sz w:val="18"/>
                <w:szCs w:val="18"/>
              </w:rPr>
              <w:t>PROFILAKTYKA ZAKAŻEŃ WIRUSEM RS (ICD-10: P07.2, P07.3, P27.1, P07.0, P07.1, Q20-Q24, G12.0, G12.1, E84.0)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B7B9" w14:textId="12409BD6" w:rsidR="00A1146C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populacji </w:t>
            </w:r>
            <w:r w:rsidR="00C36F4C">
              <w:rPr>
                <w:rFonts w:ascii="Lato" w:hAnsi="Lato" w:cstheme="majorHAnsi"/>
                <w:color w:val="000000"/>
                <w:sz w:val="18"/>
                <w:szCs w:val="18"/>
              </w:rPr>
              <w:t>kwalifikującej się do leczenia:</w:t>
            </w:r>
          </w:p>
          <w:p w14:paraId="72D3F9E4" w14:textId="643DB8DD" w:rsidR="00A1146C" w:rsidRDefault="00A1146C" w:rsidP="00A1146C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pacjentów z mukowiscydozą do 1 roku życia</w:t>
            </w:r>
            <w:r w:rsidR="00C36F4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</w:t>
            </w:r>
          </w:p>
          <w:p w14:paraId="49268252" w14:textId="77777777" w:rsidR="00A1146C" w:rsidRDefault="00A1146C" w:rsidP="00A1146C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pacjentów z SMA do 2 roku życia.</w:t>
            </w:r>
          </w:p>
          <w:p w14:paraId="4872186D" w14:textId="656267F7" w:rsidR="00A1146C" w:rsidRPr="00496AA9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A367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off-label)</w:t>
            </w:r>
          </w:p>
        </w:tc>
      </w:tr>
      <w:tr w:rsidR="00A1146C" w:rsidRPr="004D093B" w14:paraId="5ED86F3E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B444" w14:textId="02D8A215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5631" w14:textId="60899FBF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Tezspire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6633" w14:textId="1AC25AA6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tezepelumab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88C" w14:textId="2D1C5A3D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B.44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2A6A" w14:textId="33BE9806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CIĘŻKĄ POSTACIĄ ASTMY (ICD-10: J45, J82)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1040" w14:textId="53A71B13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Leczenie ciężkiej astmy tezepelumabem u pacjentów od 12 r.ż. (przeciwciało monoklonalne (IgG2</w:t>
            </w:r>
            <w:r w:rsidRPr="00496AA9">
              <w:rPr>
                <w:rFonts w:cs="Calibri"/>
                <w:color w:val="000000"/>
                <w:sz w:val="18"/>
                <w:szCs w:val="18"/>
              </w:rPr>
              <w:t>λ</w:t>
            </w: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).</w:t>
            </w:r>
          </w:p>
        </w:tc>
      </w:tr>
      <w:tr w:rsidR="00A1146C" w:rsidRPr="004D093B" w14:paraId="5CE97390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F555" w14:textId="53132BFC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9EF" w14:textId="6EFF3E17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b/>
                <w:bCs/>
                <w:sz w:val="18"/>
                <w:szCs w:val="18"/>
              </w:rPr>
              <w:t>Rinvoq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5750" w14:textId="50FDDB8F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i/>
                <w:iCs/>
                <w:sz w:val="18"/>
                <w:szCs w:val="18"/>
              </w:rPr>
              <w:t>upadacytynib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6876" w14:textId="35DCE9AC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B.55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4CE2" w14:textId="76FD3476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WRZODZIEJĄCYM ZAPALENIEM JELITA GRUBEGO (WZJG) (ICD-10: K51)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6806" w14:textId="6AD28FEC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</w:t>
            </w:r>
            <w:r w:rsidRPr="00E877CC">
              <w:rPr>
                <w:rFonts w:ascii="Lato" w:hAnsi="Lato" w:cstheme="majorHAnsi"/>
                <w:color w:val="000000"/>
                <w:sz w:val="18"/>
                <w:szCs w:val="18"/>
              </w:rPr>
              <w:t>eczeni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 dorosłych</w:t>
            </w:r>
            <w:r w:rsidRPr="00E877C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pacjentów z postacią ciężką lub umiarkowaną WZJG</w:t>
            </w:r>
            <w:r>
              <w:t xml:space="preserve"> -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kolejny </w:t>
            </w:r>
            <w:r w:rsidRPr="003F5F57">
              <w:rPr>
                <w:rFonts w:ascii="Lato" w:hAnsi="Lato" w:cstheme="majorHAnsi"/>
                <w:color w:val="000000"/>
                <w:sz w:val="18"/>
                <w:szCs w:val="18"/>
              </w:rPr>
              <w:t>lek  z grupy inhibitorów JAK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A510E6" w:rsidRPr="004D093B" w14:paraId="26F17574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581F" w14:textId="7CA5CE03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8903" w14:textId="00D5B39B" w:rsidR="00A510E6" w:rsidRPr="00496AA9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F35C" w14:textId="530B81AA" w:rsidR="00A510E6" w:rsidRPr="00496AA9" w:rsidRDefault="00AA2E63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różne substancje czynne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DDE6" w14:textId="408CDCAF" w:rsidR="00A510E6" w:rsidRPr="00496AA9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B.67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935A" w14:textId="76FAFED0" w:rsidR="00A510E6" w:rsidRPr="00496AA9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/>
                <w:sz w:val="18"/>
                <w:szCs w:val="18"/>
              </w:rPr>
              <w:t>LECZENIE IMMUNOGLOBULINAMI CHORÓB NEUROLOGICZNYCH (ICD-10: G61.8, G62.8, G63.1, G70, G04.8, G73.1, G73.2, G72.4, G61.0, G36.0, G25.82, M33.0, M33.1, M33.2)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F587" w14:textId="7B7A2B93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sz w:val="18"/>
                <w:szCs w:val="18"/>
              </w:rPr>
              <w:t>Leczenie immunoglobulinami zespołu sztywności uogólnionej (SPS), tzw. zespołu sztywnego człowieka -  nowe wskazanie</w:t>
            </w:r>
            <w:r w:rsidR="00AA2E63">
              <w:rPr>
                <w:rFonts w:ascii="Lato" w:hAnsi="Lato" w:cstheme="majorHAnsi"/>
                <w:sz w:val="18"/>
                <w:szCs w:val="18"/>
              </w:rPr>
              <w:t>.</w:t>
            </w:r>
          </w:p>
          <w:p w14:paraId="5B74B285" w14:textId="458573F9" w:rsidR="00A510E6" w:rsidRPr="00496AA9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A367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off-label)</w:t>
            </w:r>
          </w:p>
        </w:tc>
      </w:tr>
      <w:tr w:rsidR="00A510E6" w:rsidRPr="004D093B" w14:paraId="6D899FDB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10F3" w14:textId="7FDD361B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0F3F" w14:textId="2AE830B8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b/>
                <w:bCs/>
                <w:sz w:val="18"/>
                <w:szCs w:val="18"/>
              </w:rPr>
              <w:t>Rinvoq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BCFA" w14:textId="28A1D08C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i/>
                <w:iCs/>
                <w:sz w:val="18"/>
                <w:szCs w:val="18"/>
              </w:rPr>
              <w:t>upadacytynib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9B8A" w14:textId="62CA4C32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B.82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B302" w14:textId="05DA02FE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AKTYWNĄ POSTACIĄ SPONDYLOARTROPATII (SpA) BEZ ZMIAN RADIOGRAFICZNYCH CHARAKTERYSTYCZNYCH DLA ZZSK (ICD-10: M46.8)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E34" w14:textId="6F022A9A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Leczenie aktywnej SpA bez zmian radiolograficznych charakterystyk dla ZZSK w postaci osiowej i obwodowej- pierwszy lek  z grupy inhibitorów JAK.</w:t>
            </w:r>
          </w:p>
        </w:tc>
      </w:tr>
      <w:tr w:rsidR="00A510E6" w:rsidRPr="004D093B" w14:paraId="550257DA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4F64" w14:textId="6471B519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7AC7" w14:textId="56FEE6BD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2120" w14:textId="0BE6B495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rytuksymab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93A1" w14:textId="2CAA7C64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B.97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5A82" w14:textId="2372CE03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F0148C">
              <w:rPr>
                <w:rFonts w:ascii="Lato" w:hAnsi="Lato" w:cstheme="majorHAnsi"/>
                <w:color w:val="000000"/>
                <w:sz w:val="18"/>
                <w:szCs w:val="18"/>
              </w:rPr>
              <w:t>LECZENIE DOROSŁYCH CHORYCH NA PIERWOTNĄ MAŁOPŁYTKOWOŚĆ IMMUNOLOGICZNĄ (ICD-10: D69.3)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2016" w14:textId="7777777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dorosłych chorych na pierwotną małopłytkowość immunologiczną. Kolejna opcja terapeutyczna obok agonistów receptora trombopoetyny.</w:t>
            </w:r>
          </w:p>
          <w:p w14:paraId="31199B0C" w14:textId="7777777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E7186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off-label)</w:t>
            </w:r>
          </w:p>
          <w:p w14:paraId="686710F4" w14:textId="3E5DF7E5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A510E6" w:rsidRPr="004D093B" w14:paraId="31330B87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58D2" w14:textId="793D73B1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5238" w14:textId="0E4E0619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17B1" w14:textId="624CAE91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rytuksymab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C9FA" w14:textId="32D1E770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B.98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4C24" w14:textId="39A889B5" w:rsidR="00A510E6" w:rsidRPr="00F0148C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F0148C">
              <w:rPr>
                <w:rFonts w:ascii="Lato" w:hAnsi="Lato" w:cstheme="majorHAnsi"/>
                <w:color w:val="000000"/>
                <w:sz w:val="18"/>
                <w:szCs w:val="18"/>
              </w:rPr>
              <w:t>LECZENIE PEDIATRYCZNYCH CHORYCH NA PIERWOTNĄ MAŁOPŁYTKOWOŚĆ IMMUNOLOGICZNĄ (ICD-10: D69.3)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AC50" w14:textId="7777777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pediatrycznych chorych na pierwotną małopłytkowość immunologiczną. Kolejna opcja terapeutyczna obok agonistów receptora trombopoetyny.</w:t>
            </w:r>
          </w:p>
          <w:p w14:paraId="4E5A3E72" w14:textId="7777777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E7186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off-label)</w:t>
            </w:r>
          </w:p>
          <w:p w14:paraId="76AEF67D" w14:textId="771A7CE5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A510E6" w:rsidRPr="004D093B" w14:paraId="36D64618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9517" w14:textId="458C57EB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8C97" w14:textId="2D4D869B" w:rsidR="00A510E6" w:rsidRPr="008C6910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Repatha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52A7" w14:textId="1231B1AB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</w:t>
            </w:r>
            <w:r w:rsidRPr="009B413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wolokumab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8352" w14:textId="3A338D43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B.101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B28A" w14:textId="2F130AC4" w:rsidR="00A510E6" w:rsidRPr="006C3C84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B4137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ZABURZENIAMI LIPIDOWYMI (ICD-10: E78.01, I21, I22, I25)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1222" w14:textId="0890C9BD" w:rsidR="00A510E6" w:rsidRPr="006C3C84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B413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dorosłych pacjentów z homozygotyczną hipercholesterolemią rodzinną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oraz leczenie pacjentów pediatrycznych (10 - 18 lat) z homozygotyczną i heterozygotyczną hipercholesterolemią rodzinną.</w:t>
            </w:r>
          </w:p>
        </w:tc>
      </w:tr>
      <w:tr w:rsidR="00A510E6" w:rsidRPr="004D093B" w14:paraId="00A3222E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C0E5" w14:textId="3415ADB6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E9B0" w14:textId="4341E40B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8C691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Dupixent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A5E8" w14:textId="51D64E71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78C21" w14:textId="6C52771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</w:t>
            </w:r>
            <w:r w:rsidR="008F7384">
              <w:rPr>
                <w:rFonts w:ascii="Lato" w:hAnsi="Lato" w:cstheme="maj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7D7D" w14:textId="09DD95C6" w:rsidR="00A510E6" w:rsidRPr="00F0148C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C3C84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ZAPALENIEM NOSA I ZATOK PRZYNOSOWYCH Z POLIPAMI NOSA (ICD-10: J32, J33)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2AC2" w14:textId="4926EF58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</w:t>
            </w:r>
            <w:r w:rsidRPr="006C3C8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pacjentów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chorych </w:t>
            </w:r>
            <w:r w:rsidRPr="006C3C84">
              <w:rPr>
                <w:rFonts w:ascii="Lato" w:hAnsi="Lato" w:cstheme="majorHAnsi"/>
                <w:color w:val="000000"/>
                <w:sz w:val="18"/>
                <w:szCs w:val="18"/>
              </w:rPr>
              <w:t>na ciężkie, przewlekłe zapalenie nosa i zatok przynosowych z polipami nosa (PZZPzPN), u których leczenie ogólnoustrojowymi kortykosteroidami i przebyte co najmniej 2 zabiegi operacyjne zatok (lub przeciwwskazania do zabiegu) nie zapewniają kontroli choroby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A510E6" w:rsidRPr="004D093B" w14:paraId="7B830F3F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8F03" w14:textId="3EB5E2B4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3897" w14:textId="1BA558C0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ABCF" w14:textId="314A6DEE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rytuksymab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EB74" w14:textId="5741C472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</w:t>
            </w:r>
            <w:r w:rsidR="008F7384">
              <w:rPr>
                <w:rFonts w:ascii="Lato" w:hAnsi="Lato" w:cstheme="maj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B761" w14:textId="270B123A" w:rsidR="00A510E6" w:rsidRPr="00E7186F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UOGÓLNIONĄ POSTACIĄ MIASTENII (G.70.0)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F8CF" w14:textId="63B35A25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miastenię w ramach nowego, dedykowanego programu lekowego.</w:t>
            </w:r>
          </w:p>
          <w:p w14:paraId="624410D0" w14:textId="77777777" w:rsidR="00A510E6" w:rsidRPr="00BA6039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>Możliwość stosowania rytuksymabu po leczeniu kortykosteroidami oraz po leczeniu immunosupresyjnym u pacjentów:</w:t>
            </w:r>
          </w:p>
          <w:p w14:paraId="6845DFE4" w14:textId="72962FB4" w:rsidR="00A510E6" w:rsidRDefault="00A510E6" w:rsidP="00A510E6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</w:t>
            </w: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przeciwciał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ami</w:t>
            </w: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przeciwko receptorowi acetylocholiny (AChR)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5BAB0FFC" w14:textId="06B10CAC" w:rsidR="00A510E6" w:rsidRDefault="00A510E6" w:rsidP="00A510E6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</w:t>
            </w: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>przeciwciał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ami</w:t>
            </w: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przeciwko swoistej dla mięśni kinazie tyrozynowej (MuSK)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4C910E70" w14:textId="513FD4C3" w:rsidR="00A510E6" w:rsidRDefault="00A510E6" w:rsidP="00A510E6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</w:t>
            </w: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>przeciwciał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ami</w:t>
            </w: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przeciwko białku związanemu z receptorem lipoproteiny o niskiej gęstości 4 (anty-LRP4)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73E3BAFF" w14:textId="77777777" w:rsidR="00A510E6" w:rsidRDefault="00A510E6" w:rsidP="00A510E6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 pacjentów seronegatywnych.</w:t>
            </w:r>
          </w:p>
          <w:p w14:paraId="0289C073" w14:textId="7777777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off-label)</w:t>
            </w:r>
          </w:p>
          <w:p w14:paraId="3BC7CFFE" w14:textId="79A8C055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97FA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A510E6" w:rsidRPr="004D093B" w14:paraId="75E2BF3A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A749" w14:textId="62C6E715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7E21" w14:textId="59E784CD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Vyvgart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6CF7" w14:textId="21DE8A0F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efgartigimod alfa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0352" w14:textId="536298E2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</w:t>
            </w:r>
            <w:r w:rsidR="008F7384">
              <w:rPr>
                <w:rFonts w:ascii="Lato" w:hAnsi="Lato" w:cstheme="maj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0E1F" w14:textId="0625C039" w:rsidR="00A510E6" w:rsidRPr="00E7186F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UOGÓLNIONĄ POSTACIĄ MIASTENII (G.70.0)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628" w14:textId="7777777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miastenię w ramach nowego, dedykowanego programu lekowego.</w:t>
            </w:r>
          </w:p>
          <w:p w14:paraId="4FA0886E" w14:textId="058CDDCC" w:rsidR="00A510E6" w:rsidRPr="009F1AF3" w:rsidRDefault="00A510E6" w:rsidP="009F1A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Możliwość stosowania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efgartigimodu alfa</w:t>
            </w: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 leczeniu kortykosteroidami oraz po leczeniu immunosupresyjnym u pacjentów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03095C">
              <w:rPr>
                <w:rFonts w:ascii="Lato" w:hAnsi="Lato" w:cstheme="majorHAnsi"/>
                <w:color w:val="000000"/>
                <w:sz w:val="18"/>
                <w:szCs w:val="18"/>
              </w:rPr>
              <w:t>z przeciwciałami przeciwko receptorowi acetylocholiny (AChR)</w:t>
            </w:r>
            <w:r w:rsidR="00AA2E63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4FCC90FB" w14:textId="5C9EBDB9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97FA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A510E6" w:rsidRPr="004D093B" w14:paraId="271B2F38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A0C9" w14:textId="6A954520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0467" w14:textId="1D9D798B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Xenpozyme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C4E5" w14:textId="3D4C93AD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olipudaza alfa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9175" w14:textId="5B16E55D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16EAA">
              <w:rPr>
                <w:rFonts w:ascii="Lato" w:hAnsi="Lato" w:cstheme="majorHAnsi"/>
                <w:sz w:val="18"/>
                <w:szCs w:val="18"/>
              </w:rPr>
              <w:t>B</w:t>
            </w:r>
            <w:r w:rsidR="000F61F5">
              <w:rPr>
                <w:rFonts w:ascii="Lato" w:hAnsi="Lato" w:cstheme="majorHAnsi"/>
                <w:sz w:val="18"/>
                <w:szCs w:val="18"/>
              </w:rPr>
              <w:t>.</w:t>
            </w:r>
            <w:r w:rsidR="008F7384">
              <w:rPr>
                <w:rFonts w:ascii="Lato" w:hAnsi="Lato" w:cstheme="majorHAnsi"/>
                <w:sz w:val="18"/>
                <w:szCs w:val="18"/>
              </w:rPr>
              <w:t>158</w:t>
            </w:r>
            <w:r w:rsidRPr="00616EAA">
              <w:rPr>
                <w:rFonts w:ascii="Lato" w:hAnsi="Lato" w:cstheme="majorHAnsi"/>
                <w:sz w:val="18"/>
                <w:szCs w:val="18"/>
              </w:rPr>
              <w:t>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108C" w14:textId="0F44D641" w:rsidR="00A510E6" w:rsidRPr="00E7186F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16EAA">
              <w:rPr>
                <w:rFonts w:ascii="Lato" w:hAnsi="Lato" w:cstheme="majorHAnsi"/>
                <w:sz w:val="18"/>
                <w:szCs w:val="18"/>
              </w:rPr>
              <w:t>LECZENIE CHORYCH Z NIEDOBOREM KWAŚNEJ SFINGOMIELINAZY (ASMD) TYPU A/B i B (ICD-10: E75.241, E75.244)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21E6" w14:textId="7777777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olipudazą alfa dzieci </w:t>
            </w:r>
            <w:r w:rsidRPr="00616EAA">
              <w:rPr>
                <w:rFonts w:ascii="Lato" w:hAnsi="Lato" w:cstheme="majorHAnsi"/>
                <w:color w:val="000000"/>
                <w:sz w:val="18"/>
                <w:szCs w:val="18"/>
              </w:rPr>
              <w:t>i młodzieży oraz dorosłych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jako e</w:t>
            </w:r>
            <w:r w:rsidRPr="00616EAA">
              <w:rPr>
                <w:rFonts w:ascii="Lato" w:hAnsi="Lato" w:cstheme="majorHAnsi"/>
                <w:color w:val="000000"/>
                <w:sz w:val="18"/>
                <w:szCs w:val="18"/>
              </w:rPr>
              <w:t>nzymatyczna terapia zastępcza w leczeniu objawów niedoboru kwaśnej sfingomielinazy (ASMD) typu A/B lub B, niezwiązanych z ośrodkowym układem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616EAA">
              <w:rPr>
                <w:rFonts w:ascii="Lato" w:hAnsi="Lato" w:cstheme="majorHAnsi"/>
                <w:color w:val="000000"/>
                <w:sz w:val="18"/>
                <w:szCs w:val="18"/>
              </w:rPr>
              <w:t>nerwowym (OUN).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</w:p>
          <w:p w14:paraId="3E0D6DCA" w14:textId="77777777" w:rsidR="00A510E6" w:rsidRPr="00946C5F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  <w:p w14:paraId="123F7293" w14:textId="32C38E55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(TLI)</w:t>
            </w:r>
          </w:p>
        </w:tc>
      </w:tr>
    </w:tbl>
    <w:p w14:paraId="17160E61" w14:textId="45061D3C" w:rsidR="004D093B" w:rsidRDefault="004D093B">
      <w:pPr>
        <w:rPr>
          <w:rFonts w:ascii="Lato" w:hAnsi="Lato"/>
        </w:rPr>
      </w:pPr>
    </w:p>
    <w:p w14:paraId="169C5300" w14:textId="77777777" w:rsidR="004D093B" w:rsidRDefault="004D093B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9199"/>
      </w:tblGrid>
      <w:tr w:rsidR="00A434EB" w:rsidRPr="004D093B" w14:paraId="0B833808" w14:textId="77777777" w:rsidTr="004D093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Zmiany w programach lekowych i chemioterapii</w:t>
            </w:r>
          </w:p>
        </w:tc>
      </w:tr>
      <w:tr w:rsidR="00A434EB" w:rsidRPr="004D093B" w14:paraId="2BCC5E8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 lub numeru załącznika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 lub załącznika chemioterapii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Krótki opis zmian dokonanych w obrębie programu lekowego / załącznika chemioterapii</w:t>
            </w:r>
          </w:p>
        </w:tc>
      </w:tr>
      <w:tr w:rsidR="00B265ED" w:rsidRPr="004D093B" w14:paraId="50DA02B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1F1F2807" w:rsidR="00B265ED" w:rsidRPr="004D093B" w:rsidRDefault="00A1146C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0563BFE6" w:rsidR="00B265ED" w:rsidRPr="00A1146C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5EC590F3" w:rsidR="00B265ED" w:rsidRPr="00A1146C" w:rsidRDefault="00B265ED" w:rsidP="00B265ED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A1146C">
              <w:rPr>
                <w:rFonts w:ascii="Lato" w:hAnsi="Lato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F39F" w14:textId="5C56B588" w:rsidR="00B265ED" w:rsidRPr="00A1146C" w:rsidRDefault="00B265ED" w:rsidP="00B265ED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Wykreślenie zapisów odnoszących się do nierefundowanego leku Zykadia (cerytynib).  Dodanie zapisów </w:t>
            </w: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umożliwiających rozpoznanie raka niedrobnokomórkowego bez ustalonego podtypu „NOS” u chorych z ekspresją PD-L1 &lt; 50% leczonych niwolumabem w skojarzeniu z ipilimumabem i chemioterapią (2 cykle) opartą o pochodne platyny.</w:t>
            </w:r>
          </w:p>
        </w:tc>
      </w:tr>
      <w:tr w:rsidR="00E351BA" w:rsidRPr="004D093B" w14:paraId="4D9E9A2F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9A41" w14:textId="494A6A57" w:rsidR="00E351BA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718D" w14:textId="6DE5C573" w:rsidR="00E351BA" w:rsidRPr="00A1146C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B.32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0211" w14:textId="71A7D6A2" w:rsidR="00E351BA" w:rsidRPr="00A1146C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C36F4C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LECZENIE PACJENTÓW Z CHOROBĄ LEŚNIOWSKIEGO – CROHNA (ICD-10: K50)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129D4" w14:textId="49D3E2D9" w:rsidR="00E351BA" w:rsidRPr="00A1146C" w:rsidRDefault="00E351BA" w:rsidP="00E351BA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Kompleksowa zmiana treści programu lekowego obejmująca wszystkie jego składowe. Wprowadzono liczne zmiany ujednolicające, porządkujące oraz znacząco uproszczono program lekowy. Główna zmiana dotyczy liberalizacji kryteriów kwalifikacji pacjentów dorosłych i pediatrycznych. Udostępniono nowe możliwości terapeutyczne dla pacjentów cechujących się wytworzeniem przetok okołoodbytowych oraz pacjentów po odcinkowej resekcji jelita z powodu choroby Leśniowskiego-Crohna. Uregulowano kwestię kontynuacji terapii rozpoczętej w ramach innego źródła finansowania. Wprowadzone zapisy dotyczące monitorowania wskaźników określających skuteczność leczenia poszczególnych terapii. Ponadto, do programu włączono nową opcję terapeutyczną – upadacytynib.</w:t>
            </w:r>
          </w:p>
        </w:tc>
      </w:tr>
      <w:tr w:rsidR="00E351BA" w:rsidRPr="004D093B" w14:paraId="3AC35271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F855" w14:textId="46DE606D" w:rsidR="00E351BA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D36E" w14:textId="27D5B301" w:rsidR="00E351BA" w:rsidRPr="00A1146C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B.55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1B38" w14:textId="0651BA6E" w:rsidR="00E351BA" w:rsidRPr="00A1146C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E351BA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LECZENIE PACJENTÓW Z WRZODZIEJĄCYM ZAPALENIEM JELITA GRUBEGO (WZJG) (ICD-10: K51)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21A4" w14:textId="356E066B" w:rsidR="00E351BA" w:rsidRPr="00A1146C" w:rsidRDefault="00E351BA" w:rsidP="00E351BA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Kompleksowa zmiana treści programu lekowego obejmująca wszystkie jego składowe. Wprowadzono liczne zmiany ujednolicające, porządkujące oraz znacząco uproszczono program lekowy. Główna zmiana dotyczy liberalizacji kryteriów kwalifikacji pacjentów dorosłych i pediatrycznych. Uregulowano kwestię </w:t>
            </w:r>
            <w:r w:rsidRPr="00E351BA">
              <w:rPr>
                <w:rFonts w:ascii="Lato" w:hAnsi="Lato" w:cstheme="majorHAnsi"/>
                <w:color w:val="000000"/>
                <w:sz w:val="18"/>
                <w:szCs w:val="18"/>
              </w:rPr>
              <w:t>kryteriów kwalifikacji pacjentów hospitalizowanych z powodu ciężkiego rzutu choroby z niedostateczną odpowiedzią na kortykosteroidy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, a także kwestię kontynuacji terapii rozpoczętej w ramach innego źródła finansowania. Wprowadzone zapisy dotyczące monitorowania wskaźników określających skuteczność leczenia poszczególnych terapii. Ponadto, do programu włączono nową opcję terapeutyczną – upadacytynib.</w:t>
            </w:r>
          </w:p>
        </w:tc>
      </w:tr>
      <w:tr w:rsidR="00E351BA" w:rsidRPr="004D093B" w14:paraId="571B0832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5C2600C0" w:rsidR="00E351BA" w:rsidRPr="004D093B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057F1AE5" w:rsidR="00E351BA" w:rsidRPr="00A1146C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B.56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783779A9" w:rsidR="00E351BA" w:rsidRPr="00A1146C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A1146C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LECZENIE CHORYCH NA RAKA GRUCZOŁU KROKOWEGO (ICD-10: C61)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A20F" w14:textId="03434AA0" w:rsidR="00E351BA" w:rsidRPr="00A1146C" w:rsidRDefault="00E351BA" w:rsidP="00E351BA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Wykreślenie zapisów odnoszących się do nierefundowanego leku Xofigo (dichlorek radu-223). Wprowadzenie zmian porządkujących i ujednolicających zapisy. Dodanie zapisów i wskaźników dotyczących oceny skuteczności terapii. Ponadto zmodyfikowano zapis umożliwiający monitorowanie skuteczności leczenia przy oznaczeniu </w:t>
            </w: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stężenia PSA.</w:t>
            </w:r>
          </w:p>
        </w:tc>
      </w:tr>
      <w:tr w:rsidR="00E351BA" w:rsidRPr="004D093B" w14:paraId="4B4000D6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F305" w14:textId="38F7A6B5" w:rsidR="00E351BA" w:rsidRPr="004D093B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C9BA" w14:textId="1606C746" w:rsidR="00E351BA" w:rsidRPr="00A1146C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B.59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C647" w14:textId="1D1793CF" w:rsidR="00E351BA" w:rsidRPr="00A1146C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A1146C">
              <w:rPr>
                <w:rFonts w:ascii="Lato" w:hAnsi="Lato"/>
                <w:sz w:val="18"/>
                <w:szCs w:val="18"/>
              </w:rPr>
              <w:t>LECZENIE CHORYCH NA CZERNIAKA SKÓRY LUB BŁON ŚLUZOWYCH (ICD-10: C43)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663D" w14:textId="315DE387" w:rsidR="00E351BA" w:rsidRPr="00A1146C" w:rsidRDefault="00D4388C" w:rsidP="00E351BA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Kompleksowe zmiany porządkujące w programie zainicjowane wprowadzeniem nowego leku, tj. niwolumabu w skojarzeniu z relatlimabem oraz wprowadzenie w kryteriach kwalifikacji zapisu o </w:t>
            </w:r>
            <w:r w:rsidRPr="008257F8">
              <w:rPr>
                <w:rFonts w:ascii="Lato" w:hAnsi="Lato" w:cstheme="majorHAnsi"/>
                <w:i/>
                <w:iCs/>
                <w:sz w:val="18"/>
                <w:szCs w:val="18"/>
              </w:rPr>
              <w:t>nieobecności innych nowotworów niekontrolowanych leczeniem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</w:tr>
      <w:tr w:rsidR="00E351BA" w:rsidRPr="004D093B" w14:paraId="66D571B6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57B1193B" w:rsidR="00E351BA" w:rsidRPr="004D093B" w:rsidRDefault="00A510E6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67E3AC9A" w:rsidR="00E351BA" w:rsidRPr="00A1146C" w:rsidRDefault="00E351BA" w:rsidP="00E351BA">
            <w:pPr>
              <w:pStyle w:val="Style2"/>
              <w:widowControl/>
              <w:spacing w:after="24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B.95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2461721A" w:rsidR="00E351BA" w:rsidRPr="00A1146C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A1146C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LECZENIE CHORYCH Z ATYPOWYM ZESPOŁEM HEMOLITYCZNO-MOCZNICOWYM (aHUS) (ICD-10: D59.3)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B9C4" w14:textId="037D38E9" w:rsidR="00E351BA" w:rsidRPr="00A1146C" w:rsidRDefault="00E351BA" w:rsidP="00AA2E6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Zmiany kryteriów kwalifikacji do programu w zakresie</w:t>
            </w:r>
            <w:r w:rsid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umożliwienia leczenia za pomocą substancji ekulizumab lub rawulizumab, dorosłych pacjentów z wartością parametru PLASMIC Score≤5 (PS≤5), którzy oczekują na wynik badania aktywności ADAMTS13</w:t>
            </w:r>
            <w:r w:rsid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oraz </w:t>
            </w: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zmiany czasu leczenia w programie w zakresie</w:t>
            </w:r>
            <w:r w:rsid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skrócenia czasu z 6 miesięcy na 3 miesiące od rozpoczęcia terapii na składanie wniosków do ZK o kontynuację lub czasowe przerwanie leczenia.</w:t>
            </w:r>
          </w:p>
        </w:tc>
      </w:tr>
      <w:tr w:rsidR="00E351BA" w:rsidRPr="004D093B" w14:paraId="1EC37EE4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5728" w14:textId="6B8C53EB" w:rsidR="00E351BA" w:rsidRPr="004D093B" w:rsidRDefault="00A510E6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53BF" w14:textId="039622EB" w:rsidR="00E351BA" w:rsidRPr="00A1146C" w:rsidRDefault="00E351BA" w:rsidP="00E351BA">
            <w:pPr>
              <w:pStyle w:val="Style2"/>
              <w:widowControl/>
              <w:spacing w:after="24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B.101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CBC3" w14:textId="68AD0D53" w:rsidR="00E351BA" w:rsidRPr="00A1146C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A1146C">
              <w:rPr>
                <w:rFonts w:ascii="Lato" w:hAnsi="Lato"/>
                <w:sz w:val="18"/>
                <w:szCs w:val="18"/>
              </w:rPr>
              <w:t>LECZENIE PACJENTÓW Z ZABURZENIAMI LIPIDOWYMI (ICD-10: E78.01, I21, I22, I25)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B79B" w14:textId="51E51FB0" w:rsidR="00E351BA" w:rsidRPr="00A1146C" w:rsidRDefault="00E351BA" w:rsidP="00E351BA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sz w:val="18"/>
                <w:szCs w:val="18"/>
              </w:rPr>
              <w:t>Zmiana jednego z kryteriów włączenia w części dotyczącej dorosłych pacjentów z bardzo wysokim ryzykiem chorób układu sercowo-naczyniowego, polegająca na zmianie poziomu LDL-C z „LDL-C &gt;100 mg/dl (2,5 mmol/l)” na „LDL-C &gt;70 mg/dl (1,8 mmol/l)”, skutkująca rozszerzeniem populacji.</w:t>
            </w:r>
          </w:p>
        </w:tc>
      </w:tr>
      <w:tr w:rsidR="00E351BA" w:rsidRPr="004D093B" w14:paraId="176D4AEB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D69F" w14:textId="1799095E" w:rsidR="00E351BA" w:rsidRPr="004D093B" w:rsidRDefault="00A510E6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7963" w14:textId="31C6381C" w:rsidR="00E351BA" w:rsidRPr="00A1146C" w:rsidRDefault="00E351BA" w:rsidP="00E351BA">
            <w:pPr>
              <w:pStyle w:val="Style2"/>
              <w:widowControl/>
              <w:spacing w:after="24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B.102.FM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ACD2" w14:textId="09A89422" w:rsidR="00E351BA" w:rsidRPr="00A1146C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/>
                <w:sz w:val="18"/>
                <w:szCs w:val="18"/>
              </w:rPr>
              <w:t>LECZENIE CHORYCH NA RDZENIOWY ZANIK MIĘŚNI (ICD-10: G12.0, G12.1)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A110" w14:textId="43D66AB3" w:rsidR="00E351BA" w:rsidRPr="00A1146C" w:rsidRDefault="00E351BA" w:rsidP="00E351BA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sz w:val="18"/>
                <w:szCs w:val="18"/>
              </w:rPr>
              <w:t>Rozszerzenie kryteriów kwalifikacji w programie lekowym</w:t>
            </w:r>
            <w:r w:rsidR="00AA2E63">
              <w:rPr>
                <w:rFonts w:ascii="Lato" w:hAnsi="Lato" w:cstheme="majorHAnsi"/>
                <w:sz w:val="18"/>
                <w:szCs w:val="18"/>
              </w:rPr>
              <w:t xml:space="preserve"> dotyczącym chorych na rdzeniowy zanik mięśni:</w:t>
            </w:r>
          </w:p>
          <w:p w14:paraId="0DFAABF2" w14:textId="7F482883" w:rsidR="00E351BA" w:rsidRPr="00AA2E63" w:rsidRDefault="00AA2E63" w:rsidP="00AA2E63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m</w:t>
            </w:r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ożliwość zastosowania terapii onasemnogen abeparwowek otrzymają pacjenci leczeni terapią nusinersen lub rysdyplam:</w:t>
            </w:r>
          </w:p>
          <w:p w14:paraId="64A3212D" w14:textId="647A4C84" w:rsidR="00E351BA" w:rsidRPr="00AA2E63" w:rsidRDefault="00E351BA" w:rsidP="00AA2E63">
            <w:pPr>
              <w:pStyle w:val="Akapitzlist"/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a) po ustąpieniu przeciwwskazań do terapii onasemnogen abeparwowek (pierwotnie pacjent nie otrzymał onasemnogen abeparwowek ze względu na wystąpienie przeciwwskazań z zastrzeżeniem masy ciała do 13,5 kg)</w:t>
            </w:r>
            <w:r w:rsidR="00AA2E63"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613CB960" w14:textId="57B149CF" w:rsidR="00E351BA" w:rsidRPr="00AA2E63" w:rsidRDefault="00E351BA" w:rsidP="00AA2E63">
            <w:pPr>
              <w:pStyle w:val="Akapitzlist"/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b) pacjenci urodzeni przed 1 września 2022 r. (pacjenci zdiagnozowani w ramach Rządowego Programu Badań Przesiewowych Noworodków w Polsce z zastrzeżeniem masy ciała do 13,5 kg)</w:t>
            </w:r>
            <w:r w:rsidR="00AA2E63"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2A406079" w14:textId="581A1DC0" w:rsidR="00E351BA" w:rsidRPr="00AA2E63" w:rsidRDefault="00AA2E63" w:rsidP="00AA2E63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m</w:t>
            </w:r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ożliwość stosowania nusinersenu podczas ciąży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7FB9D6AB" w14:textId="3CA3A797" w:rsidR="00E351BA" w:rsidRPr="00584C82" w:rsidRDefault="00AA2E63" w:rsidP="00AA2E63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m</w:t>
            </w:r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ożliwość kontynuacji terapii nusinersenem lub rysdyplamem u pacjentów, którzy z powodu okoliczności niezwiązanych z brakiem skuteczności leczenia (np. uraz, zabieg operacyjny) spełnili kryterium wyłączenia z programu, a jednocześnie po ustaniu tych okoliczności wykazują poprawę.</w:t>
            </w:r>
          </w:p>
        </w:tc>
      </w:tr>
      <w:tr w:rsidR="00E351BA" w:rsidRPr="004D093B" w14:paraId="760505AF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4D49" w14:textId="282C85AB" w:rsidR="00E351BA" w:rsidRPr="004D093B" w:rsidRDefault="00A510E6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A35D" w14:textId="4F3B1568" w:rsidR="00E351BA" w:rsidRPr="004D093B" w:rsidRDefault="00E351BA" w:rsidP="00E351BA">
            <w:pPr>
              <w:pStyle w:val="Style2"/>
              <w:widowControl/>
              <w:spacing w:after="24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17067">
              <w:rPr>
                <w:rFonts w:ascii="Lato" w:hAnsi="Lato" w:cstheme="majorHAnsi"/>
                <w:color w:val="000000"/>
                <w:sz w:val="18"/>
                <w:szCs w:val="18"/>
              </w:rPr>
              <w:t>B.132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0952" w14:textId="28B1072E" w:rsidR="00E351BA" w:rsidRPr="004D093B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17067">
              <w:rPr>
                <w:rFonts w:ascii="Lato" w:hAnsi="Lato" w:cstheme="majorHAnsi"/>
                <w:color w:val="000000"/>
                <w:sz w:val="18"/>
                <w:szCs w:val="18"/>
              </w:rPr>
              <w:t>ZAPOBIEGANIE REAKTYWACJI CYTOMEGALOWIRUSA (CMV) I ROZWOJOWI CHOROBY U SEROPOZYTYWNYCH WZGLĘDEM CMV PACJENTÓW, KTÓRZY BYLI PODDANI ZABIEGOWI PRZESZCZEPIENIA ALLOGENICZNYCH KRWIOTWÓRCZYCH KOMÓREK MACIERZYSTYCH (ICD-10: C81, C82, C83, C84, C85, C88, C90, C91, C92, C93, C94, C95, C96, C45, D46, D47, D56, D57, D58, D61, D75, D80, D81, D82, D84)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3CDF" w14:textId="49C4C9F6" w:rsidR="00E351BA" w:rsidRPr="003B46BF" w:rsidRDefault="00E351BA" w:rsidP="00AA2E63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Zmiana nazwy i treści programu lekowego w związku z objęciem refundacją letermowiru we wskazaniu: </w:t>
            </w:r>
            <w:r w:rsidRPr="00DA4459">
              <w:rPr>
                <w:rFonts w:ascii="Lato" w:hAnsi="Lato" w:cstheme="majorHAnsi"/>
                <w:sz w:val="18"/>
                <w:szCs w:val="18"/>
              </w:rPr>
              <w:t>stosowanie letermowiru w celu zapobiegania reaktywacji cytomegalowirusa (CMV) i rozwojowi choroby u dzieci przed ukończeniem 18 roku życia, seropozytywnych względem CMV, które były poddane zabiegowi przeszczepienia allogenicznych krwiotwórczych komórek macierzystych (alloHSCT)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  <w:r w:rsidR="00AA2E63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r w:rsidR="00AA2E63">
              <w:rPr>
                <w:rFonts w:ascii="Lato" w:hAnsi="Lato" w:cstheme="majorHAnsi"/>
                <w:color w:val="000000"/>
                <w:sz w:val="18"/>
                <w:szCs w:val="18"/>
              </w:rPr>
              <w:t>Wprowadzone zapisy dotyczące monitorowania wskaźników określających skuteczność leczenia terapii.</w:t>
            </w:r>
          </w:p>
        </w:tc>
      </w:tr>
      <w:tr w:rsidR="00E351BA" w:rsidRPr="004D093B" w14:paraId="51A86B54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3D6F" w14:textId="5E128E29" w:rsidR="00E351BA" w:rsidRPr="004D093B" w:rsidRDefault="00A510E6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2C2C" w14:textId="77777777" w:rsidR="00E351BA" w:rsidRPr="00E351BA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351BA">
              <w:rPr>
                <w:rFonts w:ascii="Lato" w:hAnsi="Lato" w:cstheme="majorHAnsi"/>
                <w:color w:val="000000"/>
                <w:sz w:val="18"/>
                <w:szCs w:val="18"/>
              </w:rPr>
              <w:t>C.5.a</w:t>
            </w:r>
          </w:p>
          <w:p w14:paraId="78B751A6" w14:textId="77777777" w:rsidR="00E351BA" w:rsidRPr="00E351BA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351BA">
              <w:rPr>
                <w:rFonts w:ascii="Lato" w:hAnsi="Lato" w:cstheme="majorHAnsi"/>
                <w:color w:val="000000"/>
                <w:sz w:val="18"/>
                <w:szCs w:val="18"/>
              </w:rPr>
              <w:t>C.5.b</w:t>
            </w:r>
          </w:p>
          <w:p w14:paraId="3076BB58" w14:textId="2BC439F4" w:rsidR="00E351BA" w:rsidRPr="004D093B" w:rsidRDefault="00E351BA" w:rsidP="00E351BA">
            <w:pPr>
              <w:pStyle w:val="Style2"/>
              <w:widowControl/>
              <w:spacing w:after="24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E351BA">
              <w:rPr>
                <w:rFonts w:ascii="Lato" w:hAnsi="Lato" w:cstheme="majorHAnsi"/>
                <w:color w:val="000000"/>
                <w:sz w:val="18"/>
                <w:szCs w:val="18"/>
              </w:rPr>
              <w:t>C.5.c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E7B9" w14:textId="21F007CE" w:rsidR="00E351BA" w:rsidRPr="004D093B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CAPECITABINE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2C3A" w14:textId="77777777" w:rsidR="00E351BA" w:rsidRDefault="00E351BA" w:rsidP="00E351BA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Kompleksowa zmiana polegająca na przeniesieniu kodów ICD-10 z załącznika C.5.c. do C.5.b. </w:t>
            </w:r>
          </w:p>
          <w:p w14:paraId="08AF8C5C" w14:textId="07755E01" w:rsidR="00E351BA" w:rsidRPr="004D093B" w:rsidRDefault="00E351BA" w:rsidP="00E351BA">
            <w:p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Zmiany w załącznikach C.5.a. i C.5.b. o charakterze porządkującym. </w:t>
            </w:r>
          </w:p>
        </w:tc>
      </w:tr>
    </w:tbl>
    <w:p w14:paraId="052EAE3A" w14:textId="77777777" w:rsidR="004D093B" w:rsidRDefault="004D093B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bookmarkStart w:id="1" w:name="_Hlk90283710"/>
      <w:r>
        <w:rPr>
          <w:rFonts w:ascii="Lato" w:hAnsi="Lato"/>
          <w:b/>
          <w:bCs/>
          <w:color w:val="00B0F0"/>
          <w:sz w:val="28"/>
          <w:szCs w:val="28"/>
        </w:rPr>
        <w:br w:type="page"/>
      </w:r>
    </w:p>
    <w:p w14:paraId="703841AA" w14:textId="36DADBCA" w:rsidR="0056748F" w:rsidRPr="004D093B" w:rsidRDefault="0056748F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412"/>
        <w:gridCol w:w="1838"/>
        <w:gridCol w:w="5399"/>
        <w:gridCol w:w="3648"/>
      </w:tblGrid>
      <w:tr w:rsidR="00AD08C5" w:rsidRPr="004D093B" w14:paraId="2CD1B9F9" w14:textId="77777777" w:rsidTr="004D093B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E891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bookmarkStart w:id="2" w:name="_Hlk161127618"/>
            <w:bookmarkEnd w:id="1"/>
            <w:r w:rsidRPr="004D093B">
              <w:rPr>
                <w:rFonts w:ascii="Lato" w:hAnsi="Lato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4D093B" w14:paraId="7C1774EA" w14:textId="77777777" w:rsidTr="004D093B">
        <w:trPr>
          <w:cantSplit/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4D093B" w14:paraId="7D53B9E1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4D093B" w:rsidRDefault="00A118F0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 xml:space="preserve">Nazwa leku, środka spożywczego specjalnego przeznaczenia lub wyrobu </w:t>
            </w:r>
            <w:r w:rsidRPr="004D093B">
              <w:rPr>
                <w:rFonts w:ascii="Lato" w:hAnsi="Lato" w:cstheme="majorHAnsi"/>
                <w:b/>
                <w:bCs/>
                <w:sz w:val="19"/>
                <w:szCs w:val="19"/>
              </w:rPr>
              <w:t>medycznego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Doprecyzowanie wskazania</w:t>
            </w:r>
          </w:p>
        </w:tc>
      </w:tr>
      <w:tr w:rsidR="00B265ED" w:rsidRPr="004D093B" w14:paraId="28078F30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4812" w14:textId="492148CE" w:rsidR="00B265ED" w:rsidRPr="004D093B" w:rsidRDefault="00A510E6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962F" w14:textId="77083C25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Invokana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5308" w14:textId="11F84584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kanagliflozyna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B33FB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Cukrzyca typu 2 u pacjentów leczonych </w:t>
            </w:r>
            <w:r w:rsidRPr="0082517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co najmniej dwoma lekami hipoglikemizującymi, z HbA1c ≥ 7,5%</w:t>
            </w: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 bardzo wysokim ryzykiem sercowo-naczyniowym rozumianym jako:</w:t>
            </w:r>
          </w:p>
          <w:p w14:paraId="212DEA24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1)potwierdzona choroba sercowo-naczyniowa, lub </w:t>
            </w:r>
          </w:p>
          <w:p w14:paraId="01539996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>2)uszkodzenie innych narządów objawiające się poprzez: białkomocz lub przerost lewej komory lub retinopatię, lub</w:t>
            </w:r>
          </w:p>
          <w:p w14:paraId="19761350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>3)obecność 3 lub więcej głównych czynników ryzyka spośród wymienionych poniżej:</w:t>
            </w:r>
          </w:p>
          <w:p w14:paraId="75654A3F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-wiek ≥ 55 lat dla mężczyzn, ≥60 lat dla kobiet, </w:t>
            </w:r>
          </w:p>
          <w:p w14:paraId="72851B52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-dyslipidemia, </w:t>
            </w:r>
          </w:p>
          <w:p w14:paraId="090875AE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-nadciśnienie tętnicze, </w:t>
            </w:r>
          </w:p>
          <w:p w14:paraId="5D355F1F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>-palenie tytoniu,</w:t>
            </w:r>
          </w:p>
          <w:p w14:paraId="5C341818" w14:textId="249758C6" w:rsidR="00B265ED" w:rsidRPr="007A7671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-otyłość;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47C7" w14:textId="2913F4C2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Powrót na wykaz leków refundowanych po 5-miesięcznej nieobecności, we wskazaniu niezmienionym w stosunku do wskazania obowiązującego do 31 października 2023 r.</w:t>
            </w:r>
          </w:p>
        </w:tc>
      </w:tr>
      <w:tr w:rsidR="00A22EE5" w:rsidRPr="004D093B" w14:paraId="3F53E28F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34F6" w14:textId="2F8D7CE5" w:rsidR="00A22EE5" w:rsidRPr="004D093B" w:rsidRDefault="00A510E6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A373" w14:textId="4C408140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Jardiance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43B4" w14:textId="61AB51E9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empagliflozyna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0A76" w14:textId="04723370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>Przewlekła niewydolność serca u dorosłych pacjentów z LVEF≤50% oraz utrzymującymi się objawami choroby w klasie II-IV NYHA: - pomimo zastosowania terapii opartej na ACEi (lub ARB/ARNi) i lekach z grupy betaadrenolityków oraz jeśli wskazane antagonistach receptora mineralokortykoidów (z frakcją wyrzutową z LVEF ≤40%) lub - pomimo zastosowania terapii opartej na ACEi (lub ARB/ARNi) i lekach z grupy betaadrenolityków oraz jeśli wskazane diuretykach (z frakcją wyrzutową z LVEF 41-50%)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21F1" w14:textId="2C2BF05C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</w:t>
            </w:r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wskazania do stosowania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empa</w:t>
            </w:r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>gliflozyny u chorych z niewydolnością serca, poprzez zmianę wymaganej do rozpoczęcia leczenia frakcji wyrzutowej lewej komory serca z poziomu ≤40% na ≤50%.</w:t>
            </w:r>
          </w:p>
        </w:tc>
      </w:tr>
      <w:tr w:rsidR="004F7A4E" w:rsidRPr="004D093B" w14:paraId="4C0E4342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EA6B" w14:textId="4A8B3BB3" w:rsidR="004F7A4E" w:rsidRPr="004D093B" w:rsidRDefault="00A510E6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0A7A" w14:textId="0BEE948A" w:rsidR="004F7A4E" w:rsidRDefault="004F7A4E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Jardiance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AA9C" w14:textId="26D7120C" w:rsidR="004F7A4E" w:rsidRDefault="004F7A4E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empagliflozyna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F6AA" w14:textId="59B2C476" w:rsidR="004F7A4E" w:rsidRPr="004F7A4E" w:rsidRDefault="006858B7" w:rsidP="004F7A4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858B7">
              <w:rPr>
                <w:rFonts w:ascii="Lato" w:hAnsi="Lato" w:cstheme="majorHAnsi"/>
                <w:color w:val="000000"/>
                <w:sz w:val="18"/>
                <w:szCs w:val="18"/>
              </w:rPr>
              <w:t>Przewlekła choroba nerek u dorosłych pacjentów z eGFR &lt;60 ml/min/1.73m2, albuminurią lub białkomoczem oraz leczonych terapią opartą na ACE-i/ARB nie krócej niż 4 tygodnie lub z przeciwskazaniami do tych terapii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C959" w14:textId="5508FF14" w:rsidR="004F7A4E" w:rsidRDefault="004F7A4E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obecnie refundowanych wskazań klinicznych o przewlekłą chorobę nerek u pacjentów dorosłych.</w:t>
            </w:r>
          </w:p>
        </w:tc>
      </w:tr>
      <w:tr w:rsidR="00A22EE5" w:rsidRPr="004D093B" w14:paraId="6E8D63E1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2C6A" w14:textId="31A6F4D7" w:rsidR="00A22EE5" w:rsidRPr="004D093B" w:rsidRDefault="00A510E6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8001" w14:textId="2CB0B464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Mizetam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6143" w14:textId="1205384C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ezetymib + atorwastatyna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005C" w14:textId="31CD1BEC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>Leczenie wspomagające do stosowania wraz z dietą u pacjentów dorosłych z pierwotną hipercholesterolemią (heterozygotyczną i homozygotyczną rodzinną i nierodzinną) lub mieszaną hiperlipidemią już kontrolowaną za pomocą atorwastatyny i ezetymibu, które są podawane w takich samych dawkach; Zapobieganie zdarzeniom sercowo-naczyniowym, tj. jako leczenie substytucyjne u pacjentów z chorobą niedokrwienną serca i ostrym zespołem wieńcowym w wywiadzie, u których uzyskano kontrolę choroby stosując jednocześnie pojedyncze substancje czynne w osobnych produktach leczniczych, ale w takich samych dawkach, jak w produkcie złożonym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AC06" w14:textId="5015A05E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do stosowania leku złożonego w zapobieganiu zdarzeń sercowo-naczyniowych </w:t>
            </w:r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>u pacjentów z chorobą niedokrwienną serca i ostrym zespołem wieńcowym w wywiadzie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EA2DBB" w:rsidRPr="004D093B" w14:paraId="3E62A70D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749D9E9A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D9AF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Różne nazwy </w:t>
            </w:r>
          </w:p>
          <w:p w14:paraId="2451D194" w14:textId="2603D442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7BF2BEF7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ezetymib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2A950583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752F28">
              <w:rPr>
                <w:rFonts w:ascii="Lato" w:hAnsi="Lato" w:cstheme="majorHAnsi"/>
                <w:color w:val="000000"/>
                <w:sz w:val="18"/>
                <w:szCs w:val="18"/>
              </w:rPr>
              <w:t>Leczenie uzupełniające w trakcie leczenia statyną lub włączane jednocześnie ze statyną albo leczenie w przypadku stwierdzenia nietolerancji co najmniej 2 statyn – jednej w najmniejszej początkowej dawce na dobę i drugiej w dowolnej dostępnej dawce przez okres leczenia nie krótszy niż 3 miesiące, w celu zapobiegania zdarzeniom sercowo-naczyniowym u pacjentów, u których ryzyko pierwszego lub kolejnego zdarzenia sercowo-naczyniowego oceniane jest jako co najmniej duże, wraz z działaniami mającymi na celu redukcję innych czynników ryzyka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32014F21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Zmiana wskazania refundacyjnego z: „</w:t>
            </w:r>
            <w:r w:rsidRPr="008F4093">
              <w:rPr>
                <w:rFonts w:ascii="Lato" w:hAnsi="Lato" w:cstheme="majorHAnsi"/>
                <w:color w:val="000000"/>
                <w:sz w:val="18"/>
                <w:szCs w:val="18"/>
              </w:rPr>
              <w:t>Hipercholesterolemia LDL-C powyżej 130 mg/dl utrzymująca się pomimo terapii statynami w przypadku: stanu po zawale serca lub rewaskularyzacji wieńcowej (przezskórnej lub kardiochirurgicznej), stanu po rewaskularyzacji obwodowej lub amputacji obwodowej z powodu choroby miażdżycowej, hipercholesterolemii rodzinnej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”, skutkująca rozszerzeniem populacji.</w:t>
            </w:r>
          </w:p>
        </w:tc>
      </w:tr>
      <w:tr w:rsidR="00EA2DBB" w:rsidRPr="004D093B" w14:paraId="6E8A1919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0016" w14:textId="1F876CD5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64F9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Różne nazwy </w:t>
            </w:r>
          </w:p>
          <w:p w14:paraId="7BCD168B" w14:textId="3C3FA94E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C870" w14:textId="714EF11F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mykofenolan mofetylu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2092" w14:textId="7C851FA7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M</w:t>
            </w:r>
            <w:r w:rsidRPr="00C9587D">
              <w:rPr>
                <w:rFonts w:ascii="Lato" w:hAnsi="Lato" w:cstheme="majorHAnsi"/>
                <w:sz w:val="18"/>
                <w:szCs w:val="18"/>
              </w:rPr>
              <w:t>iastenia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515E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W ramach kompleksowego podejścia do leczenia chorych na miastenię do refundacji wprowadzono wszystkie możliwe technologie dla tej jednostki chorobowej.</w:t>
            </w:r>
          </w:p>
          <w:p w14:paraId="4B6A34D3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off-label)</w:t>
            </w:r>
          </w:p>
          <w:p w14:paraId="10823724" w14:textId="44796CE7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97FA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EA2DBB" w:rsidRPr="004D093B" w14:paraId="60EFD408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4E3C" w14:textId="42FF5610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A321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Różne nazwy </w:t>
            </w:r>
          </w:p>
          <w:p w14:paraId="5683414E" w14:textId="00A5C7DD" w:rsidR="00EA2DBB" w:rsidRPr="003B6D68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25E8" w14:textId="72F11677" w:rsidR="00EA2DBB" w:rsidRPr="003B6D68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takrolimus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DD37" w14:textId="25F7CCE0" w:rsidR="00EA2DBB" w:rsidRPr="003B6D68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>Zespół Henoch-Schoenleina (zapalenie naczyń spowodowane IgA, IgA-vasculitis) w przypadku nietolerancji, przeciwwskazań lub oporności na inne metody leczenia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7F6C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Nowe wskazanie refundacyjne w ramach leczenia takrolimusem.</w:t>
            </w:r>
          </w:p>
          <w:p w14:paraId="2E5A8011" w14:textId="52D4281A" w:rsidR="00EA2DBB" w:rsidRPr="003B6D68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off-label)</w:t>
            </w:r>
          </w:p>
        </w:tc>
      </w:tr>
      <w:tr w:rsidR="00EA2DBB" w:rsidRPr="004D093B" w14:paraId="0C276518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F0A7" w14:textId="7ABFF8CD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4D6E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Różne nazwy </w:t>
            </w:r>
          </w:p>
          <w:p w14:paraId="65AF24A9" w14:textId="6F8E4296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5A1D" w14:textId="3F9D553A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takrolimus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C189" w14:textId="11DB58BB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>Zespół nerczycowy sterydozależny/zespół nerczycowy sterydooporny/zespół nerczycowy nawracający - w przypadku nietolerancji cyklosporyny lub oporności na cyklosporynę, nefropatia toczniowa/toczniowe zapalenie nerek - w przypadku nietolerancji, przeciwwskazań lub oporności na inne metody leczenia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BC6D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jednego z dotychczas obowiązujących wskazań refundacyjnych takrolimusu.</w:t>
            </w:r>
          </w:p>
          <w:p w14:paraId="41D464AF" w14:textId="233467CF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off-label)</w:t>
            </w:r>
          </w:p>
        </w:tc>
      </w:tr>
      <w:tr w:rsidR="00EA2DBB" w:rsidRPr="004D093B" w14:paraId="51CD7DCD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BF5C" w14:textId="1994D552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189F" w14:textId="26E5D5CF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Rxulti 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4A54" w14:textId="5A48242A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brekspiprazol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45B1" w14:textId="1CA0416B" w:rsidR="00EA2DBB" w:rsidRPr="00752F28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S</w:t>
            </w:r>
            <w:r w:rsidRPr="007A76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chizofrenia u pacjentów dorosłych po nieskuteczności lub w przypadku przeciwwskazań do terapii pozostałymi lekami przeciwpsychotycznymi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 </w:t>
            </w:r>
            <w:r w:rsidRPr="007A7671">
              <w:rPr>
                <w:rFonts w:ascii="Lato" w:hAnsi="Lato" w:cstheme="majorHAnsi"/>
                <w:color w:val="000000"/>
                <w:sz w:val="18"/>
                <w:szCs w:val="18"/>
              </w:rPr>
              <w:t>generacji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7496" w14:textId="4AFA5766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Brekspiprazol jest kolejnym atypowym lekiem przeciwpsychotycznym, który </w:t>
            </w:r>
            <w:r w:rsidRPr="004F44A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poszerza zakres możliwości terapeutycznych w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doustnym </w:t>
            </w:r>
            <w:r w:rsidRPr="004F44A5">
              <w:rPr>
                <w:rFonts w:ascii="Lato" w:hAnsi="Lato" w:cstheme="majorHAnsi"/>
                <w:color w:val="000000"/>
                <w:sz w:val="18"/>
                <w:szCs w:val="18"/>
              </w:rPr>
              <w:t>leczeniu schizofrenii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Charakteryzuje się korzystnym profilem metabolicznym. Analogicznie jak lurazydon będzie refundowany w przypadku </w:t>
            </w:r>
            <w:r w:rsidRPr="007A7671">
              <w:rPr>
                <w:rFonts w:ascii="Lato" w:hAnsi="Lato" w:cstheme="majorHAnsi"/>
                <w:color w:val="000000"/>
                <w:sz w:val="18"/>
                <w:szCs w:val="18"/>
              </w:rPr>
              <w:t>nieskuteczności lub przeciwwskazań do terapii pozostałymi lekami przeciwpsychotycznymi II generacji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jednak wyłącznie w populacji osób dorosłych. </w:t>
            </w:r>
          </w:p>
        </w:tc>
      </w:tr>
      <w:tr w:rsidR="00EA2DBB" w:rsidRPr="004D093B" w14:paraId="6B947B67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718D" w14:textId="4DFEE466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F51B" w14:textId="00F7C05F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B6D6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Ryeqo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E034" w14:textId="3B9BA799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3B6D6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relugolixum + estradiolum + norethisterone acetate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0B19" w14:textId="5D795D11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B6D68">
              <w:rPr>
                <w:rFonts w:ascii="Lato" w:hAnsi="Lato" w:cstheme="majorHAnsi"/>
                <w:color w:val="000000"/>
                <w:sz w:val="18"/>
                <w:szCs w:val="18"/>
              </w:rPr>
              <w:t>Leczenie do dwóch lat ciężkich objawów mięśniaków macicy w postaci nasilonych krwawień u dorosłych kobiet w wieku rozrodczym, po weryfikacji histologicznej endometrium, niekwalifikujących się do leczenia operacyjnego, po nieskutecznym leczeniu zachowawczym objawów lekami zawierającymi pochodne o działaniu gestagennym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A09C" w14:textId="13F43B3B" w:rsidR="00EA2DBB" w:rsidRPr="0028384A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Nowy lek wieloskładnikowy stosowany w leczeniu mięśniaków macicy dostępny w ramach refundacji aptecznej. </w:t>
            </w:r>
          </w:p>
        </w:tc>
      </w:tr>
      <w:tr w:rsidR="00EA2DBB" w:rsidRPr="004D093B" w14:paraId="4DE1700A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AA37" w14:textId="7C8B5BBC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D34D" w14:textId="0F376524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Solitombo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0A36" w14:textId="5B2FBD5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solifenacyna + tamsulosyna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A046" w14:textId="517F9356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F61F5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umiarkowanych i ciężkich objawów w fazie napełnienia pęcherza i w fazie opróżniania pęcherza, związanych z łagodnym rozrostem gruczołu krokowego u mężczyzn, którzy niewystarczająco odpowiadają na leczenie w monoterapi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4B11" w14:textId="26443731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Produkt leczniczy złożony. Preparat zawiera połączenie dwóch substancji czynnych stosowanych w łagodnym rozroście gruczołu krokowego. Produkt korzystnie wpływa na zachowanie odpowiedniej adherencji terapeutycznej.</w:t>
            </w:r>
          </w:p>
        </w:tc>
      </w:tr>
      <w:tr w:rsidR="00EA2DBB" w:rsidRPr="004D093B" w14:paraId="32588211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16AB" w14:textId="56341BA4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7F62" w14:textId="21A77E5D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Veltassa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7D3C" w14:textId="31A78164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</w:t>
            </w:r>
            <w:r w:rsidRPr="00D3459A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atiromer 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4E34" w14:textId="021B975F" w:rsidR="00EA2DBB" w:rsidRPr="00C9587D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D3459A">
              <w:rPr>
                <w:rFonts w:ascii="Lato" w:hAnsi="Lato" w:cstheme="majorHAnsi"/>
                <w:color w:val="000000"/>
                <w:sz w:val="18"/>
                <w:szCs w:val="18"/>
              </w:rPr>
              <w:t>Leczenie hyperkaliemii u dorosłych pacjentów w przebiegu przewlekłej choroby nerek w stopniu 3b-5, u chorych przyjmujących leki z grupy inhibitorów układu renina-angiotensyna-aldosteron (inhibitory ACE oraz inhibitory receptora dla angiotensyny)</w:t>
            </w:r>
            <w:r>
              <w:rPr>
                <w:rFonts w:ascii="Lato" w:hAnsi="Lato"/>
              </w:rPr>
              <w:fldChar w:fldCharType="begin"/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</w:rPr>
              <w:t>«wskazanie_ref_apteka»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DA45" w14:textId="77777777" w:rsidR="00EA2DBB" w:rsidRPr="00CB1DE1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B1DE1">
              <w:rPr>
                <w:rFonts w:ascii="Lato" w:hAnsi="Lato" w:cstheme="majorHAnsi"/>
                <w:color w:val="000000"/>
                <w:sz w:val="18"/>
                <w:szCs w:val="18"/>
              </w:rPr>
              <w:t>Produkt leczniczy stosowany w hiperkaliemii u dorosłych pacjentów. Patiromer jest niewchłanialnym polimerem, który zwiększa wydalanie potasu poprzez wiązanie potasu w świetle przewodu pokarmowego.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Lek finansowany w ramach Funduszu Medycznego.</w:t>
            </w:r>
          </w:p>
          <w:p w14:paraId="1A93C77B" w14:textId="24E48334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(TLK)</w:t>
            </w:r>
          </w:p>
        </w:tc>
      </w:tr>
      <w:bookmarkEnd w:id="2"/>
    </w:tbl>
    <w:p w14:paraId="6B996492" w14:textId="0986F7C0" w:rsidR="009D10B8" w:rsidRDefault="009D10B8" w:rsidP="0068046C">
      <w:pPr>
        <w:suppressAutoHyphens w:val="0"/>
        <w:rPr>
          <w:rFonts w:ascii="Lato" w:hAnsi="Lato"/>
          <w:b/>
          <w:bCs/>
          <w:color w:val="00B0F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0" w:type="dxa"/>
          <w:bottom w:w="57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1"/>
        <w:gridCol w:w="5673"/>
        <w:gridCol w:w="5209"/>
      </w:tblGrid>
      <w:tr w:rsidR="000F61F5" w:rsidRPr="001A28EB" w14:paraId="6BCE8CED" w14:textId="77777777" w:rsidTr="00C45B7B">
        <w:trPr>
          <w:trHeight w:val="328"/>
        </w:trPr>
        <w:tc>
          <w:tcPr>
            <w:tcW w:w="5000" w:type="pct"/>
            <w:gridSpan w:val="4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232F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bookmarkStart w:id="3" w:name="_Hlk148004033"/>
            <w:r w:rsidRPr="001A28EB">
              <w:rPr>
                <w:rFonts w:ascii="Lato" w:hAnsi="Lato" w:cstheme="majorHAnsi"/>
                <w:b/>
                <w:bCs/>
                <w:color w:val="FFFFFF"/>
              </w:rPr>
              <w:t>Zmiany na liście 65+</w:t>
            </w:r>
          </w:p>
        </w:tc>
      </w:tr>
      <w:tr w:rsidR="000F61F5" w:rsidRPr="001A28EB" w14:paraId="2E28E9A6" w14:textId="77777777" w:rsidTr="00C45B7B">
        <w:tc>
          <w:tcPr>
            <w:tcW w:w="24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4B8B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1A28EB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5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BFF9E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1A28EB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202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A2E6F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1A28EB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861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43097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1A28EB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Dodatkowe informacje</w:t>
            </w:r>
          </w:p>
        </w:tc>
      </w:tr>
      <w:tr w:rsidR="000F61F5" w:rsidRPr="001A28EB" w14:paraId="5542B4FE" w14:textId="77777777" w:rsidTr="00C45B7B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84225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A28EB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7229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kanagliflozyna</w:t>
            </w:r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7E50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1A28E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Cukrzyca typu 2 u pacjentów leczonych </w:t>
            </w:r>
            <w:r w:rsidRPr="001A28E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co najmniej dwoma lekami hipoglikemizującymi, z HbA1c ≥ 7,5%</w:t>
            </w:r>
            <w:r w:rsidRPr="001A28E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 bardzo wysokim ryzykiem sercowo-naczyniowym rozumianym jako: 1)potwierdzona choroba sercowo-naczyniowa, lub 2)uszkodzenie innych narządów objawiające się poprzez: białkomocz lub przerost lewej komory lub retinopatię, lub 3)obecność 3 lub więcej głównych czynników ryzyka spośród wymienionych poniżej: -wiek ≥ 55 lat dla mężczyzn, ≥60 lat dla kobiet, -dyslipidemia, -nadciśnienie tętnicze, -palenie tytoniu, -otyłość.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A0B9" w14:textId="77777777" w:rsidR="000F61F5" w:rsidRPr="001A28EB" w:rsidRDefault="000F61F5" w:rsidP="00C45B7B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Powrót na wykaz leków refundowanych i na listę bezpłatnych leków dla seniorów po 5-miesięcznej nieobecności, we wskazaniu niezmienionym w stosunku do wskazania obowiązującego do 31 października 2023 r.</w:t>
            </w:r>
          </w:p>
        </w:tc>
      </w:tr>
      <w:tr w:rsidR="00CB1DE1" w:rsidRPr="001A28EB" w14:paraId="1E20C47E" w14:textId="77777777" w:rsidTr="00C45B7B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9C9B" w14:textId="44001DC4" w:rsidR="00CB1DE1" w:rsidRPr="001A28EB" w:rsidRDefault="00CB1DE1" w:rsidP="00CB1DE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8DF2" w14:textId="14170F7B" w:rsidR="00CB1DE1" w:rsidRDefault="00CB1DE1" w:rsidP="00CB1DE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solifenacyna + tamsulosyna</w:t>
            </w:r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5A21" w14:textId="53B9AEA2" w:rsidR="00CB1DE1" w:rsidRPr="001A28EB" w:rsidRDefault="00CB1DE1" w:rsidP="00CB1DE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F61F5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umiarkowanych i ciężkich objawów w fazie napełnienia pęcherza i w fazie opróżniania pęcherza, związanych z łagodnym rozrostem gruczołu krokowego u mężczyzn, którzy niewystarczająco odpowiadają na leczenie w monoterapi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55F7" w14:textId="0D34CFF3" w:rsidR="00CB1DE1" w:rsidRDefault="00CB1DE1" w:rsidP="00CB1DE1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Produkt leczniczy złożony. Obecnie na wykazie 65+ znajdują się produkty lecznicze jednoskładnikowe z solifenacyną oraz tamsulosyną.</w:t>
            </w:r>
          </w:p>
        </w:tc>
      </w:tr>
      <w:bookmarkEnd w:id="3"/>
    </w:tbl>
    <w:p w14:paraId="5FEAC7C3" w14:textId="1E597D96" w:rsidR="0011263C" w:rsidRDefault="0011263C" w:rsidP="0068046C">
      <w:pPr>
        <w:suppressAutoHyphens w:val="0"/>
        <w:rPr>
          <w:rFonts w:ascii="Lato" w:hAnsi="Lato"/>
          <w:b/>
          <w:bCs/>
          <w:color w:val="00B0F0"/>
        </w:rPr>
      </w:pPr>
    </w:p>
    <w:p w14:paraId="6A33A521" w14:textId="77777777" w:rsidR="0011263C" w:rsidRDefault="0011263C">
      <w:pPr>
        <w:suppressAutoHyphens w:val="0"/>
        <w:rPr>
          <w:rFonts w:ascii="Lato" w:hAnsi="Lato"/>
          <w:b/>
          <w:bCs/>
          <w:color w:val="00B0F0"/>
        </w:rPr>
      </w:pPr>
      <w:r>
        <w:rPr>
          <w:rFonts w:ascii="Lato" w:hAnsi="Lato"/>
          <w:b/>
          <w:bCs/>
          <w:color w:val="00B0F0"/>
        </w:rPr>
        <w:br w:type="page"/>
      </w:r>
    </w:p>
    <w:p w14:paraId="44843106" w14:textId="77777777" w:rsidR="00584C82" w:rsidRDefault="00584C82" w:rsidP="0068046C">
      <w:pPr>
        <w:suppressAutoHyphens w:val="0"/>
        <w:rPr>
          <w:rFonts w:ascii="Lato" w:hAnsi="Lato"/>
          <w:b/>
          <w:bCs/>
          <w:color w:val="00B0F0"/>
        </w:rPr>
      </w:pPr>
    </w:p>
    <w:p w14:paraId="52F20E92" w14:textId="77777777" w:rsidR="0057280A" w:rsidRDefault="0057280A" w:rsidP="0057280A">
      <w:pPr>
        <w:suppressAutoHyphens w:val="0"/>
        <w:jc w:val="center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t>POLSKIE LEKI</w:t>
      </w:r>
    </w:p>
    <w:p w14:paraId="2B25DB72" w14:textId="77777777" w:rsidR="0057280A" w:rsidRPr="00032F73" w:rsidRDefault="0057280A" w:rsidP="0057280A">
      <w:pPr>
        <w:spacing w:after="120" w:line="360" w:lineRule="auto"/>
        <w:rPr>
          <w:rFonts w:ascii="Lato" w:hAnsi="Lato"/>
        </w:rPr>
      </w:pPr>
      <w:r>
        <w:rPr>
          <w:rFonts w:ascii="Lato" w:hAnsi="Lato"/>
        </w:rPr>
        <w:t>Ustawa z dnia</w:t>
      </w:r>
      <w:r w:rsidRPr="00032F73">
        <w:rPr>
          <w:rFonts w:ascii="Lato" w:hAnsi="Lato"/>
        </w:rPr>
        <w:t xml:space="preserve"> </w:t>
      </w:r>
      <w:r>
        <w:rPr>
          <w:rFonts w:ascii="Lato" w:hAnsi="Lato"/>
        </w:rPr>
        <w:t xml:space="preserve">17 sierpnia 2023 r. </w:t>
      </w:r>
      <w:r w:rsidRPr="00032F73">
        <w:rPr>
          <w:rFonts w:ascii="Lato" w:hAnsi="Lato"/>
        </w:rPr>
        <w:t>o zmianie ustawy o refundacji leków, środków spożywczych specjalnego przeznaczenia żywieniowego oraz wyrobów medycznych oraz niektórych innych ustaw</w:t>
      </w:r>
      <w:r w:rsidRPr="00AD3429">
        <w:t xml:space="preserve"> </w:t>
      </w:r>
      <w:r w:rsidRPr="00AD3429">
        <w:rPr>
          <w:rFonts w:ascii="Lato" w:hAnsi="Lato"/>
        </w:rPr>
        <w:t>(Dz.</w:t>
      </w:r>
      <w:r>
        <w:rPr>
          <w:rFonts w:ascii="Lato" w:hAnsi="Lato"/>
        </w:rPr>
        <w:t xml:space="preserve"> </w:t>
      </w:r>
      <w:r w:rsidRPr="00AD3429">
        <w:rPr>
          <w:rFonts w:ascii="Lato" w:hAnsi="Lato"/>
        </w:rPr>
        <w:t>U. z 2023 r. poz. 1938)</w:t>
      </w:r>
      <w:r>
        <w:rPr>
          <w:rFonts w:ascii="Lato" w:hAnsi="Lato"/>
        </w:rPr>
        <w:t xml:space="preserve"> wprowadziła nowe rozwiązania mające na celu </w:t>
      </w:r>
      <w:r w:rsidRPr="00032F73">
        <w:rPr>
          <w:rFonts w:ascii="Lato" w:hAnsi="Lato"/>
        </w:rPr>
        <w:t>zwiększenie udziału w rynku produktów leczniczych wytwarzanych przez przemysł farmaceutyczny na terytorium Polski</w:t>
      </w:r>
      <w:r>
        <w:rPr>
          <w:rFonts w:ascii="Lato" w:hAnsi="Lato"/>
        </w:rPr>
        <w:t xml:space="preserve">. </w:t>
      </w:r>
      <w:r w:rsidRPr="00032F73">
        <w:rPr>
          <w:rFonts w:ascii="Lato" w:hAnsi="Lato"/>
        </w:rPr>
        <w:t>Przedmiotowa nowelizacja ustawy o refundacji, wprowadz</w:t>
      </w:r>
      <w:r>
        <w:rPr>
          <w:rFonts w:ascii="Lato" w:hAnsi="Lato"/>
        </w:rPr>
        <w:t>iła</w:t>
      </w:r>
      <w:r w:rsidRPr="00032F73">
        <w:rPr>
          <w:rFonts w:ascii="Lato" w:hAnsi="Lato"/>
        </w:rPr>
        <w:t xml:space="preserve"> </w:t>
      </w:r>
      <w:r>
        <w:rPr>
          <w:rFonts w:ascii="Lato" w:hAnsi="Lato"/>
        </w:rPr>
        <w:t xml:space="preserve">szereg </w:t>
      </w:r>
      <w:r w:rsidRPr="00032F73">
        <w:rPr>
          <w:rFonts w:ascii="Lato" w:hAnsi="Lato"/>
        </w:rPr>
        <w:t>przepis</w:t>
      </w:r>
      <w:r>
        <w:rPr>
          <w:rFonts w:ascii="Lato" w:hAnsi="Lato"/>
        </w:rPr>
        <w:t>ów</w:t>
      </w:r>
      <w:r w:rsidRPr="00032F73">
        <w:rPr>
          <w:rFonts w:ascii="Lato" w:hAnsi="Lato"/>
        </w:rPr>
        <w:t xml:space="preserve"> dotycząc</w:t>
      </w:r>
      <w:r>
        <w:rPr>
          <w:rFonts w:ascii="Lato" w:hAnsi="Lato"/>
        </w:rPr>
        <w:t>ych</w:t>
      </w:r>
      <w:r w:rsidRPr="00032F73">
        <w:rPr>
          <w:rFonts w:ascii="Lato" w:hAnsi="Lato"/>
        </w:rPr>
        <w:t xml:space="preserve"> zarówno bezpośrednio Bezpieczeństwa Lekowego Polski (BLP), jak i pośrednio </w:t>
      </w:r>
      <w:r>
        <w:rPr>
          <w:rFonts w:ascii="Lato" w:hAnsi="Lato"/>
        </w:rPr>
        <w:t>wpływających</w:t>
      </w:r>
      <w:r w:rsidRPr="00032F73">
        <w:rPr>
          <w:rFonts w:ascii="Lato" w:hAnsi="Lato"/>
        </w:rPr>
        <w:t xml:space="preserve"> na dostępność leków dla pacjentów.</w:t>
      </w:r>
      <w:r>
        <w:rPr>
          <w:rFonts w:ascii="Lato" w:hAnsi="Lato"/>
        </w:rPr>
        <w:t xml:space="preserve"> </w:t>
      </w:r>
      <w:r w:rsidRPr="00032F73">
        <w:rPr>
          <w:rFonts w:ascii="Lato" w:hAnsi="Lato"/>
        </w:rPr>
        <w:t>Zaproponowany w ustawie mechanizm BLP, pozwala zwiększyć znaczenie wpływu działalności inwestycyjnej wnioskodawcy w zakresie związanym z ochroną zdrowia na terytorium R</w:t>
      </w:r>
      <w:r>
        <w:rPr>
          <w:rFonts w:ascii="Lato" w:hAnsi="Lato"/>
        </w:rPr>
        <w:t>zeczypospolitej Polskiej</w:t>
      </w:r>
      <w:r w:rsidRPr="00032F73">
        <w:rPr>
          <w:rFonts w:ascii="Lato" w:hAnsi="Lato"/>
        </w:rPr>
        <w:t xml:space="preserve">, zwłaszcza uwzględniający aspekt produkcji leków na terytorium Rzeczpospolitej Polskiej bądź wykorzystania do produkcji takich leków substancji czynnej wyprodukowanej na terytorium Rzeczpospolitej Polskiej stanowi zachętę do rozwoju produkcji substancji czynnych i leków w kraju.  Dzięki </w:t>
      </w:r>
      <w:r>
        <w:rPr>
          <w:rFonts w:ascii="Lato" w:hAnsi="Lato"/>
        </w:rPr>
        <w:t>wprowadzonym</w:t>
      </w:r>
      <w:r w:rsidRPr="00032F73">
        <w:rPr>
          <w:rFonts w:ascii="Lato" w:hAnsi="Lato"/>
        </w:rPr>
        <w:t xml:space="preserve"> </w:t>
      </w:r>
      <w:r>
        <w:rPr>
          <w:rFonts w:ascii="Lato" w:hAnsi="Lato"/>
        </w:rPr>
        <w:t>regulacjom</w:t>
      </w:r>
      <w:r w:rsidRPr="00032F73">
        <w:rPr>
          <w:rFonts w:ascii="Lato" w:hAnsi="Lato"/>
        </w:rPr>
        <w:t xml:space="preserve"> możliwe </w:t>
      </w:r>
      <w:r>
        <w:rPr>
          <w:rFonts w:ascii="Lato" w:hAnsi="Lato"/>
        </w:rPr>
        <w:t>jest</w:t>
      </w:r>
      <w:r w:rsidRPr="00032F73">
        <w:rPr>
          <w:rFonts w:ascii="Lato" w:hAnsi="Lato"/>
        </w:rPr>
        <w:t xml:space="preserve"> wnioskowanie o większe benefity w zakresie refundacji. </w:t>
      </w:r>
      <w:r>
        <w:rPr>
          <w:rFonts w:ascii="Lato" w:hAnsi="Lato"/>
        </w:rPr>
        <w:t xml:space="preserve">Obecnie </w:t>
      </w:r>
      <w:r w:rsidRPr="00032F73">
        <w:rPr>
          <w:rFonts w:ascii="Lato" w:hAnsi="Lato"/>
        </w:rPr>
        <w:t xml:space="preserve">Wnioskodawcy </w:t>
      </w:r>
      <w:r>
        <w:rPr>
          <w:rFonts w:ascii="Lato" w:hAnsi="Lato"/>
        </w:rPr>
        <w:t>mogą</w:t>
      </w:r>
      <w:r w:rsidRPr="00032F73">
        <w:rPr>
          <w:rFonts w:ascii="Lato" w:hAnsi="Lato"/>
        </w:rPr>
        <w:t xml:space="preserve"> się ubiegać o następujące preferencje:</w:t>
      </w:r>
    </w:p>
    <w:p w14:paraId="6660672C" w14:textId="77777777" w:rsidR="0057280A" w:rsidRPr="000F15DB" w:rsidRDefault="0057280A" w:rsidP="0057280A">
      <w:pPr>
        <w:pStyle w:val="Akapitzlist"/>
        <w:numPr>
          <w:ilvl w:val="0"/>
          <w:numId w:val="28"/>
        </w:numPr>
        <w:spacing w:after="120" w:line="360" w:lineRule="auto"/>
        <w:rPr>
          <w:rFonts w:ascii="Lato" w:hAnsi="Lato"/>
        </w:rPr>
      </w:pPr>
      <w:r w:rsidRPr="000F15DB">
        <w:rPr>
          <w:rFonts w:ascii="Lato" w:hAnsi="Lato"/>
        </w:rPr>
        <w:t>zwolnienie z obowiązku zapłaty kwoty przekroczenia w przypadku przekroczenia całkowitego budżetu na refundację, o którym mowa w art. 4 (tzw. payback ustawowy), wówczas koszt ten ponosi Fundusz,</w:t>
      </w:r>
    </w:p>
    <w:p w14:paraId="1B62FD1F" w14:textId="77777777" w:rsidR="0057280A" w:rsidRPr="000F15DB" w:rsidRDefault="0057280A" w:rsidP="0057280A">
      <w:pPr>
        <w:pStyle w:val="Akapitzlist"/>
        <w:numPr>
          <w:ilvl w:val="0"/>
          <w:numId w:val="28"/>
        </w:numPr>
        <w:spacing w:after="120" w:line="360" w:lineRule="auto"/>
        <w:rPr>
          <w:rFonts w:ascii="Lato" w:hAnsi="Lato"/>
        </w:rPr>
      </w:pPr>
      <w:r w:rsidRPr="000F15DB">
        <w:rPr>
          <w:rFonts w:ascii="Lato" w:hAnsi="Lato"/>
        </w:rPr>
        <w:t>wydanie pierwszej decyzji o objęciu refundacją na okres 3 lat, a każdej kolejnej decyzji o objęciu refundacją na okres 5 lat pod warunkiem, że proponowana cena zbytu netto nie przekroczy 150% ceny zbytu netto leku stanowiącej podstawę limitu w grupie limitowej, w której znajduje się lek będący przedmiotem wniosku, z obwieszczenia Ministra Zdrowia, obowiązującego w dniu złożenia wniosku, chyba że lek nie był dotychczas wytwarzany w Polsce wówczas pierwsza decyzja o objęciu refundacją jest wydawana na okres 5 lat,</w:t>
      </w:r>
    </w:p>
    <w:p w14:paraId="3F954496" w14:textId="77777777" w:rsidR="0057280A" w:rsidRPr="000F15DB" w:rsidRDefault="0057280A" w:rsidP="0057280A">
      <w:pPr>
        <w:pStyle w:val="Akapitzlist"/>
        <w:numPr>
          <w:ilvl w:val="0"/>
          <w:numId w:val="28"/>
        </w:numPr>
        <w:spacing w:after="120" w:line="360" w:lineRule="auto"/>
        <w:rPr>
          <w:rFonts w:ascii="Lato" w:hAnsi="Lato"/>
        </w:rPr>
      </w:pPr>
      <w:r w:rsidRPr="000F15DB">
        <w:rPr>
          <w:rFonts w:ascii="Lato" w:hAnsi="Lato"/>
        </w:rPr>
        <w:t>zwolnione z negocjacji cenowych z Komisją Ekonomiczną, w ramach wniosków stanowiących kontynuację refundacji leku refundowanych w aptece,</w:t>
      </w:r>
    </w:p>
    <w:p w14:paraId="5C74FC6B" w14:textId="77777777" w:rsidR="0057280A" w:rsidRPr="000F15DB" w:rsidRDefault="0057280A" w:rsidP="0057280A">
      <w:pPr>
        <w:pStyle w:val="Akapitzlist"/>
        <w:numPr>
          <w:ilvl w:val="0"/>
          <w:numId w:val="28"/>
        </w:numPr>
        <w:spacing w:after="120" w:line="360" w:lineRule="auto"/>
        <w:rPr>
          <w:rFonts w:ascii="Lato" w:hAnsi="Lato"/>
        </w:rPr>
      </w:pPr>
      <w:r w:rsidRPr="000F15DB">
        <w:rPr>
          <w:rFonts w:ascii="Lato" w:hAnsi="Lato"/>
        </w:rPr>
        <w:t>rozpatrzenie wniosku w terminie nie dłuższym niż 90 dni, dla leków dostępnych w aptece, oraz nie dłuższym niż 120 dni dla leków refundowanych w ramach chemioterapii lub programów lekowych,</w:t>
      </w:r>
    </w:p>
    <w:p w14:paraId="0F046B1E" w14:textId="77777777" w:rsidR="0057280A" w:rsidRPr="000F15DB" w:rsidRDefault="0057280A" w:rsidP="0057280A">
      <w:pPr>
        <w:pStyle w:val="Akapitzlist"/>
        <w:numPr>
          <w:ilvl w:val="0"/>
          <w:numId w:val="28"/>
        </w:numPr>
        <w:spacing w:after="120" w:line="360" w:lineRule="auto"/>
        <w:rPr>
          <w:rFonts w:ascii="Lato" w:hAnsi="Lato"/>
        </w:rPr>
      </w:pPr>
      <w:r w:rsidRPr="000F15DB">
        <w:rPr>
          <w:rFonts w:ascii="Lato" w:hAnsi="Lato"/>
        </w:rPr>
        <w:t>zmniejszenie opłaty za złożenie wniosku lub jego uzupełnienie do poziomu 50%,</w:t>
      </w:r>
    </w:p>
    <w:p w14:paraId="378E13FF" w14:textId="77777777" w:rsidR="0057280A" w:rsidRPr="000F15DB" w:rsidRDefault="0057280A" w:rsidP="0057280A">
      <w:pPr>
        <w:pStyle w:val="Akapitzlist"/>
        <w:numPr>
          <w:ilvl w:val="0"/>
          <w:numId w:val="28"/>
        </w:numPr>
        <w:spacing w:after="120" w:line="360" w:lineRule="auto"/>
        <w:rPr>
          <w:rFonts w:ascii="Lato" w:hAnsi="Lato"/>
        </w:rPr>
      </w:pPr>
      <w:r w:rsidRPr="000F15DB">
        <w:rPr>
          <w:rFonts w:ascii="Lato" w:hAnsi="Lato"/>
        </w:rPr>
        <w:lastRenderedPageBreak/>
        <w:t>obniżenie do 50% opłaty za analizę weryfikacyjną,</w:t>
      </w:r>
    </w:p>
    <w:p w14:paraId="60A1FD05" w14:textId="77777777" w:rsidR="0057280A" w:rsidRPr="000F15DB" w:rsidRDefault="0057280A" w:rsidP="0057280A">
      <w:pPr>
        <w:pStyle w:val="Akapitzlist"/>
        <w:numPr>
          <w:ilvl w:val="0"/>
          <w:numId w:val="28"/>
        </w:numPr>
        <w:spacing w:after="120" w:line="360" w:lineRule="auto"/>
        <w:rPr>
          <w:rFonts w:ascii="Lato" w:hAnsi="Lato"/>
        </w:rPr>
      </w:pPr>
      <w:r w:rsidRPr="000F15DB">
        <w:rPr>
          <w:rFonts w:ascii="Lato" w:hAnsi="Lato"/>
        </w:rPr>
        <w:t>umożliwienie ustalenia urzędowej ceny zbytu w wysokości 75% urzędowej ceny zbytu jedynego odpowiednika refundowanego w danym wskazaniu,</w:t>
      </w:r>
    </w:p>
    <w:p w14:paraId="41748B6C" w14:textId="5AE6BAAB" w:rsidR="0057280A" w:rsidRDefault="0057280A" w:rsidP="0057280A">
      <w:pPr>
        <w:spacing w:after="120" w:line="360" w:lineRule="auto"/>
        <w:rPr>
          <w:rFonts w:ascii="Lato" w:hAnsi="Lato"/>
        </w:rPr>
      </w:pPr>
      <w:r w:rsidRPr="00032F73">
        <w:rPr>
          <w:rFonts w:ascii="Lato" w:hAnsi="Lato"/>
        </w:rPr>
        <w:t xml:space="preserve">Dodatkowo </w:t>
      </w:r>
      <w:r>
        <w:rPr>
          <w:rFonts w:ascii="Lato" w:hAnsi="Lato"/>
        </w:rPr>
        <w:t>wraz z nadaniem statusu „polskiego leku” redukcji ulega</w:t>
      </w:r>
      <w:r w:rsidRPr="00032F73">
        <w:rPr>
          <w:rFonts w:ascii="Lato" w:hAnsi="Lato"/>
        </w:rPr>
        <w:t xml:space="preserve"> poziom odpłatności pacjenta za lek refundowany w aptece o 10%, jeżeli lek jest wytwarzany w Polsce albo do jego wytworzenia wykorzystano substancję czynną wyprodukowaną na terenie Rzeczpospolitej Polskiej albo o 15%, jeżeli lek jest wytwarzany </w:t>
      </w:r>
      <w:r w:rsidR="0045613D">
        <w:rPr>
          <w:rFonts w:ascii="Lato" w:hAnsi="Lato"/>
        </w:rPr>
        <w:t xml:space="preserve">w </w:t>
      </w:r>
      <w:r w:rsidRPr="00032F73">
        <w:rPr>
          <w:rFonts w:ascii="Lato" w:hAnsi="Lato"/>
        </w:rPr>
        <w:t xml:space="preserve">Polsce z wykorzystaniem substancji czynnej wytwarzanej w Polsce. </w:t>
      </w:r>
    </w:p>
    <w:p w14:paraId="35305876" w14:textId="739C46E5" w:rsidR="005224DB" w:rsidRDefault="005224DB" w:rsidP="005224DB">
      <w:pPr>
        <w:suppressAutoHyphens w:val="0"/>
        <w:spacing w:line="360" w:lineRule="auto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Mając na względzie powyższe, niniejsze obwieszczenie uzupełniono o dwa nowe wykazy, tj.:</w:t>
      </w:r>
    </w:p>
    <w:p w14:paraId="06F5EDE4" w14:textId="40AB3557" w:rsidR="0057280A" w:rsidRDefault="0057280A" w:rsidP="0057280A">
      <w:pPr>
        <w:numPr>
          <w:ilvl w:val="0"/>
          <w:numId w:val="29"/>
        </w:numPr>
        <w:suppressAutoHyphens w:val="0"/>
        <w:spacing w:line="360" w:lineRule="auto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 xml:space="preserve">wykaz </w:t>
      </w:r>
      <w:r w:rsidR="005224DB">
        <w:rPr>
          <w:rFonts w:ascii="Lato" w:hAnsi="Lato"/>
        </w:rPr>
        <w:t>G</w:t>
      </w:r>
      <w:r>
        <w:rPr>
          <w:rFonts w:ascii="Lato" w:hAnsi="Lato"/>
        </w:rPr>
        <w:t xml:space="preserve">1 - </w:t>
      </w:r>
      <w:r w:rsidR="005224DB" w:rsidRPr="005224DB">
        <w:rPr>
          <w:rFonts w:ascii="Lato" w:hAnsi="Lato"/>
        </w:rPr>
        <w:t>Leki wytwarzane na terytorium Rzeczypospolitej Polskiej albo takie, do których wytworzenia wykorzystano substancję czynną wytworzoną na terytorium Rzeczypospolitej Polskiej</w:t>
      </w:r>
      <w:r w:rsidR="005224DB">
        <w:rPr>
          <w:rFonts w:ascii="Lato" w:hAnsi="Lato"/>
        </w:rPr>
        <w:t>,</w:t>
      </w:r>
    </w:p>
    <w:p w14:paraId="5D71D6A1" w14:textId="061B2629" w:rsidR="0057280A" w:rsidRPr="00AB3591" w:rsidRDefault="0057280A" w:rsidP="0068046C">
      <w:pPr>
        <w:numPr>
          <w:ilvl w:val="0"/>
          <w:numId w:val="29"/>
        </w:numPr>
        <w:suppressAutoHyphens w:val="0"/>
        <w:spacing w:line="360" w:lineRule="auto"/>
        <w:ind w:left="714" w:hanging="357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 xml:space="preserve">wykaz </w:t>
      </w:r>
      <w:r w:rsidR="005224DB">
        <w:rPr>
          <w:rFonts w:ascii="Lato" w:hAnsi="Lato"/>
        </w:rPr>
        <w:t>G</w:t>
      </w:r>
      <w:r>
        <w:rPr>
          <w:rFonts w:ascii="Lato" w:hAnsi="Lato"/>
        </w:rPr>
        <w:t xml:space="preserve">2 - </w:t>
      </w:r>
      <w:r w:rsidR="005224DB" w:rsidRPr="005224DB">
        <w:rPr>
          <w:rFonts w:ascii="Lato" w:hAnsi="Lato"/>
        </w:rPr>
        <w:t>Leki wytwarzane na terytorium Rzeczypospolitej Polskiej z wykorzystaniem substancji czynnej wytwarzanej na terytorium Rzeczypospolitej Polskiej</w:t>
      </w:r>
      <w:r w:rsidR="005224DB">
        <w:rPr>
          <w:rFonts w:ascii="Lato" w:hAnsi="Lato"/>
        </w:rPr>
        <w:t>.</w:t>
      </w:r>
    </w:p>
    <w:p w14:paraId="0F7D1239" w14:textId="2CC39536" w:rsidR="0057280A" w:rsidRPr="00F72521" w:rsidRDefault="0057280A" w:rsidP="00F72521">
      <w:pPr>
        <w:suppressAutoHyphens w:val="0"/>
        <w:spacing w:line="360" w:lineRule="auto"/>
        <w:jc w:val="both"/>
        <w:rPr>
          <w:rFonts w:ascii="Lato" w:eastAsia="Times New Roman" w:hAnsi="Lato" w:cs="Calibri"/>
          <w:color w:val="000000"/>
          <w:lang w:eastAsia="pl-PL"/>
        </w:rPr>
      </w:pPr>
      <w:r w:rsidRPr="00F72521">
        <w:rPr>
          <w:rFonts w:ascii="Lato" w:hAnsi="Lato"/>
        </w:rPr>
        <w:t xml:space="preserve">Wykaz </w:t>
      </w:r>
      <w:r w:rsidR="005224DB" w:rsidRPr="00F72521">
        <w:rPr>
          <w:rFonts w:ascii="Lato" w:hAnsi="Lato"/>
        </w:rPr>
        <w:t>G1</w:t>
      </w:r>
      <w:r w:rsidRPr="00F72521">
        <w:rPr>
          <w:rFonts w:ascii="Lato" w:hAnsi="Lato"/>
        </w:rPr>
        <w:t xml:space="preserve"> zawiera </w:t>
      </w:r>
      <w:r w:rsidR="005224DB" w:rsidRPr="00F72521">
        <w:rPr>
          <w:rFonts w:ascii="Lato" w:hAnsi="Lato"/>
          <w:b/>
          <w:bCs/>
        </w:rPr>
        <w:t>329</w:t>
      </w:r>
      <w:r w:rsidRPr="00F72521">
        <w:rPr>
          <w:rFonts w:ascii="Lato" w:hAnsi="Lato"/>
          <w:b/>
          <w:bCs/>
        </w:rPr>
        <w:t xml:space="preserve"> leków</w:t>
      </w:r>
      <w:r w:rsidRPr="00F72521">
        <w:rPr>
          <w:rFonts w:ascii="Lato" w:hAnsi="Lato"/>
        </w:rPr>
        <w:t xml:space="preserve"> rozumianych jako indywidualne kody GTIN. Lista </w:t>
      </w:r>
      <w:r w:rsidR="005224DB" w:rsidRPr="00F72521">
        <w:rPr>
          <w:rFonts w:ascii="Lato" w:hAnsi="Lato"/>
        </w:rPr>
        <w:t>leków wytwarzanych w Polsce albo z substancji czynnej wytwarzanej w Polsce</w:t>
      </w:r>
      <w:r w:rsidRPr="00F72521">
        <w:rPr>
          <w:rFonts w:ascii="Lato" w:hAnsi="Lato"/>
        </w:rPr>
        <w:t xml:space="preserve"> obejmuje </w:t>
      </w:r>
      <w:r w:rsidR="005224DB" w:rsidRPr="00F72521">
        <w:rPr>
          <w:rFonts w:ascii="Lato" w:hAnsi="Lato"/>
          <w:b/>
          <w:bCs/>
        </w:rPr>
        <w:t>prawie 90</w:t>
      </w:r>
      <w:r w:rsidRPr="00F72521">
        <w:rPr>
          <w:rFonts w:ascii="Lato" w:hAnsi="Lato"/>
          <w:b/>
          <w:bCs/>
        </w:rPr>
        <w:t xml:space="preserve"> substancji czynnych</w:t>
      </w:r>
      <w:r w:rsidR="005224DB" w:rsidRPr="00F72521">
        <w:rPr>
          <w:rFonts w:ascii="Lato" w:hAnsi="Lato"/>
          <w:b/>
          <w:bCs/>
        </w:rPr>
        <w:t xml:space="preserve"> lub ich połączeń </w:t>
      </w:r>
      <w:r w:rsidRPr="00F72521">
        <w:rPr>
          <w:rFonts w:ascii="Lato" w:hAnsi="Lato"/>
        </w:rPr>
        <w:t xml:space="preserve"> umieszczonych w </w:t>
      </w:r>
      <w:r w:rsidR="004E2587" w:rsidRPr="00F72521">
        <w:rPr>
          <w:rFonts w:ascii="Lato" w:hAnsi="Lato"/>
          <w:b/>
          <w:bCs/>
        </w:rPr>
        <w:t>71</w:t>
      </w:r>
      <w:r w:rsidRPr="00F72521">
        <w:rPr>
          <w:rFonts w:ascii="Lato" w:hAnsi="Lato"/>
          <w:b/>
          <w:bCs/>
        </w:rPr>
        <w:t xml:space="preserve"> grupach limitowych</w:t>
      </w:r>
      <w:r w:rsidRPr="00F72521">
        <w:rPr>
          <w:rFonts w:ascii="Lato" w:hAnsi="Lato"/>
        </w:rPr>
        <w:t xml:space="preserve">. </w:t>
      </w:r>
      <w:r w:rsidR="0014005D" w:rsidRPr="00F72521">
        <w:rPr>
          <w:rFonts w:ascii="Lato" w:hAnsi="Lato"/>
        </w:rPr>
        <w:t xml:space="preserve">Leki umieszczone na wykazie G1 </w:t>
      </w:r>
      <w:r w:rsidR="0011263C" w:rsidRPr="00F72521">
        <w:rPr>
          <w:rFonts w:ascii="Lato" w:hAnsi="Lato"/>
        </w:rPr>
        <w:t xml:space="preserve">należą do portfolio </w:t>
      </w:r>
      <w:r w:rsidR="0011263C" w:rsidRPr="00F72521">
        <w:rPr>
          <w:rFonts w:ascii="Lato" w:hAnsi="Lato"/>
          <w:b/>
          <w:bCs/>
        </w:rPr>
        <w:t>7 podmiotów odpowiedzialnych</w:t>
      </w:r>
      <w:r w:rsidR="0011263C" w:rsidRPr="00F72521">
        <w:rPr>
          <w:rFonts w:ascii="Lato" w:hAnsi="Lato"/>
        </w:rPr>
        <w:t xml:space="preserve"> </w:t>
      </w:r>
      <w:r w:rsidR="00F72521" w:rsidRPr="00F72521">
        <w:rPr>
          <w:rFonts w:ascii="Lato" w:hAnsi="Lato"/>
        </w:rPr>
        <w:t>(</w:t>
      </w:r>
      <w:r w:rsidR="00F72521" w:rsidRPr="00F72521">
        <w:rPr>
          <w:rFonts w:ascii="Lato" w:eastAsia="Times New Roman" w:hAnsi="Lato" w:cs="Calibri"/>
          <w:color w:val="000000"/>
          <w:lang w:eastAsia="pl-PL"/>
        </w:rPr>
        <w:t>Adamed Pharma S.A., Celon Pharma S.A., Gedeon Richter Polska Sp. z o.o., Tarchomińskie Zakłady Farmaceutyczne "Polfa" S.A., Teva Pharmaceuticals Polska Sp. z o.o.,</w:t>
      </w:r>
      <w:r w:rsidR="00F72521" w:rsidRPr="00F72521">
        <w:rPr>
          <w:rFonts w:ascii="Lato" w:hAnsi="Lato" w:cs="Calibri"/>
          <w:color w:val="000000"/>
        </w:rPr>
        <w:t xml:space="preserve"> </w:t>
      </w:r>
      <w:r w:rsidR="00F72521" w:rsidRPr="00F72521">
        <w:rPr>
          <w:rFonts w:ascii="Lato" w:eastAsia="Times New Roman" w:hAnsi="Lato" w:cs="Calibri"/>
          <w:color w:val="000000"/>
          <w:lang w:eastAsia="pl-PL"/>
        </w:rPr>
        <w:t>Warszawskie Zakłady Farmaceutyczne Polfa S.A., Zakłady Farmaceutyczne POLPHARMA S.A.</w:t>
      </w:r>
      <w:r w:rsidR="00F72521">
        <w:rPr>
          <w:rFonts w:ascii="Lato" w:eastAsia="Times New Roman" w:hAnsi="Lato" w:cs="Calibri"/>
          <w:color w:val="000000"/>
          <w:lang w:eastAsia="pl-PL"/>
        </w:rPr>
        <w:t xml:space="preserve">) </w:t>
      </w:r>
      <w:r w:rsidR="0011263C" w:rsidRPr="00F72521">
        <w:rPr>
          <w:rFonts w:ascii="Lato" w:hAnsi="Lato"/>
        </w:rPr>
        <w:t xml:space="preserve">i </w:t>
      </w:r>
      <w:r w:rsidR="0014005D" w:rsidRPr="00F72521">
        <w:rPr>
          <w:rFonts w:ascii="Lato" w:hAnsi="Lato"/>
        </w:rPr>
        <w:t xml:space="preserve">objęte są 10% redukcją kwoty stanowiącej dopłatę pacjenta. </w:t>
      </w:r>
      <w:r w:rsidRPr="00F72521">
        <w:rPr>
          <w:rFonts w:ascii="Lato" w:hAnsi="Lato"/>
        </w:rPr>
        <w:t>Wśród tej grupy produktów leczniczych znalazły się m.in. leki: antyhistaminowe, cytostatyczne, hipoglikemizujące, hipolipemizujące</w:t>
      </w:r>
      <w:r w:rsidR="0047197E" w:rsidRPr="00F72521">
        <w:rPr>
          <w:rFonts w:ascii="Lato" w:hAnsi="Lato"/>
        </w:rPr>
        <w:t>,</w:t>
      </w:r>
      <w:r w:rsidRPr="00F72521">
        <w:rPr>
          <w:rFonts w:ascii="Lato" w:hAnsi="Lato"/>
        </w:rPr>
        <w:t xml:space="preserve"> hipotensyjne</w:t>
      </w:r>
      <w:r w:rsidR="0047483C" w:rsidRPr="00F72521">
        <w:rPr>
          <w:rFonts w:ascii="Lato" w:hAnsi="Lato"/>
        </w:rPr>
        <w:t xml:space="preserve">, </w:t>
      </w:r>
      <w:r w:rsidR="0047197E" w:rsidRPr="00F72521">
        <w:rPr>
          <w:rFonts w:ascii="Lato" w:hAnsi="Lato"/>
        </w:rPr>
        <w:t xml:space="preserve">przeciwarytmiczne, </w:t>
      </w:r>
      <w:r w:rsidRPr="00F72521">
        <w:rPr>
          <w:rFonts w:ascii="Lato" w:hAnsi="Lato"/>
        </w:rPr>
        <w:t xml:space="preserve">przeciwbakteryjne, przeciwgrzybicze, przeciwwirusowe, przeciwbólowe, przeciwdrgawkowe, </w:t>
      </w:r>
      <w:r w:rsidR="0047483C" w:rsidRPr="00F72521">
        <w:rPr>
          <w:rFonts w:ascii="Lato" w:hAnsi="Lato"/>
        </w:rPr>
        <w:t xml:space="preserve">przeciwpsychotyczne, </w:t>
      </w:r>
      <w:r w:rsidRPr="00F72521">
        <w:rPr>
          <w:rFonts w:ascii="Lato" w:hAnsi="Lato"/>
        </w:rPr>
        <w:t>przeciwreumatyczne, przeciwparkinsonowskie, przeciwzakrzepowe, stosowane w chorobach dróg oddechowych, stosowane w chorobach urologicznych, stosowane w chorobach układu pokarmowego</w:t>
      </w:r>
      <w:r w:rsidR="00071A55" w:rsidRPr="00F72521">
        <w:rPr>
          <w:rFonts w:ascii="Lato" w:hAnsi="Lato"/>
        </w:rPr>
        <w:t>.</w:t>
      </w:r>
    </w:p>
    <w:p w14:paraId="428131AF" w14:textId="663FFA07" w:rsidR="0047197E" w:rsidRDefault="0047197E" w:rsidP="0047197E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lastRenderedPageBreak/>
        <w:t xml:space="preserve">Wykaz G2 zawiera </w:t>
      </w:r>
      <w:r w:rsidRPr="0047197E">
        <w:rPr>
          <w:rFonts w:ascii="Lato" w:hAnsi="Lato"/>
          <w:b/>
          <w:bCs/>
        </w:rPr>
        <w:t>24 leki</w:t>
      </w:r>
      <w:r>
        <w:rPr>
          <w:rFonts w:ascii="Lato" w:hAnsi="Lato"/>
        </w:rPr>
        <w:t xml:space="preserve"> rozumiane jako indywidualne kody GTIN. Lista leków wytwarzanych w Polsce z wykorzystaniem substancji czynnej wytwarzanej w Polsce obejmuje </w:t>
      </w:r>
      <w:r>
        <w:rPr>
          <w:rFonts w:ascii="Lato" w:hAnsi="Lato"/>
          <w:b/>
          <w:bCs/>
        </w:rPr>
        <w:t>11</w:t>
      </w:r>
      <w:r w:rsidR="003F3FAA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 xml:space="preserve">substancji czynnych lub ich połączeń </w:t>
      </w:r>
      <w:r>
        <w:rPr>
          <w:rFonts w:ascii="Lato" w:hAnsi="Lato"/>
        </w:rPr>
        <w:t xml:space="preserve"> umieszczonych w </w:t>
      </w:r>
      <w:r>
        <w:rPr>
          <w:rFonts w:ascii="Lato" w:hAnsi="Lato"/>
          <w:b/>
          <w:bCs/>
        </w:rPr>
        <w:t>10 grupach limitowych</w:t>
      </w:r>
      <w:r>
        <w:rPr>
          <w:rFonts w:ascii="Lato" w:hAnsi="Lato"/>
        </w:rPr>
        <w:t xml:space="preserve">. Leki umieszczone na wykazie G2 </w:t>
      </w:r>
      <w:r w:rsidR="0011263C">
        <w:rPr>
          <w:rFonts w:ascii="Lato" w:hAnsi="Lato"/>
        </w:rPr>
        <w:t xml:space="preserve">należą do portfolio </w:t>
      </w:r>
      <w:r w:rsidR="0011263C" w:rsidRPr="0011263C">
        <w:rPr>
          <w:rFonts w:ascii="Lato" w:hAnsi="Lato"/>
          <w:b/>
          <w:bCs/>
        </w:rPr>
        <w:t>3 podmiotów odpowiedzialnych</w:t>
      </w:r>
      <w:r w:rsidR="00F72521" w:rsidRPr="00F72521">
        <w:rPr>
          <w:rFonts w:ascii="Lato" w:hAnsi="Lato"/>
        </w:rPr>
        <w:t xml:space="preserve"> (</w:t>
      </w:r>
      <w:r w:rsidR="00F72521" w:rsidRPr="00F72521">
        <w:rPr>
          <w:rFonts w:ascii="Lato" w:eastAsia="Times New Roman" w:hAnsi="Lato" w:cs="Calibri"/>
          <w:color w:val="000000"/>
          <w:lang w:eastAsia="pl-PL"/>
        </w:rPr>
        <w:t>Tarchomińskie Zakłady Farmaceutyczne "Polfa" S.A., Warszawskie Zakłady Farmaceutyczne Polfa S.A., Zakłady Farmaceutyczne POLPHARMA S.A.</w:t>
      </w:r>
      <w:r w:rsidR="00F72521">
        <w:rPr>
          <w:rFonts w:ascii="Lato" w:eastAsia="Times New Roman" w:hAnsi="Lato" w:cs="Calibri"/>
          <w:color w:val="000000"/>
          <w:lang w:eastAsia="pl-PL"/>
        </w:rPr>
        <w:t>)</w:t>
      </w:r>
      <w:r w:rsidR="0011263C">
        <w:rPr>
          <w:rFonts w:ascii="Lato" w:hAnsi="Lato"/>
        </w:rPr>
        <w:t xml:space="preserve"> i </w:t>
      </w:r>
      <w:r>
        <w:rPr>
          <w:rFonts w:ascii="Lato" w:hAnsi="Lato"/>
        </w:rPr>
        <w:t>objęte są 15% redukcją kwoty stanowiącej dopłatę pacjenta. Wśród tej grupy produktów leczniczych znalazły się m.in. leki: hipoglikemizujące, hipotensyjne, przeciwdrgawkowe, przeciwpsychotyczne, przeciwzakrzepowe, stosowane w chorobach dróg oddechowych</w:t>
      </w:r>
      <w:r w:rsidR="004E2587">
        <w:rPr>
          <w:rFonts w:ascii="Lato" w:hAnsi="Lato"/>
        </w:rPr>
        <w:t>.</w:t>
      </w:r>
    </w:p>
    <w:p w14:paraId="7A53AF28" w14:textId="7F6D3F21" w:rsidR="0047197E" w:rsidRDefault="004E2587" w:rsidP="004E2587">
      <w:pPr>
        <w:spacing w:line="360" w:lineRule="auto"/>
        <w:jc w:val="center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t>PRZYWRÓCENIE STAWKI VAT NA ŚRODKI SPOŻYWCZE SPECJALNEGO PRZEZNACZENIA ŻYWIENIOWEGO</w:t>
      </w:r>
    </w:p>
    <w:p w14:paraId="0CBA89E0" w14:textId="6A585A62" w:rsidR="0057280A" w:rsidRPr="00AB3591" w:rsidRDefault="00AB3591" w:rsidP="00AB3591">
      <w:pPr>
        <w:spacing w:line="360" w:lineRule="auto"/>
        <w:jc w:val="both"/>
        <w:rPr>
          <w:rFonts w:ascii="Lato" w:hAnsi="Lato"/>
        </w:rPr>
      </w:pPr>
      <w:r w:rsidRPr="00AB3591">
        <w:rPr>
          <w:rFonts w:ascii="Lato" w:hAnsi="Lato"/>
        </w:rPr>
        <w:t>Zgodnie z informacja zamieszczoną na oficjalnej stronie Ministerstwa Finansów</w:t>
      </w:r>
      <w:r>
        <w:rPr>
          <w:rFonts w:ascii="Lato" w:hAnsi="Lato"/>
        </w:rPr>
        <w:t>,</w:t>
      </w:r>
      <w:r w:rsidRPr="00AB3591">
        <w:rPr>
          <w:rFonts w:ascii="Lato" w:hAnsi="Lato"/>
        </w:rPr>
        <w:t xml:space="preserve"> </w:t>
      </w:r>
      <w:r w:rsidRPr="00AB3591">
        <w:rPr>
          <w:rFonts w:ascii="Lato" w:hAnsi="Lato"/>
          <w:i/>
          <w:iCs/>
        </w:rPr>
        <w:t>w związku z najnowszymi odczytami inflacji oraz prognozami dynamiki cen podstawowych produktów spożywczych objętych przejściową stawką VAT 0%, Ministerstwo Finansów podjęło decyzję o nieprzedłużaniu po 31.03.2024 roku okresowego obniżenia stawki VAT na podstawowe produkty spożywcze</w:t>
      </w:r>
      <w:r w:rsidRPr="00AB3591">
        <w:rPr>
          <w:rFonts w:ascii="Lato" w:hAnsi="Lato"/>
        </w:rPr>
        <w:t>.</w:t>
      </w:r>
      <w:r>
        <w:rPr>
          <w:rFonts w:ascii="Lato" w:hAnsi="Lato"/>
        </w:rPr>
        <w:t xml:space="preserve"> Konsekwencją decyzji Ministerstwa Finansów jest przywrócenie 5% stawki VAT do wyliczeń cenowych refundowanych środków spożywczych specjalnego przeznaczenia żywieniowego zawartych na wykazie A2</w:t>
      </w:r>
      <w:r w:rsidR="00AE497D">
        <w:rPr>
          <w:rFonts w:ascii="Lato" w:hAnsi="Lato"/>
        </w:rPr>
        <w:t xml:space="preserve"> i wykazie B (produkt </w:t>
      </w:r>
      <w:r w:rsidR="00AE497D" w:rsidRPr="00AE497D">
        <w:rPr>
          <w:rFonts w:ascii="Lato" w:hAnsi="Lato"/>
        </w:rPr>
        <w:t>L-karnityna</w:t>
      </w:r>
      <w:r w:rsidR="00AE497D">
        <w:rPr>
          <w:rFonts w:ascii="Lato" w:hAnsi="Lato"/>
        </w:rPr>
        <w:t>)</w:t>
      </w:r>
      <w:r>
        <w:rPr>
          <w:rFonts w:ascii="Lato" w:hAnsi="Lato"/>
        </w:rPr>
        <w:t xml:space="preserve"> niniejszego obwieszczenia. </w:t>
      </w:r>
    </w:p>
    <w:sectPr w:rsidR="0057280A" w:rsidRPr="00AB3591" w:rsidSect="001E27D2"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F627" w14:textId="77777777" w:rsidR="001E27D2" w:rsidRDefault="001E27D2">
      <w:pPr>
        <w:spacing w:after="0" w:line="240" w:lineRule="auto"/>
      </w:pPr>
      <w:r>
        <w:separator/>
      </w:r>
    </w:p>
  </w:endnote>
  <w:endnote w:type="continuationSeparator" w:id="0">
    <w:p w14:paraId="10A353F6" w14:textId="77777777" w:rsidR="001E27D2" w:rsidRDefault="001E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ACB8" w14:textId="77777777" w:rsidR="001E27D2" w:rsidRDefault="001E27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8B1A4A" w14:textId="77777777" w:rsidR="001E27D2" w:rsidRDefault="001E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4633511D" w:rsidR="005058F2" w:rsidRDefault="00143D0B">
    <w:pPr>
      <w:pStyle w:val="Nagwek"/>
    </w:pPr>
    <w:bookmarkStart w:id="4" w:name="_Hlk74147372"/>
    <w:bookmarkEnd w:id="4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3CA"/>
    <w:multiLevelType w:val="hybridMultilevel"/>
    <w:tmpl w:val="0DE0BC64"/>
    <w:lvl w:ilvl="0" w:tplc="CEC4EFEE">
      <w:start w:val="1"/>
      <w:numFmt w:val="bullet"/>
      <w:lvlText w:val="•"/>
      <w:lvlJc w:val="left"/>
      <w:pPr>
        <w:ind w:left="1049" w:firstLine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2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1E346ADB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75666"/>
    <w:multiLevelType w:val="hybridMultilevel"/>
    <w:tmpl w:val="A4F8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12DB4"/>
    <w:multiLevelType w:val="hybridMultilevel"/>
    <w:tmpl w:val="0F0E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40582"/>
    <w:multiLevelType w:val="hybridMultilevel"/>
    <w:tmpl w:val="1970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076C3"/>
    <w:multiLevelType w:val="hybridMultilevel"/>
    <w:tmpl w:val="ED32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F6E8B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8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B03E5C"/>
    <w:multiLevelType w:val="hybridMultilevel"/>
    <w:tmpl w:val="FF32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02E3E"/>
    <w:multiLevelType w:val="hybridMultilevel"/>
    <w:tmpl w:val="824E7FF2"/>
    <w:lvl w:ilvl="0" w:tplc="42B46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D6190"/>
    <w:multiLevelType w:val="hybridMultilevel"/>
    <w:tmpl w:val="2884C962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8946">
    <w:abstractNumId w:val="5"/>
  </w:num>
  <w:num w:numId="2" w16cid:durableId="983047750">
    <w:abstractNumId w:val="3"/>
  </w:num>
  <w:num w:numId="3" w16cid:durableId="912206815">
    <w:abstractNumId w:val="6"/>
  </w:num>
  <w:num w:numId="4" w16cid:durableId="1919241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2071">
    <w:abstractNumId w:val="24"/>
  </w:num>
  <w:num w:numId="6" w16cid:durableId="1164782895">
    <w:abstractNumId w:val="4"/>
  </w:num>
  <w:num w:numId="7" w16cid:durableId="1764568987">
    <w:abstractNumId w:val="8"/>
  </w:num>
  <w:num w:numId="8" w16cid:durableId="1605840971">
    <w:abstractNumId w:val="10"/>
  </w:num>
  <w:num w:numId="9" w16cid:durableId="969629549">
    <w:abstractNumId w:val="21"/>
  </w:num>
  <w:num w:numId="10" w16cid:durableId="1576276737">
    <w:abstractNumId w:val="1"/>
  </w:num>
  <w:num w:numId="11" w16cid:durableId="409036424">
    <w:abstractNumId w:val="26"/>
  </w:num>
  <w:num w:numId="12" w16cid:durableId="1526747669">
    <w:abstractNumId w:val="2"/>
  </w:num>
  <w:num w:numId="13" w16cid:durableId="1746950255">
    <w:abstractNumId w:val="11"/>
  </w:num>
  <w:num w:numId="14" w16cid:durableId="329715522">
    <w:abstractNumId w:val="13"/>
  </w:num>
  <w:num w:numId="15" w16cid:durableId="1837842867">
    <w:abstractNumId w:val="12"/>
  </w:num>
  <w:num w:numId="16" w16cid:durableId="1970238000">
    <w:abstractNumId w:val="23"/>
  </w:num>
  <w:num w:numId="17" w16cid:durableId="485172914">
    <w:abstractNumId w:val="17"/>
  </w:num>
  <w:num w:numId="18" w16cid:durableId="338780148">
    <w:abstractNumId w:val="7"/>
  </w:num>
  <w:num w:numId="19" w16cid:durableId="1977641737">
    <w:abstractNumId w:val="1"/>
  </w:num>
  <w:num w:numId="20" w16cid:durableId="1099830501">
    <w:abstractNumId w:val="0"/>
  </w:num>
  <w:num w:numId="21" w16cid:durableId="1796680411">
    <w:abstractNumId w:val="19"/>
  </w:num>
  <w:num w:numId="22" w16cid:durableId="1157845039">
    <w:abstractNumId w:val="18"/>
  </w:num>
  <w:num w:numId="23" w16cid:durableId="1318220489">
    <w:abstractNumId w:val="15"/>
  </w:num>
  <w:num w:numId="24" w16cid:durableId="791442922">
    <w:abstractNumId w:val="20"/>
  </w:num>
  <w:num w:numId="25" w16cid:durableId="2017875421">
    <w:abstractNumId w:val="14"/>
  </w:num>
  <w:num w:numId="26" w16cid:durableId="980844193">
    <w:abstractNumId w:val="9"/>
  </w:num>
  <w:num w:numId="27" w16cid:durableId="1580867898">
    <w:abstractNumId w:val="16"/>
  </w:num>
  <w:num w:numId="28" w16cid:durableId="108477893">
    <w:abstractNumId w:val="22"/>
  </w:num>
  <w:num w:numId="29" w16cid:durableId="18091995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6AE8"/>
    <w:rsid w:val="00031E9F"/>
    <w:rsid w:val="00033ED5"/>
    <w:rsid w:val="0004009C"/>
    <w:rsid w:val="0005011B"/>
    <w:rsid w:val="00052E44"/>
    <w:rsid w:val="000702E4"/>
    <w:rsid w:val="00070A13"/>
    <w:rsid w:val="00070A89"/>
    <w:rsid w:val="00071A55"/>
    <w:rsid w:val="0008118E"/>
    <w:rsid w:val="00086074"/>
    <w:rsid w:val="0009112E"/>
    <w:rsid w:val="00097B17"/>
    <w:rsid w:val="000A4576"/>
    <w:rsid w:val="000A688D"/>
    <w:rsid w:val="000A6B96"/>
    <w:rsid w:val="000B07C1"/>
    <w:rsid w:val="000B21F0"/>
    <w:rsid w:val="000B32C4"/>
    <w:rsid w:val="000B7075"/>
    <w:rsid w:val="000D02C0"/>
    <w:rsid w:val="000D2FED"/>
    <w:rsid w:val="000E3BBE"/>
    <w:rsid w:val="000E649C"/>
    <w:rsid w:val="000F077F"/>
    <w:rsid w:val="000F3ED2"/>
    <w:rsid w:val="000F5E24"/>
    <w:rsid w:val="000F61F5"/>
    <w:rsid w:val="001030B2"/>
    <w:rsid w:val="0011263C"/>
    <w:rsid w:val="001204EA"/>
    <w:rsid w:val="00127452"/>
    <w:rsid w:val="0014005D"/>
    <w:rsid w:val="0014120D"/>
    <w:rsid w:val="00143D0B"/>
    <w:rsid w:val="00144B55"/>
    <w:rsid w:val="00155C8E"/>
    <w:rsid w:val="00161605"/>
    <w:rsid w:val="00170D7F"/>
    <w:rsid w:val="00172790"/>
    <w:rsid w:val="00173D8E"/>
    <w:rsid w:val="00180F5C"/>
    <w:rsid w:val="00186CB7"/>
    <w:rsid w:val="00190358"/>
    <w:rsid w:val="001933DE"/>
    <w:rsid w:val="00194CB4"/>
    <w:rsid w:val="00197FA2"/>
    <w:rsid w:val="001A1A5B"/>
    <w:rsid w:val="001A7E82"/>
    <w:rsid w:val="001B0859"/>
    <w:rsid w:val="001B354B"/>
    <w:rsid w:val="001B440C"/>
    <w:rsid w:val="001B7475"/>
    <w:rsid w:val="001D354B"/>
    <w:rsid w:val="001D6485"/>
    <w:rsid w:val="001E2320"/>
    <w:rsid w:val="001E27D2"/>
    <w:rsid w:val="001E610A"/>
    <w:rsid w:val="001E721F"/>
    <w:rsid w:val="00202697"/>
    <w:rsid w:val="00205C55"/>
    <w:rsid w:val="00206C0B"/>
    <w:rsid w:val="00221A2A"/>
    <w:rsid w:val="002270E2"/>
    <w:rsid w:val="00230BB7"/>
    <w:rsid w:val="0024697E"/>
    <w:rsid w:val="00255E53"/>
    <w:rsid w:val="00275115"/>
    <w:rsid w:val="00280311"/>
    <w:rsid w:val="00281BE7"/>
    <w:rsid w:val="0028384A"/>
    <w:rsid w:val="00286651"/>
    <w:rsid w:val="00287196"/>
    <w:rsid w:val="0029287B"/>
    <w:rsid w:val="0029403F"/>
    <w:rsid w:val="002C0340"/>
    <w:rsid w:val="002C19DE"/>
    <w:rsid w:val="002D5020"/>
    <w:rsid w:val="002D55B8"/>
    <w:rsid w:val="002D6ED9"/>
    <w:rsid w:val="002E46AC"/>
    <w:rsid w:val="002F0FB2"/>
    <w:rsid w:val="002F61E3"/>
    <w:rsid w:val="003051DF"/>
    <w:rsid w:val="00305610"/>
    <w:rsid w:val="0031104C"/>
    <w:rsid w:val="003130CA"/>
    <w:rsid w:val="00326537"/>
    <w:rsid w:val="003357D9"/>
    <w:rsid w:val="00337B00"/>
    <w:rsid w:val="00355899"/>
    <w:rsid w:val="00356E75"/>
    <w:rsid w:val="0035733E"/>
    <w:rsid w:val="00374DBE"/>
    <w:rsid w:val="0037704D"/>
    <w:rsid w:val="0037714E"/>
    <w:rsid w:val="003841AB"/>
    <w:rsid w:val="003935E8"/>
    <w:rsid w:val="003975D4"/>
    <w:rsid w:val="003A0F16"/>
    <w:rsid w:val="003A5B7D"/>
    <w:rsid w:val="003A6433"/>
    <w:rsid w:val="003B46BF"/>
    <w:rsid w:val="003D2AE2"/>
    <w:rsid w:val="003D71C6"/>
    <w:rsid w:val="003F072E"/>
    <w:rsid w:val="003F3FAA"/>
    <w:rsid w:val="00404F9B"/>
    <w:rsid w:val="00411C64"/>
    <w:rsid w:val="004156E6"/>
    <w:rsid w:val="00415707"/>
    <w:rsid w:val="00416F70"/>
    <w:rsid w:val="0041703B"/>
    <w:rsid w:val="004226E8"/>
    <w:rsid w:val="00424198"/>
    <w:rsid w:val="004403B4"/>
    <w:rsid w:val="00446466"/>
    <w:rsid w:val="00447CE9"/>
    <w:rsid w:val="00453B55"/>
    <w:rsid w:val="0045613D"/>
    <w:rsid w:val="00457779"/>
    <w:rsid w:val="00466FE8"/>
    <w:rsid w:val="0047197E"/>
    <w:rsid w:val="004744CD"/>
    <w:rsid w:val="0047483C"/>
    <w:rsid w:val="0048011A"/>
    <w:rsid w:val="004850DC"/>
    <w:rsid w:val="00490715"/>
    <w:rsid w:val="00491267"/>
    <w:rsid w:val="00491300"/>
    <w:rsid w:val="00492285"/>
    <w:rsid w:val="004A2F20"/>
    <w:rsid w:val="004A2F45"/>
    <w:rsid w:val="004A5135"/>
    <w:rsid w:val="004B2F38"/>
    <w:rsid w:val="004C35E7"/>
    <w:rsid w:val="004D093B"/>
    <w:rsid w:val="004D2191"/>
    <w:rsid w:val="004D7DDC"/>
    <w:rsid w:val="004E2587"/>
    <w:rsid w:val="004E4723"/>
    <w:rsid w:val="004F3FEF"/>
    <w:rsid w:val="004F7A4E"/>
    <w:rsid w:val="005058F2"/>
    <w:rsid w:val="00512C38"/>
    <w:rsid w:val="00512C7C"/>
    <w:rsid w:val="005130EF"/>
    <w:rsid w:val="005143E4"/>
    <w:rsid w:val="00516499"/>
    <w:rsid w:val="005224DB"/>
    <w:rsid w:val="0055182D"/>
    <w:rsid w:val="00553AE5"/>
    <w:rsid w:val="0056748F"/>
    <w:rsid w:val="0057280A"/>
    <w:rsid w:val="00574D83"/>
    <w:rsid w:val="00584C82"/>
    <w:rsid w:val="005871C9"/>
    <w:rsid w:val="005B06B3"/>
    <w:rsid w:val="005B598A"/>
    <w:rsid w:val="005C1959"/>
    <w:rsid w:val="005C499F"/>
    <w:rsid w:val="005C608D"/>
    <w:rsid w:val="005C6551"/>
    <w:rsid w:val="005D269A"/>
    <w:rsid w:val="005D3140"/>
    <w:rsid w:val="005D5D31"/>
    <w:rsid w:val="005E4CF5"/>
    <w:rsid w:val="005E7898"/>
    <w:rsid w:val="005F550D"/>
    <w:rsid w:val="005F70FE"/>
    <w:rsid w:val="006008CD"/>
    <w:rsid w:val="00633806"/>
    <w:rsid w:val="00633883"/>
    <w:rsid w:val="00634434"/>
    <w:rsid w:val="0064109C"/>
    <w:rsid w:val="0064487F"/>
    <w:rsid w:val="00644E28"/>
    <w:rsid w:val="00645CA2"/>
    <w:rsid w:val="006648F3"/>
    <w:rsid w:val="00670C14"/>
    <w:rsid w:val="0068046C"/>
    <w:rsid w:val="00680B0E"/>
    <w:rsid w:val="006858B7"/>
    <w:rsid w:val="00686511"/>
    <w:rsid w:val="00687B5F"/>
    <w:rsid w:val="00687E5A"/>
    <w:rsid w:val="006905E7"/>
    <w:rsid w:val="006967BC"/>
    <w:rsid w:val="006A03EB"/>
    <w:rsid w:val="006A533F"/>
    <w:rsid w:val="006A7DCE"/>
    <w:rsid w:val="006B1374"/>
    <w:rsid w:val="006C1B62"/>
    <w:rsid w:val="006C452F"/>
    <w:rsid w:val="006C4ED5"/>
    <w:rsid w:val="006D079B"/>
    <w:rsid w:val="006D183E"/>
    <w:rsid w:val="006D336E"/>
    <w:rsid w:val="006D6B78"/>
    <w:rsid w:val="006D7964"/>
    <w:rsid w:val="006F498A"/>
    <w:rsid w:val="006F5BEB"/>
    <w:rsid w:val="0070349C"/>
    <w:rsid w:val="007135A8"/>
    <w:rsid w:val="007156F6"/>
    <w:rsid w:val="00715B91"/>
    <w:rsid w:val="007321D8"/>
    <w:rsid w:val="00733AF9"/>
    <w:rsid w:val="00734732"/>
    <w:rsid w:val="00740ABA"/>
    <w:rsid w:val="00741E62"/>
    <w:rsid w:val="0074295D"/>
    <w:rsid w:val="00755E27"/>
    <w:rsid w:val="0078723A"/>
    <w:rsid w:val="007A4FB5"/>
    <w:rsid w:val="007B043E"/>
    <w:rsid w:val="007C4332"/>
    <w:rsid w:val="007C4C95"/>
    <w:rsid w:val="007D0493"/>
    <w:rsid w:val="007D1551"/>
    <w:rsid w:val="007D273D"/>
    <w:rsid w:val="007D6A3A"/>
    <w:rsid w:val="007D6B6F"/>
    <w:rsid w:val="007D74E2"/>
    <w:rsid w:val="007E6DAB"/>
    <w:rsid w:val="007F016E"/>
    <w:rsid w:val="008008F6"/>
    <w:rsid w:val="008017A7"/>
    <w:rsid w:val="00823875"/>
    <w:rsid w:val="00827817"/>
    <w:rsid w:val="00827986"/>
    <w:rsid w:val="008279BD"/>
    <w:rsid w:val="0084154E"/>
    <w:rsid w:val="00843352"/>
    <w:rsid w:val="00844624"/>
    <w:rsid w:val="008462C0"/>
    <w:rsid w:val="0087118E"/>
    <w:rsid w:val="008771C8"/>
    <w:rsid w:val="00882DCA"/>
    <w:rsid w:val="0088727A"/>
    <w:rsid w:val="00891D0D"/>
    <w:rsid w:val="00896D35"/>
    <w:rsid w:val="008B00C4"/>
    <w:rsid w:val="008B089D"/>
    <w:rsid w:val="008B43B0"/>
    <w:rsid w:val="008C0493"/>
    <w:rsid w:val="008C0E92"/>
    <w:rsid w:val="008D45C3"/>
    <w:rsid w:val="008E18D7"/>
    <w:rsid w:val="008E33C7"/>
    <w:rsid w:val="008F1D35"/>
    <w:rsid w:val="008F7384"/>
    <w:rsid w:val="009066C7"/>
    <w:rsid w:val="0092216D"/>
    <w:rsid w:val="00933339"/>
    <w:rsid w:val="00953B84"/>
    <w:rsid w:val="00961330"/>
    <w:rsid w:val="00982754"/>
    <w:rsid w:val="009943F4"/>
    <w:rsid w:val="00995FDD"/>
    <w:rsid w:val="00996389"/>
    <w:rsid w:val="009A2234"/>
    <w:rsid w:val="009A6D46"/>
    <w:rsid w:val="009B2F99"/>
    <w:rsid w:val="009B7A4D"/>
    <w:rsid w:val="009C573D"/>
    <w:rsid w:val="009D10B8"/>
    <w:rsid w:val="009D185F"/>
    <w:rsid w:val="009D43CC"/>
    <w:rsid w:val="009E2331"/>
    <w:rsid w:val="009F1AF3"/>
    <w:rsid w:val="009F413F"/>
    <w:rsid w:val="009F550A"/>
    <w:rsid w:val="009F7497"/>
    <w:rsid w:val="00A01F60"/>
    <w:rsid w:val="00A04BCC"/>
    <w:rsid w:val="00A053B9"/>
    <w:rsid w:val="00A1146C"/>
    <w:rsid w:val="00A118F0"/>
    <w:rsid w:val="00A159DA"/>
    <w:rsid w:val="00A22494"/>
    <w:rsid w:val="00A22A7B"/>
    <w:rsid w:val="00A22EE5"/>
    <w:rsid w:val="00A242D8"/>
    <w:rsid w:val="00A434EB"/>
    <w:rsid w:val="00A510E6"/>
    <w:rsid w:val="00A5351C"/>
    <w:rsid w:val="00A54C06"/>
    <w:rsid w:val="00A633F0"/>
    <w:rsid w:val="00A6481E"/>
    <w:rsid w:val="00A66140"/>
    <w:rsid w:val="00A66626"/>
    <w:rsid w:val="00A7064A"/>
    <w:rsid w:val="00A7345A"/>
    <w:rsid w:val="00A75027"/>
    <w:rsid w:val="00A90397"/>
    <w:rsid w:val="00A90CB0"/>
    <w:rsid w:val="00A9374D"/>
    <w:rsid w:val="00A94461"/>
    <w:rsid w:val="00A960EA"/>
    <w:rsid w:val="00AA2A36"/>
    <w:rsid w:val="00AA2E63"/>
    <w:rsid w:val="00AA4608"/>
    <w:rsid w:val="00AA6179"/>
    <w:rsid w:val="00AB1235"/>
    <w:rsid w:val="00AB2D5E"/>
    <w:rsid w:val="00AB3591"/>
    <w:rsid w:val="00AC0511"/>
    <w:rsid w:val="00AD08C5"/>
    <w:rsid w:val="00AE069A"/>
    <w:rsid w:val="00AE497D"/>
    <w:rsid w:val="00AF1EBC"/>
    <w:rsid w:val="00B03985"/>
    <w:rsid w:val="00B1467F"/>
    <w:rsid w:val="00B265ED"/>
    <w:rsid w:val="00B31928"/>
    <w:rsid w:val="00B326A9"/>
    <w:rsid w:val="00B45ED3"/>
    <w:rsid w:val="00B543E9"/>
    <w:rsid w:val="00B57127"/>
    <w:rsid w:val="00B76B2B"/>
    <w:rsid w:val="00B8251D"/>
    <w:rsid w:val="00B94288"/>
    <w:rsid w:val="00B9538B"/>
    <w:rsid w:val="00BA15A9"/>
    <w:rsid w:val="00BB30C0"/>
    <w:rsid w:val="00BC376D"/>
    <w:rsid w:val="00BD18E8"/>
    <w:rsid w:val="00BD20BC"/>
    <w:rsid w:val="00C0285F"/>
    <w:rsid w:val="00C15673"/>
    <w:rsid w:val="00C15E6F"/>
    <w:rsid w:val="00C210A9"/>
    <w:rsid w:val="00C22821"/>
    <w:rsid w:val="00C243BF"/>
    <w:rsid w:val="00C25F63"/>
    <w:rsid w:val="00C276AE"/>
    <w:rsid w:val="00C34F0F"/>
    <w:rsid w:val="00C36F4C"/>
    <w:rsid w:val="00C4237C"/>
    <w:rsid w:val="00C55C85"/>
    <w:rsid w:val="00C60868"/>
    <w:rsid w:val="00C6097A"/>
    <w:rsid w:val="00C64DAA"/>
    <w:rsid w:val="00C65204"/>
    <w:rsid w:val="00C70530"/>
    <w:rsid w:val="00C77217"/>
    <w:rsid w:val="00C816A5"/>
    <w:rsid w:val="00C83BE1"/>
    <w:rsid w:val="00C97315"/>
    <w:rsid w:val="00CA1AD2"/>
    <w:rsid w:val="00CA2878"/>
    <w:rsid w:val="00CA7D06"/>
    <w:rsid w:val="00CB1DE1"/>
    <w:rsid w:val="00CB2E2B"/>
    <w:rsid w:val="00CB3D33"/>
    <w:rsid w:val="00CC0463"/>
    <w:rsid w:val="00CC7F58"/>
    <w:rsid w:val="00CD47C3"/>
    <w:rsid w:val="00CE099F"/>
    <w:rsid w:val="00CE73E2"/>
    <w:rsid w:val="00CF402D"/>
    <w:rsid w:val="00CF5E4F"/>
    <w:rsid w:val="00CF7674"/>
    <w:rsid w:val="00D156FA"/>
    <w:rsid w:val="00D17D3E"/>
    <w:rsid w:val="00D3459A"/>
    <w:rsid w:val="00D4388C"/>
    <w:rsid w:val="00D44A5D"/>
    <w:rsid w:val="00D510E8"/>
    <w:rsid w:val="00D554A2"/>
    <w:rsid w:val="00D5628B"/>
    <w:rsid w:val="00D63F4F"/>
    <w:rsid w:val="00D6426A"/>
    <w:rsid w:val="00D66456"/>
    <w:rsid w:val="00D77CD0"/>
    <w:rsid w:val="00D9306F"/>
    <w:rsid w:val="00DB0B88"/>
    <w:rsid w:val="00DC6168"/>
    <w:rsid w:val="00DD18C6"/>
    <w:rsid w:val="00DD6D00"/>
    <w:rsid w:val="00DE00F0"/>
    <w:rsid w:val="00DE1894"/>
    <w:rsid w:val="00DE5079"/>
    <w:rsid w:val="00DF6B3A"/>
    <w:rsid w:val="00E10271"/>
    <w:rsid w:val="00E34DF7"/>
    <w:rsid w:val="00E351BA"/>
    <w:rsid w:val="00E35DF6"/>
    <w:rsid w:val="00E50D44"/>
    <w:rsid w:val="00E52765"/>
    <w:rsid w:val="00E64133"/>
    <w:rsid w:val="00E6583C"/>
    <w:rsid w:val="00E66456"/>
    <w:rsid w:val="00E738D5"/>
    <w:rsid w:val="00E8288D"/>
    <w:rsid w:val="00E8348C"/>
    <w:rsid w:val="00E900DE"/>
    <w:rsid w:val="00E91E64"/>
    <w:rsid w:val="00EA2DBB"/>
    <w:rsid w:val="00EA326D"/>
    <w:rsid w:val="00EB1B3E"/>
    <w:rsid w:val="00EB5A68"/>
    <w:rsid w:val="00EB77EA"/>
    <w:rsid w:val="00EC0C4F"/>
    <w:rsid w:val="00EC2941"/>
    <w:rsid w:val="00EC2B8F"/>
    <w:rsid w:val="00EC74BA"/>
    <w:rsid w:val="00ED15F0"/>
    <w:rsid w:val="00EE4384"/>
    <w:rsid w:val="00EE4BD7"/>
    <w:rsid w:val="00EF3551"/>
    <w:rsid w:val="00F017D6"/>
    <w:rsid w:val="00F12CF6"/>
    <w:rsid w:val="00F147FC"/>
    <w:rsid w:val="00F15BD4"/>
    <w:rsid w:val="00F25384"/>
    <w:rsid w:val="00F31A79"/>
    <w:rsid w:val="00F42214"/>
    <w:rsid w:val="00F5061B"/>
    <w:rsid w:val="00F61A7D"/>
    <w:rsid w:val="00F63AA8"/>
    <w:rsid w:val="00F67CA2"/>
    <w:rsid w:val="00F7172F"/>
    <w:rsid w:val="00F72521"/>
    <w:rsid w:val="00F859A8"/>
    <w:rsid w:val="00F9203E"/>
    <w:rsid w:val="00F957B7"/>
    <w:rsid w:val="00FA53DF"/>
    <w:rsid w:val="00FB2364"/>
    <w:rsid w:val="00FB30AC"/>
    <w:rsid w:val="00FB3B6F"/>
    <w:rsid w:val="00FC712D"/>
    <w:rsid w:val="00FD39E3"/>
    <w:rsid w:val="00FD48BC"/>
    <w:rsid w:val="00FE1242"/>
    <w:rsid w:val="00FE34E5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34"/>
    <w:qFormat/>
    <w:rsid w:val="001933DE"/>
  </w:style>
  <w:style w:type="paragraph" w:customStyle="1" w:styleId="pismamz">
    <w:name w:val="pisma_mz"/>
    <w:basedOn w:val="Normalny"/>
    <w:link w:val="pismamzZnak"/>
    <w:qFormat/>
    <w:rsid w:val="00E351BA"/>
    <w:pPr>
      <w:suppressAutoHyphens w:val="0"/>
      <w:autoSpaceDN/>
      <w:spacing w:after="0" w:line="360" w:lineRule="auto"/>
      <w:contextualSpacing/>
      <w:jc w:val="both"/>
      <w:textAlignment w:val="auto"/>
    </w:pPr>
    <w:rPr>
      <w:rFonts w:ascii="Arial" w:hAnsi="Arial"/>
    </w:rPr>
  </w:style>
  <w:style w:type="character" w:customStyle="1" w:styleId="pismamzZnak">
    <w:name w:val="pisma_mz Znak"/>
    <w:link w:val="pismamz"/>
    <w:rsid w:val="00E351BA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AB3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kwiecie&#324;%202024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kwiecie&#324;%202024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kwiecie&#324;%202024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kwiecie&#324;%202024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2024 r. - ONKO/NIEONKO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layout>
        <c:manualLayout>
          <c:xMode val="edge"/>
          <c:yMode val="edge"/>
          <c:x val="0.16437636761487967"/>
          <c:y val="3.99733510992671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05957655647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2024'!$A$3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2024'!$B$1:$E$2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2024'!$B$3:$E$3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0-422E-80EE-671E2CF41F41}"/>
            </c:ext>
          </c:extLst>
        </c:ser>
        <c:ser>
          <c:idx val="1"/>
          <c:order val="1"/>
          <c:tx>
            <c:strRef>
              <c:f>'miesiące 2024'!$A$4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2024'!$B$1:$E$2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2024'!$B$4:$E$4</c:f>
              <c:numCache>
                <c:formatCode>General</c:formatCode>
                <c:ptCount val="4"/>
                <c:pt idx="0">
                  <c:v>11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0-422E-80EE-671E2CF41F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2024 r. - choroby rzadkie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29429975099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2024'!$A$18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2024'!$B$16:$E$17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2024'!$B$18:$E$18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D1-49F7-AA94-2A2532319A2C}"/>
            </c:ext>
          </c:extLst>
        </c:ser>
        <c:ser>
          <c:idx val="1"/>
          <c:order val="1"/>
          <c:tx>
            <c:strRef>
              <c:f>'miesiące 2024'!$A$19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2024'!$B$16:$E$17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2024'!$B$19:$E$19</c:f>
              <c:numCache>
                <c:formatCode>General</c:formatCode>
                <c:ptCount val="4"/>
                <c:pt idx="0">
                  <c:v>9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D1-49F7-AA94-2A2532319A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9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>
                <a:solidFill>
                  <a:sysClr val="windowText" lastClr="000000"/>
                </a:solidFill>
                <a:latin typeface="Lato" panose="020F0502020204030203" pitchFamily="34" charset="-18"/>
              </a:rPr>
              <a:t>Cząsteczko-wskazania onkologiczne w 2024 r. (stan na kwiecień) </a:t>
            </a:r>
          </a:p>
        </c:rich>
      </c:tx>
      <c:layout>
        <c:manualLayout>
          <c:xMode val="edge"/>
          <c:yMode val="edge"/>
          <c:x val="0.16426706318362566"/>
          <c:y val="1.7697835693860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9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1880571795478351"/>
          <c:y val="0.14038623766278416"/>
          <c:w val="0.75712097146654955"/>
          <c:h val="0.78198485572689991"/>
        </c:manualLayout>
      </c:layout>
      <c:barChart>
        <c:barDir val="bar"/>
        <c:grouping val="clustered"/>
        <c:varyColors val="0"/>
        <c:ser>
          <c:idx val="10"/>
          <c:order val="0"/>
          <c:tx>
            <c:strRef>
              <c:f>'miesiące 2024'!$B$2</c:f>
              <c:strCache>
                <c:ptCount val="1"/>
                <c:pt idx="0">
                  <c:v>2024
(stan na kwiecień)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'miesiące 2024'!$A$3:$A$12</c:f>
              <c:strCache>
                <c:ptCount val="7"/>
                <c:pt idx="0">
                  <c:v>Inne</c:v>
                </c:pt>
                <c:pt idx="1">
                  <c:v>Nowotwory układu 
urologicznego</c:v>
                </c:pt>
                <c:pt idx="2">
                  <c:v>Nowotwory skóry</c:v>
                </c:pt>
                <c:pt idx="3">
                  <c:v>Nowotwory układu 
pokarmowego</c:v>
                </c:pt>
                <c:pt idx="4">
                  <c:v>Nowotwory 
ginekologiczne</c:v>
                </c:pt>
                <c:pt idx="5">
                  <c:v>Nowotwory układu 
endokrynnego</c:v>
                </c:pt>
                <c:pt idx="6">
                  <c:v>Hematoonkologia</c:v>
                </c:pt>
              </c:strCache>
              <c:extLst/>
            </c:strRef>
          </c:cat>
          <c:val>
            <c:numRef>
              <c:f>'miesiące 2024'!$B$3:$B$12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607-4453-9CC1-F93BD36035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046271"/>
        <c:axId val="751054175"/>
      </c:bar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1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>
                <a:latin typeface="Lato" panose="020F0502020204030203" pitchFamily="34" charset="-18"/>
              </a:rPr>
              <a:t>Cząsteczko-wskazania nieonkologiczne w 2024 r. (stan na kwiecień) </a:t>
            </a:r>
          </a:p>
        </c:rich>
      </c:tx>
      <c:layout>
        <c:manualLayout>
          <c:xMode val="edge"/>
          <c:yMode val="edge"/>
          <c:x val="0.1180650118329255"/>
          <c:y val="2.73535445634830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0948966438366801"/>
          <c:y val="0.13110532371053346"/>
          <c:w val="0.76644349190079053"/>
          <c:h val="0.7760530845429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'miesiące 2024'!$B$19</c:f>
              <c:strCache>
                <c:ptCount val="1"/>
                <c:pt idx="0">
                  <c:v>2024
(stan na kwiecień)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'miesiące 2024'!$A$20:$A$38</c:f>
              <c:strCache>
                <c:ptCount val="17"/>
                <c:pt idx="0">
                  <c:v>Urologia</c:v>
                </c:pt>
                <c:pt idx="1">
                  <c:v>Reumatologia</c:v>
                </c:pt>
                <c:pt idx="2">
                  <c:v>Pulmonologia</c:v>
                </c:pt>
                <c:pt idx="3">
                  <c:v>Psychiatria</c:v>
                </c:pt>
                <c:pt idx="4">
                  <c:v>Okulistyka</c:v>
                </c:pt>
                <c:pt idx="5">
                  <c:v>Neurologia</c:v>
                </c:pt>
                <c:pt idx="6">
                  <c:v>Nefrologia </c:v>
                </c:pt>
                <c:pt idx="7">
                  <c:v>Kardiologia</c:v>
                </c:pt>
                <c:pt idx="8">
                  <c:v>Immunologia</c:v>
                </c:pt>
                <c:pt idx="9">
                  <c:v>Hepatologia</c:v>
                </c:pt>
                <c:pt idx="10">
                  <c:v>Hematologia</c:v>
                </c:pt>
                <c:pt idx="11">
                  <c:v>Ginekologia</c:v>
                </c:pt>
                <c:pt idx="12">
                  <c:v>Gastroenterologia</c:v>
                </c:pt>
                <c:pt idx="13">
                  <c:v>Diabetologia</c:v>
                </c:pt>
                <c:pt idx="14">
                  <c:v>Choroby metaboliczne</c:v>
                </c:pt>
                <c:pt idx="15">
                  <c:v>Angiologia</c:v>
                </c:pt>
                <c:pt idx="16">
                  <c:v>Alergologia</c:v>
                </c:pt>
              </c:strCache>
              <c:extLst/>
            </c:strRef>
          </c:cat>
          <c:val>
            <c:numRef>
              <c:f>'miesiące 2024'!$B$20:$B$38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7</c:v>
                </c:pt>
                <c:pt idx="6">
                  <c:v>5</c:v>
                </c:pt>
                <c:pt idx="7">
                  <c:v>5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208-4555-986A-50DAD4DD13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96495"/>
        <c:axId val="241294831"/>
      </c:bar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1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17</Pages>
  <Words>4032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Tobiaszewski Paweł</cp:lastModifiedBy>
  <cp:revision>25</cp:revision>
  <dcterms:created xsi:type="dcterms:W3CDTF">2024-03-12T10:59:00Z</dcterms:created>
  <dcterms:modified xsi:type="dcterms:W3CDTF">2024-03-15T10:56:00Z</dcterms:modified>
</cp:coreProperties>
</file>