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22" w:rsidRPr="004050F3" w:rsidRDefault="004F6322">
      <w:pPr>
        <w:pStyle w:val="COEEnceinte"/>
        <w:rPr>
          <w:rFonts w:ascii="Times New Roman" w:hAnsi="Times New Roman"/>
          <w:sz w:val="36"/>
          <w:lang w:val="pl-PL"/>
        </w:rPr>
      </w:pPr>
      <w:bookmarkStart w:id="0" w:name="_GoBack"/>
      <w:bookmarkEnd w:id="0"/>
      <w:r w:rsidRPr="004050F3">
        <w:rPr>
          <w:rFonts w:ascii="Times New Roman" w:hAnsi="Times New Roman"/>
          <w:sz w:val="36"/>
          <w:lang w:val="pl-PL"/>
        </w:rPr>
        <w:t>RADA EUROPY</w:t>
      </w:r>
    </w:p>
    <w:p w:rsidR="00406B42" w:rsidRPr="004050F3" w:rsidRDefault="004F6322">
      <w:pPr>
        <w:pStyle w:val="COEEnceinte"/>
        <w:rPr>
          <w:rFonts w:ascii="Times New Roman" w:hAnsi="Times New Roman"/>
          <w:sz w:val="24"/>
          <w:lang w:val="pl-PL"/>
        </w:rPr>
      </w:pPr>
      <w:r w:rsidRPr="004050F3">
        <w:rPr>
          <w:rFonts w:ascii="Times New Roman" w:hAnsi="Times New Roman"/>
          <w:sz w:val="24"/>
          <w:lang w:val="pl-PL"/>
        </w:rPr>
        <w:t>KOMITET MINISTRÓW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4F6322" w:rsidRPr="004050F3" w:rsidRDefault="004F6322" w:rsidP="004F6322">
      <w:pPr>
        <w:rPr>
          <w:rFonts w:ascii="Times New Roman" w:hAnsi="Times New Roman"/>
          <w:b/>
          <w:sz w:val="24"/>
          <w:lang w:val="pl-PL"/>
        </w:rPr>
      </w:pPr>
      <w:r w:rsidRPr="004050F3">
        <w:rPr>
          <w:rFonts w:ascii="Times New Roman" w:hAnsi="Times New Roman"/>
          <w:b/>
          <w:sz w:val="24"/>
          <w:lang w:val="pl-PL"/>
        </w:rPr>
        <w:t>Zalecenie Rec(2003)13</w:t>
      </w:r>
    </w:p>
    <w:p w:rsidR="004F6322" w:rsidRPr="004050F3" w:rsidRDefault="004F6322" w:rsidP="004F6322">
      <w:pPr>
        <w:rPr>
          <w:rFonts w:ascii="Times New Roman" w:hAnsi="Times New Roman"/>
          <w:b/>
          <w:bCs/>
          <w:sz w:val="24"/>
          <w:lang w:val="pl-PL"/>
        </w:rPr>
      </w:pPr>
      <w:r w:rsidRPr="004050F3">
        <w:rPr>
          <w:rFonts w:ascii="Times New Roman" w:hAnsi="Times New Roman"/>
          <w:b/>
          <w:bCs/>
          <w:sz w:val="24"/>
          <w:lang w:val="pl-PL"/>
        </w:rPr>
        <w:t>Komitetu Ministrów dla państw członkowskich</w:t>
      </w:r>
    </w:p>
    <w:p w:rsidR="004F6322" w:rsidRPr="004050F3" w:rsidRDefault="004F6322" w:rsidP="004F6322">
      <w:pPr>
        <w:rPr>
          <w:rFonts w:ascii="Times New Roman" w:hAnsi="Times New Roman"/>
          <w:b/>
          <w:bCs/>
          <w:sz w:val="24"/>
          <w:lang w:val="pl-PL"/>
        </w:rPr>
      </w:pPr>
      <w:r w:rsidRPr="004050F3">
        <w:rPr>
          <w:rFonts w:ascii="Times New Roman" w:hAnsi="Times New Roman"/>
          <w:b/>
          <w:bCs/>
          <w:sz w:val="24"/>
          <w:lang w:val="pl-PL"/>
        </w:rPr>
        <w:t xml:space="preserve">w sprawie </w:t>
      </w:r>
      <w:r w:rsidR="000D3DBC" w:rsidRPr="004050F3">
        <w:rPr>
          <w:rFonts w:ascii="Times New Roman" w:hAnsi="Times New Roman"/>
          <w:b/>
          <w:bCs/>
          <w:sz w:val="24"/>
          <w:lang w:val="pl-PL"/>
        </w:rPr>
        <w:t>informowania</w:t>
      </w:r>
      <w:r w:rsidRPr="004050F3">
        <w:rPr>
          <w:rFonts w:ascii="Times New Roman" w:hAnsi="Times New Roman"/>
          <w:b/>
          <w:bCs/>
          <w:sz w:val="24"/>
          <w:lang w:val="pl-PL"/>
        </w:rPr>
        <w:t xml:space="preserve"> o postępowaniach karnych w mediach</w:t>
      </w:r>
    </w:p>
    <w:p w:rsidR="004F6322" w:rsidRPr="004050F3" w:rsidRDefault="004F6322" w:rsidP="004F6322">
      <w:pPr>
        <w:rPr>
          <w:rFonts w:ascii="Times New Roman" w:hAnsi="Times New Roman"/>
          <w:sz w:val="24"/>
          <w:lang w:val="pl-PL"/>
        </w:rPr>
      </w:pPr>
    </w:p>
    <w:p w:rsidR="004F6322" w:rsidRPr="004050F3" w:rsidRDefault="004F6322" w:rsidP="004F6322">
      <w:pPr>
        <w:rPr>
          <w:rFonts w:ascii="Times New Roman" w:hAnsi="Times New Roman"/>
          <w:i/>
          <w:iCs/>
          <w:sz w:val="24"/>
          <w:lang w:val="pl-PL"/>
        </w:rPr>
      </w:pPr>
      <w:r w:rsidRPr="004050F3">
        <w:rPr>
          <w:rFonts w:ascii="Times New Roman" w:hAnsi="Times New Roman"/>
          <w:i/>
          <w:iCs/>
          <w:sz w:val="24"/>
          <w:lang w:val="pl-PL"/>
        </w:rPr>
        <w:t>(przyjęte przez Komitet Ministrów 10 lipca 2003 r.</w:t>
      </w:r>
    </w:p>
    <w:p w:rsidR="004F6322" w:rsidRPr="004050F3" w:rsidRDefault="00B61871" w:rsidP="004F6322">
      <w:pPr>
        <w:rPr>
          <w:rFonts w:ascii="Times New Roman" w:hAnsi="Times New Roman"/>
          <w:i/>
          <w:iCs/>
          <w:sz w:val="24"/>
          <w:lang w:val="pl-PL"/>
        </w:rPr>
      </w:pPr>
      <w:r w:rsidRPr="004050F3">
        <w:rPr>
          <w:rFonts w:ascii="Times New Roman" w:hAnsi="Times New Roman"/>
          <w:i/>
          <w:iCs/>
          <w:sz w:val="24"/>
          <w:lang w:val="pl-PL"/>
        </w:rPr>
        <w:t>p</w:t>
      </w:r>
      <w:r w:rsidR="004F6322" w:rsidRPr="004050F3">
        <w:rPr>
          <w:rFonts w:ascii="Times New Roman" w:hAnsi="Times New Roman"/>
          <w:i/>
          <w:iCs/>
          <w:sz w:val="24"/>
          <w:lang w:val="pl-PL"/>
        </w:rPr>
        <w:t>odczas 848. posiedzenia zastępców ministrów)</w:t>
      </w:r>
    </w:p>
    <w:p w:rsidR="004F6322" w:rsidRPr="004050F3" w:rsidRDefault="004F6322" w:rsidP="004F6322">
      <w:pPr>
        <w:rPr>
          <w:rFonts w:ascii="Times New Roman" w:hAnsi="Times New Roman"/>
          <w:sz w:val="24"/>
          <w:lang w:val="pl-PL"/>
        </w:rPr>
      </w:pPr>
    </w:p>
    <w:p w:rsidR="004F6322" w:rsidRPr="004050F3" w:rsidRDefault="004F6322" w:rsidP="004F6322">
      <w:pPr>
        <w:rPr>
          <w:rFonts w:ascii="Times New Roman" w:hAnsi="Times New Roman"/>
          <w:sz w:val="24"/>
          <w:lang w:val="pl-PL"/>
        </w:rPr>
      </w:pPr>
    </w:p>
    <w:p w:rsidR="004F6322" w:rsidRPr="004050F3" w:rsidRDefault="004F6322" w:rsidP="004F6322">
      <w:pPr>
        <w:tabs>
          <w:tab w:val="left" w:pos="709"/>
        </w:tabs>
        <w:rPr>
          <w:rFonts w:ascii="Times New Roman" w:hAnsi="Times New Roman"/>
          <w:sz w:val="24"/>
          <w:szCs w:val="20"/>
          <w:lang w:val="pl-PL"/>
        </w:rPr>
      </w:pPr>
      <w:r w:rsidRPr="004050F3">
        <w:rPr>
          <w:rFonts w:ascii="Times New Roman" w:hAnsi="Times New Roman"/>
          <w:sz w:val="24"/>
          <w:szCs w:val="20"/>
          <w:lang w:val="pl-PL"/>
        </w:rPr>
        <w:t>Komitet Ministrów, zgodnie z art. 15 lit. b Statutu Rady Europy,</w:t>
      </w:r>
    </w:p>
    <w:p w:rsidR="004F6322" w:rsidRPr="004050F3" w:rsidRDefault="004F6322" w:rsidP="004F6322">
      <w:pPr>
        <w:rPr>
          <w:rFonts w:ascii="Times New Roman" w:hAnsi="Times New Roman"/>
          <w:sz w:val="24"/>
          <w:lang w:val="pl-PL"/>
        </w:rPr>
      </w:pPr>
    </w:p>
    <w:p w:rsidR="004F6322" w:rsidRPr="004050F3" w:rsidRDefault="004F6322" w:rsidP="004F6322">
      <w:pPr>
        <w:tabs>
          <w:tab w:val="left" w:pos="709"/>
        </w:tabs>
        <w:rPr>
          <w:rFonts w:ascii="Times New Roman" w:hAnsi="Times New Roman"/>
          <w:sz w:val="22"/>
          <w:szCs w:val="20"/>
          <w:lang w:val="pl-PL"/>
        </w:rPr>
      </w:pPr>
      <w:r w:rsidRPr="004050F3">
        <w:rPr>
          <w:rFonts w:ascii="Times New Roman" w:hAnsi="Times New Roman"/>
          <w:sz w:val="22"/>
          <w:szCs w:val="20"/>
          <w:lang w:val="pl-PL"/>
        </w:rPr>
        <w:t>Zważywszy, iż celem Rady Europy jest osiągnięcie większej jedności między jej członkami w celu ochrony i promowania ideałów i zasad, które są ich wspólnym dziedzictwem;</w:t>
      </w:r>
    </w:p>
    <w:p w:rsidR="004F6322" w:rsidRPr="004050F3" w:rsidRDefault="004F6322" w:rsidP="004F6322">
      <w:pPr>
        <w:tabs>
          <w:tab w:val="left" w:pos="709"/>
        </w:tabs>
        <w:rPr>
          <w:rFonts w:ascii="Times New Roman" w:hAnsi="Times New Roman"/>
          <w:sz w:val="22"/>
          <w:szCs w:val="20"/>
          <w:lang w:val="pl-PL"/>
        </w:rPr>
      </w:pPr>
    </w:p>
    <w:p w:rsidR="004F6322" w:rsidRPr="004050F3" w:rsidRDefault="004F6322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 xml:space="preserve">Przypominając o zobowiązaniu państw członkowskich do gwarantowania fundamentalnego prawa wolności wypowiedzi i słowa zgodnie z art. 10 Konwencji o Ochronie Praw Człowieka i Podstawowych Wolności (zwanej dalej „Konwencją”), które stanowi jeden z podstawowych fundamentów demokratycznego społeczeństwa oraz kluczowych warunków rozwoju </w:t>
      </w:r>
      <w:r w:rsidR="00B61871" w:rsidRPr="004050F3">
        <w:rPr>
          <w:rFonts w:ascii="Times New Roman" w:hAnsi="Times New Roman"/>
          <w:sz w:val="22"/>
          <w:lang w:val="pl-PL"/>
        </w:rPr>
        <w:t xml:space="preserve">społecznego i </w:t>
      </w:r>
      <w:r w:rsidRPr="004050F3">
        <w:rPr>
          <w:rFonts w:ascii="Times New Roman" w:hAnsi="Times New Roman"/>
          <w:sz w:val="22"/>
          <w:lang w:val="pl-PL"/>
        </w:rPr>
        <w:t>każdej jednostki;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4F6322" w:rsidRPr="004050F3" w:rsidRDefault="004F6322" w:rsidP="00B61871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 xml:space="preserve">Przypominając o prawie mediów do informowania opinii publicznej w związku z prawem do otrzymywania informacji, co dotyczy m.in. informacji </w:t>
      </w:r>
      <w:r w:rsidR="00B61871" w:rsidRPr="004050F3">
        <w:rPr>
          <w:rFonts w:ascii="Times New Roman" w:hAnsi="Times New Roman"/>
          <w:sz w:val="22"/>
          <w:lang w:val="pl-PL"/>
        </w:rPr>
        <w:t xml:space="preserve">ważnych dla społeczeństwa </w:t>
      </w:r>
      <w:r w:rsidRPr="004050F3">
        <w:rPr>
          <w:rFonts w:ascii="Times New Roman" w:hAnsi="Times New Roman"/>
          <w:sz w:val="22"/>
          <w:lang w:val="pl-PL"/>
        </w:rPr>
        <w:t xml:space="preserve">w rozumieniu art. 10 Konwencji i o zawodowym obowiązku </w:t>
      </w:r>
      <w:r w:rsidR="00A5758F" w:rsidRPr="004050F3">
        <w:rPr>
          <w:rFonts w:ascii="Times New Roman" w:hAnsi="Times New Roman"/>
          <w:sz w:val="22"/>
          <w:lang w:val="pl-PL"/>
        </w:rPr>
        <w:t xml:space="preserve">dziennikarzy </w:t>
      </w:r>
      <w:r w:rsidRPr="004050F3">
        <w:rPr>
          <w:rFonts w:ascii="Times New Roman" w:hAnsi="Times New Roman"/>
          <w:sz w:val="22"/>
          <w:lang w:val="pl-PL"/>
        </w:rPr>
        <w:t>przekazywania takich informacji;</w:t>
      </w:r>
    </w:p>
    <w:p w:rsidR="004F6322" w:rsidRPr="004050F3" w:rsidRDefault="004F6322">
      <w:pPr>
        <w:rPr>
          <w:rFonts w:ascii="Times New Roman" w:hAnsi="Times New Roman"/>
          <w:sz w:val="22"/>
          <w:lang w:val="pl-PL"/>
        </w:rPr>
      </w:pPr>
    </w:p>
    <w:p w:rsidR="004F6322" w:rsidRPr="004050F3" w:rsidRDefault="004F6322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 xml:space="preserve">Przypominając, że </w:t>
      </w:r>
      <w:r w:rsidR="00B61871" w:rsidRPr="004050F3">
        <w:rPr>
          <w:rFonts w:ascii="Times New Roman" w:hAnsi="Times New Roman"/>
          <w:sz w:val="22"/>
          <w:lang w:val="pl-PL"/>
        </w:rPr>
        <w:t>zasada</w:t>
      </w:r>
      <w:r w:rsidRPr="004050F3">
        <w:rPr>
          <w:rFonts w:ascii="Times New Roman" w:hAnsi="Times New Roman"/>
          <w:sz w:val="22"/>
          <w:lang w:val="pl-PL"/>
        </w:rPr>
        <w:t xml:space="preserve"> domniemania niewinności, </w:t>
      </w:r>
      <w:r w:rsidR="00B61871" w:rsidRPr="004050F3">
        <w:rPr>
          <w:rFonts w:ascii="Times New Roman" w:hAnsi="Times New Roman"/>
          <w:sz w:val="22"/>
          <w:lang w:val="pl-PL"/>
        </w:rPr>
        <w:t xml:space="preserve">prawo do </w:t>
      </w:r>
      <w:r w:rsidRPr="004050F3">
        <w:rPr>
          <w:rFonts w:ascii="Times New Roman" w:hAnsi="Times New Roman"/>
          <w:sz w:val="22"/>
          <w:lang w:val="pl-PL"/>
        </w:rPr>
        <w:t>uczciwego procesu oraz poszanowania życia prywatnego i rodzinnego w rozumieniu art. 6 i 8 Konwencji stanowią fundamentalne wymogi, które muszą być przestrzegane w każdym demokratycznym społeczeństwie;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4F6322" w:rsidRPr="004050F3" w:rsidRDefault="004F6322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 xml:space="preserve">Podkreślając znaczenie mediów </w:t>
      </w:r>
      <w:r w:rsidR="000A1939" w:rsidRPr="004050F3">
        <w:rPr>
          <w:rFonts w:ascii="Times New Roman" w:hAnsi="Times New Roman"/>
          <w:sz w:val="22"/>
          <w:lang w:val="pl-PL"/>
        </w:rPr>
        <w:t xml:space="preserve">dla informowania opinii publicznej o postępowaniach karnych, </w:t>
      </w:r>
      <w:r w:rsidR="00B61871" w:rsidRPr="004050F3">
        <w:rPr>
          <w:rFonts w:ascii="Times New Roman" w:hAnsi="Times New Roman"/>
          <w:sz w:val="22"/>
          <w:lang w:val="pl-PL"/>
        </w:rPr>
        <w:t xml:space="preserve">które tym samym nagłaśniają </w:t>
      </w:r>
      <w:r w:rsidR="000A1939" w:rsidRPr="004050F3">
        <w:rPr>
          <w:rFonts w:ascii="Times New Roman" w:hAnsi="Times New Roman"/>
          <w:sz w:val="22"/>
          <w:lang w:val="pl-PL"/>
        </w:rPr>
        <w:t xml:space="preserve">odstraszającą </w:t>
      </w:r>
      <w:r w:rsidR="00DB05D5" w:rsidRPr="004050F3">
        <w:rPr>
          <w:rFonts w:ascii="Times New Roman" w:hAnsi="Times New Roman"/>
          <w:sz w:val="22"/>
          <w:lang w:val="pl-PL"/>
        </w:rPr>
        <w:t>rolę</w:t>
      </w:r>
      <w:r w:rsidR="000A1939" w:rsidRPr="004050F3">
        <w:rPr>
          <w:rFonts w:ascii="Times New Roman" w:hAnsi="Times New Roman"/>
          <w:sz w:val="22"/>
          <w:lang w:val="pl-PL"/>
        </w:rPr>
        <w:t xml:space="preserve"> prawa karnego, oraz dla zapewnienia nadzoru społecznego nad działaniem wymiaru sprawiedliwości;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0A1939" w:rsidRPr="004050F3" w:rsidRDefault="000A1939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 xml:space="preserve">Biorąc pod uwagę </w:t>
      </w:r>
      <w:r w:rsidR="004A78B0" w:rsidRPr="004050F3">
        <w:rPr>
          <w:rFonts w:ascii="Times New Roman" w:hAnsi="Times New Roman"/>
          <w:sz w:val="22"/>
          <w:lang w:val="pl-PL"/>
        </w:rPr>
        <w:t>ewentualną sprzeczność</w:t>
      </w:r>
      <w:r w:rsidRPr="004050F3">
        <w:rPr>
          <w:rFonts w:ascii="Times New Roman" w:hAnsi="Times New Roman"/>
          <w:sz w:val="22"/>
          <w:lang w:val="pl-PL"/>
        </w:rPr>
        <w:t xml:space="preserve"> interesów </w:t>
      </w:r>
      <w:r w:rsidR="00DB05D5" w:rsidRPr="004050F3">
        <w:rPr>
          <w:rFonts w:ascii="Times New Roman" w:hAnsi="Times New Roman"/>
          <w:sz w:val="22"/>
          <w:lang w:val="pl-PL"/>
        </w:rPr>
        <w:t>gwarantowanych</w:t>
      </w:r>
      <w:r w:rsidRPr="004050F3">
        <w:rPr>
          <w:rFonts w:ascii="Times New Roman" w:hAnsi="Times New Roman"/>
          <w:sz w:val="22"/>
          <w:lang w:val="pl-PL"/>
        </w:rPr>
        <w:t xml:space="preserve"> zgodnie z art. 6, 8 i 10 Konwencji oraz konieczność wyważenia takich praw w świetle </w:t>
      </w:r>
      <w:r w:rsidR="00DB05D5" w:rsidRPr="004050F3">
        <w:rPr>
          <w:rFonts w:ascii="Times New Roman" w:hAnsi="Times New Roman"/>
          <w:sz w:val="22"/>
          <w:lang w:val="pl-PL"/>
        </w:rPr>
        <w:t xml:space="preserve">stanu faktycznego </w:t>
      </w:r>
      <w:r w:rsidR="004A78B0" w:rsidRPr="004050F3">
        <w:rPr>
          <w:rFonts w:ascii="Times New Roman" w:hAnsi="Times New Roman"/>
          <w:sz w:val="22"/>
          <w:lang w:val="pl-PL"/>
        </w:rPr>
        <w:t>każdej indywidualnej sprawy i</w:t>
      </w:r>
      <w:r w:rsidRPr="004050F3">
        <w:rPr>
          <w:rFonts w:ascii="Times New Roman" w:hAnsi="Times New Roman"/>
          <w:sz w:val="22"/>
          <w:lang w:val="pl-PL"/>
        </w:rPr>
        <w:t xml:space="preserve"> mając na uwadze nadzorczą rolę Europejskiego Trybunału Praw Człowieka w zapewnianiu przestrzegania zobowiązań wynikających z Konwencji;</w:t>
      </w:r>
    </w:p>
    <w:p w:rsidR="000A1939" w:rsidRPr="004050F3" w:rsidRDefault="000A1939">
      <w:pPr>
        <w:rPr>
          <w:rFonts w:ascii="Times New Roman" w:hAnsi="Times New Roman"/>
          <w:sz w:val="22"/>
          <w:lang w:val="pl-PL"/>
        </w:rPr>
      </w:pPr>
    </w:p>
    <w:p w:rsidR="000A1939" w:rsidRPr="004050F3" w:rsidRDefault="000A1939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Dodatkowo przywołując prawo mediów i dziennikarzy do powoływania organizacji zawodowych gwarantowane w prawie do wolności stowarzyszeń w rozumieniu art. 11 Konwencji, co jest podstawą samoregulacji w obszarze mediów;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0A1939" w:rsidRPr="004050F3" w:rsidRDefault="000A1939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Będąc świadomi wielu inicjatyw podejmowanych przez media i dziennikarzy w Europie w celu promowania odpowiedzialnego wykonywania zawodu dziennikarza, poprzez samoregulację lub we współpracy z państwem w ramach współregulacji;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0A1939" w:rsidRPr="004050F3" w:rsidRDefault="00DB05D5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Pragnąc</w:t>
      </w:r>
      <w:r w:rsidR="000A1939" w:rsidRPr="004050F3">
        <w:rPr>
          <w:rFonts w:ascii="Times New Roman" w:hAnsi="Times New Roman"/>
          <w:sz w:val="22"/>
          <w:lang w:val="pl-PL"/>
        </w:rPr>
        <w:t xml:space="preserve"> wzmocnić świadomą debatę o ochronie prawa i interesów będących na szali w kontekście relacjonowania przez media postępowań karnych oraz aby promować dobrą praktykę w całej Europie przy jednoczesnym zapewnieniu dostępu mediów do postępowań karnych;</w:t>
      </w:r>
    </w:p>
    <w:p w:rsidR="000A1939" w:rsidRPr="004050F3" w:rsidRDefault="000A1939">
      <w:pPr>
        <w:rPr>
          <w:rFonts w:ascii="Times New Roman" w:hAnsi="Times New Roman"/>
          <w:sz w:val="22"/>
          <w:lang w:val="pl-PL"/>
        </w:rPr>
      </w:pPr>
    </w:p>
    <w:p w:rsidR="00FF4770" w:rsidRPr="004050F3" w:rsidRDefault="000A1939" w:rsidP="00FF4770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 xml:space="preserve">Przypominając o Uchwale </w:t>
      </w:r>
      <w:r w:rsidR="0090125F" w:rsidRPr="004050F3">
        <w:rPr>
          <w:rFonts w:ascii="Times New Roman" w:hAnsi="Times New Roman"/>
          <w:sz w:val="22"/>
          <w:lang w:val="pl-PL"/>
        </w:rPr>
        <w:t xml:space="preserve">(74) 26 </w:t>
      </w:r>
      <w:r w:rsidR="004A78B0" w:rsidRPr="004050F3">
        <w:rPr>
          <w:rFonts w:ascii="Times New Roman" w:hAnsi="Times New Roman"/>
          <w:sz w:val="22"/>
          <w:lang w:val="pl-PL"/>
        </w:rPr>
        <w:t>dotyczącej</w:t>
      </w:r>
      <w:r w:rsidRPr="004050F3">
        <w:rPr>
          <w:rFonts w:ascii="Times New Roman" w:hAnsi="Times New Roman"/>
          <w:sz w:val="22"/>
          <w:lang w:val="pl-PL"/>
        </w:rPr>
        <w:t xml:space="preserve"> prawa do odpowiedzi – pozycji jednostek w relacji z prasą, Zaleceniu </w:t>
      </w:r>
      <w:r w:rsidR="00FF4770" w:rsidRPr="004050F3">
        <w:rPr>
          <w:rFonts w:ascii="Times New Roman" w:hAnsi="Times New Roman"/>
          <w:sz w:val="22"/>
          <w:lang w:val="pl-PL"/>
        </w:rPr>
        <w:t xml:space="preserve">Rady </w:t>
      </w:r>
      <w:r w:rsidRPr="004050F3">
        <w:rPr>
          <w:rFonts w:ascii="Times New Roman" w:hAnsi="Times New Roman"/>
          <w:sz w:val="22"/>
          <w:lang w:val="pl-PL"/>
        </w:rPr>
        <w:t xml:space="preserve">nr </w:t>
      </w:r>
      <w:r w:rsidR="0090125F" w:rsidRPr="004050F3">
        <w:rPr>
          <w:rFonts w:ascii="Times New Roman" w:hAnsi="Times New Roman"/>
          <w:sz w:val="22"/>
          <w:lang w:val="pl-PL"/>
        </w:rPr>
        <w:t xml:space="preserve">R (85) 11 </w:t>
      </w:r>
      <w:r w:rsidRPr="004050F3">
        <w:rPr>
          <w:rFonts w:ascii="Times New Roman" w:hAnsi="Times New Roman"/>
          <w:sz w:val="22"/>
          <w:lang w:val="pl-PL"/>
        </w:rPr>
        <w:t xml:space="preserve">w sprawie miejsca ofiar w </w:t>
      </w:r>
      <w:r w:rsidR="00A5758F" w:rsidRPr="004050F3">
        <w:rPr>
          <w:rFonts w:ascii="Times New Roman" w:hAnsi="Times New Roman"/>
          <w:sz w:val="22"/>
          <w:lang w:val="pl-PL"/>
        </w:rPr>
        <w:t>prawie karnym i postępowaniach</w:t>
      </w:r>
      <w:r w:rsidR="00FF4770" w:rsidRPr="004050F3">
        <w:rPr>
          <w:rFonts w:ascii="Times New Roman" w:hAnsi="Times New Roman"/>
          <w:sz w:val="22"/>
          <w:lang w:val="pl-PL"/>
        </w:rPr>
        <w:t xml:space="preserve"> karnych, Zaleceniu Rady nr </w:t>
      </w:r>
      <w:r w:rsidR="0090125F" w:rsidRPr="004050F3">
        <w:rPr>
          <w:rFonts w:ascii="Times New Roman" w:hAnsi="Times New Roman"/>
          <w:sz w:val="22"/>
          <w:lang w:val="pl-PL"/>
        </w:rPr>
        <w:t xml:space="preserve">R (97) 13 </w:t>
      </w:r>
      <w:r w:rsidR="00FF4770" w:rsidRPr="004050F3">
        <w:rPr>
          <w:rFonts w:ascii="Times New Roman" w:hAnsi="Times New Roman"/>
          <w:sz w:val="22"/>
          <w:lang w:val="pl-PL"/>
        </w:rPr>
        <w:t>w sprawie zastraszania świadków i prawie do obrony oraz Zaleceniu nr</w:t>
      </w:r>
      <w:r w:rsidR="0090125F" w:rsidRPr="004050F3">
        <w:rPr>
          <w:rFonts w:ascii="Times New Roman" w:hAnsi="Times New Roman"/>
          <w:sz w:val="22"/>
          <w:lang w:val="pl-PL"/>
        </w:rPr>
        <w:t xml:space="preserve"> R (97) 21 </w:t>
      </w:r>
      <w:r w:rsidR="00B61871" w:rsidRPr="004050F3">
        <w:rPr>
          <w:rFonts w:ascii="Times New Roman" w:hAnsi="Times New Roman"/>
          <w:sz w:val="22"/>
          <w:lang w:val="pl-PL"/>
        </w:rPr>
        <w:t>w sprawie mediów i promowania</w:t>
      </w:r>
      <w:r w:rsidR="00FF4770" w:rsidRPr="004050F3">
        <w:rPr>
          <w:rFonts w:ascii="Times New Roman" w:hAnsi="Times New Roman"/>
          <w:sz w:val="22"/>
          <w:lang w:val="pl-PL"/>
        </w:rPr>
        <w:t xml:space="preserve"> kultury tolerancji;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FF4770" w:rsidRPr="004050F3" w:rsidRDefault="00FF4770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 xml:space="preserve">Podkreślając znaczenie ochrony dziennikarskich źródeł informacji w kontekście postępowań karnych zgodnie z Zaleceniem Rady nr </w:t>
      </w:r>
      <w:r w:rsidR="0090125F" w:rsidRPr="004050F3">
        <w:rPr>
          <w:rFonts w:ascii="Times New Roman" w:hAnsi="Times New Roman"/>
          <w:sz w:val="22"/>
          <w:lang w:val="pl-PL"/>
        </w:rPr>
        <w:t xml:space="preserve">R (2000) 7 </w:t>
      </w:r>
      <w:r w:rsidR="004A78B0" w:rsidRPr="004050F3">
        <w:rPr>
          <w:rFonts w:ascii="Times New Roman" w:hAnsi="Times New Roman"/>
          <w:sz w:val="22"/>
          <w:lang w:val="pl-PL"/>
        </w:rPr>
        <w:t>dotyczącym</w:t>
      </w:r>
      <w:r w:rsidRPr="004050F3">
        <w:rPr>
          <w:rFonts w:ascii="Times New Roman" w:hAnsi="Times New Roman"/>
          <w:sz w:val="22"/>
          <w:lang w:val="pl-PL"/>
        </w:rPr>
        <w:t xml:space="preserve"> prawa dziennikarzy do nieujawniania swoich źródeł informacji;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FF4770" w:rsidRPr="004050F3" w:rsidRDefault="00FF4770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 xml:space="preserve">Pamiętając o Uchwale nr </w:t>
      </w:r>
      <w:r w:rsidR="0090125F" w:rsidRPr="004050F3">
        <w:rPr>
          <w:rFonts w:ascii="Times New Roman" w:hAnsi="Times New Roman"/>
          <w:sz w:val="22"/>
          <w:lang w:val="pl-PL"/>
        </w:rPr>
        <w:t xml:space="preserve">2 </w:t>
      </w:r>
      <w:r w:rsidRPr="004050F3">
        <w:rPr>
          <w:rFonts w:ascii="Times New Roman" w:hAnsi="Times New Roman"/>
          <w:sz w:val="22"/>
          <w:lang w:val="pl-PL"/>
        </w:rPr>
        <w:t>w sprawie wolności dziennikarskich i praw człowieka przyjętej na IV Ministerialnej Konferencji w sprawie polityki</w:t>
      </w:r>
      <w:r w:rsidR="004A78B0" w:rsidRPr="004050F3">
        <w:rPr>
          <w:rFonts w:ascii="Times New Roman" w:hAnsi="Times New Roman"/>
          <w:sz w:val="22"/>
          <w:lang w:val="pl-PL"/>
        </w:rPr>
        <w:t xml:space="preserve"> dot.</w:t>
      </w:r>
      <w:r w:rsidRPr="004050F3">
        <w:rPr>
          <w:rFonts w:ascii="Times New Roman" w:hAnsi="Times New Roman"/>
          <w:sz w:val="22"/>
          <w:lang w:val="pl-PL"/>
        </w:rPr>
        <w:t xml:space="preserve"> mass mediów (Praga, grudzień 1994 r.) oraz Deklaracji w sprawie polityki medialnej dla przyszłości przyjętej na VI Ministerialnej Konferencji w sprawie polityki </w:t>
      </w:r>
      <w:r w:rsidR="004A78B0" w:rsidRPr="004050F3">
        <w:rPr>
          <w:rFonts w:ascii="Times New Roman" w:hAnsi="Times New Roman"/>
          <w:sz w:val="22"/>
          <w:lang w:val="pl-PL"/>
        </w:rPr>
        <w:t xml:space="preserve">dot. </w:t>
      </w:r>
      <w:r w:rsidRPr="004050F3">
        <w:rPr>
          <w:rFonts w:ascii="Times New Roman" w:hAnsi="Times New Roman"/>
          <w:sz w:val="22"/>
          <w:lang w:val="pl-PL"/>
        </w:rPr>
        <w:t>mass mediów (Kraków, czerwiec 2000 r.);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FF4770" w:rsidRPr="004050F3" w:rsidRDefault="00FF4770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 xml:space="preserve">Przypominając, że niniejsze zalecenie nie ma na celu ograniczania </w:t>
      </w:r>
      <w:r w:rsidR="00DB05D5" w:rsidRPr="004050F3">
        <w:rPr>
          <w:rFonts w:ascii="Times New Roman" w:hAnsi="Times New Roman"/>
          <w:sz w:val="22"/>
          <w:lang w:val="pl-PL"/>
        </w:rPr>
        <w:t>norm</w:t>
      </w:r>
      <w:r w:rsidRPr="004050F3">
        <w:rPr>
          <w:rFonts w:ascii="Times New Roman" w:hAnsi="Times New Roman"/>
          <w:sz w:val="22"/>
          <w:lang w:val="pl-PL"/>
        </w:rPr>
        <w:t>, które obowiązują już w państwach członkowskich i mają na celu ochronę wolności wyrażania poglądów;</w:t>
      </w:r>
    </w:p>
    <w:p w:rsidR="00FF4770" w:rsidRPr="004050F3" w:rsidRDefault="00FF4770">
      <w:pPr>
        <w:rPr>
          <w:rFonts w:ascii="Times New Roman" w:hAnsi="Times New Roman"/>
          <w:sz w:val="22"/>
          <w:lang w:val="pl-PL"/>
        </w:rPr>
      </w:pPr>
    </w:p>
    <w:p w:rsidR="00FF4770" w:rsidRPr="004050F3" w:rsidRDefault="00FF4770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 xml:space="preserve">Zaleca, </w:t>
      </w:r>
      <w:r w:rsidR="00B61871" w:rsidRPr="004050F3">
        <w:rPr>
          <w:rFonts w:ascii="Times New Roman" w:hAnsi="Times New Roman"/>
          <w:sz w:val="22"/>
          <w:lang w:val="pl-PL"/>
        </w:rPr>
        <w:t>z poszanowaniem różnorodności</w:t>
      </w:r>
      <w:r w:rsidRPr="004050F3">
        <w:rPr>
          <w:rFonts w:ascii="Times New Roman" w:hAnsi="Times New Roman"/>
          <w:sz w:val="22"/>
          <w:lang w:val="pl-PL"/>
        </w:rPr>
        <w:t xml:space="preserve"> krajowych systemów prawnych w zakresie postępowań karnych, aby rządy państw członkowskich:</w:t>
      </w:r>
    </w:p>
    <w:p w:rsidR="00406B42" w:rsidRPr="004050F3" w:rsidRDefault="00406B42">
      <w:pPr>
        <w:rPr>
          <w:rFonts w:ascii="Times New Roman" w:hAnsi="Times New Roman"/>
          <w:b/>
          <w:bCs/>
          <w:sz w:val="22"/>
          <w:lang w:val="pl-PL"/>
        </w:rPr>
      </w:pPr>
    </w:p>
    <w:p w:rsidR="00FF4770" w:rsidRPr="004050F3" w:rsidRDefault="0090125F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1.</w:t>
      </w:r>
      <w:r w:rsidRPr="004050F3">
        <w:rPr>
          <w:rFonts w:ascii="Times New Roman" w:hAnsi="Times New Roman"/>
          <w:sz w:val="22"/>
          <w:lang w:val="pl-PL"/>
        </w:rPr>
        <w:tab/>
      </w:r>
      <w:r w:rsidR="00EA33CD" w:rsidRPr="004050F3">
        <w:rPr>
          <w:rFonts w:ascii="Times New Roman" w:hAnsi="Times New Roman"/>
          <w:sz w:val="22"/>
          <w:lang w:val="pl-PL"/>
        </w:rPr>
        <w:t>p</w:t>
      </w:r>
      <w:r w:rsidR="00B61871" w:rsidRPr="004050F3">
        <w:rPr>
          <w:rFonts w:ascii="Times New Roman" w:hAnsi="Times New Roman"/>
          <w:sz w:val="22"/>
          <w:lang w:val="pl-PL"/>
        </w:rPr>
        <w:t>odjęły lub odpowiednio wzmocniły</w:t>
      </w:r>
      <w:r w:rsidR="00EA33CD" w:rsidRPr="004050F3">
        <w:rPr>
          <w:rFonts w:ascii="Times New Roman" w:hAnsi="Times New Roman"/>
          <w:sz w:val="22"/>
          <w:lang w:val="pl-PL"/>
        </w:rPr>
        <w:t xml:space="preserve"> wszelkie działania, które mogą uznać za konieczne w celu </w:t>
      </w:r>
      <w:r w:rsidR="004A78B0" w:rsidRPr="004050F3">
        <w:rPr>
          <w:rFonts w:ascii="Times New Roman" w:hAnsi="Times New Roman"/>
          <w:sz w:val="22"/>
          <w:lang w:val="pl-PL"/>
        </w:rPr>
        <w:t>wprowadzenia w życie</w:t>
      </w:r>
      <w:r w:rsidR="00EA33CD" w:rsidRPr="004050F3">
        <w:rPr>
          <w:rFonts w:ascii="Times New Roman" w:hAnsi="Times New Roman"/>
          <w:sz w:val="22"/>
          <w:lang w:val="pl-PL"/>
        </w:rPr>
        <w:t xml:space="preserve"> zasad dołączonych do niniejszego zalecenia w ramach ograniczeń wyznaczonych przez przepisy konstytucjonalne,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EA33CD" w:rsidRPr="004050F3" w:rsidRDefault="0090125F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2.</w:t>
      </w:r>
      <w:r w:rsidRPr="004050F3">
        <w:rPr>
          <w:rFonts w:ascii="Times New Roman" w:hAnsi="Times New Roman"/>
          <w:sz w:val="22"/>
          <w:lang w:val="pl-PL"/>
        </w:rPr>
        <w:tab/>
      </w:r>
      <w:r w:rsidR="00DB05D5" w:rsidRPr="004050F3">
        <w:rPr>
          <w:rFonts w:ascii="Times New Roman" w:hAnsi="Times New Roman"/>
          <w:sz w:val="22"/>
          <w:lang w:val="pl-PL"/>
        </w:rPr>
        <w:t>rozpropagowały</w:t>
      </w:r>
      <w:r w:rsidR="00EA33CD" w:rsidRPr="004050F3">
        <w:rPr>
          <w:rFonts w:ascii="Times New Roman" w:hAnsi="Times New Roman"/>
          <w:sz w:val="22"/>
          <w:lang w:val="pl-PL"/>
        </w:rPr>
        <w:t xml:space="preserve"> </w:t>
      </w:r>
      <w:r w:rsidR="00DB05D5" w:rsidRPr="004050F3">
        <w:rPr>
          <w:rFonts w:ascii="Times New Roman" w:hAnsi="Times New Roman"/>
          <w:sz w:val="22"/>
          <w:lang w:val="pl-PL"/>
        </w:rPr>
        <w:t>szeroko</w:t>
      </w:r>
      <w:r w:rsidR="00EA33CD" w:rsidRPr="004050F3">
        <w:rPr>
          <w:rFonts w:ascii="Times New Roman" w:hAnsi="Times New Roman"/>
          <w:sz w:val="22"/>
          <w:lang w:val="pl-PL"/>
        </w:rPr>
        <w:t xml:space="preserve"> niniejsze zalecenie z dołączonym</w:t>
      </w:r>
      <w:r w:rsidR="00B61871" w:rsidRPr="004050F3">
        <w:rPr>
          <w:rFonts w:ascii="Times New Roman" w:hAnsi="Times New Roman"/>
          <w:sz w:val="22"/>
          <w:lang w:val="pl-PL"/>
        </w:rPr>
        <w:t>i</w:t>
      </w:r>
      <w:r w:rsidR="00EA33CD" w:rsidRPr="004050F3">
        <w:rPr>
          <w:rFonts w:ascii="Times New Roman" w:hAnsi="Times New Roman"/>
          <w:sz w:val="22"/>
          <w:lang w:val="pl-PL"/>
        </w:rPr>
        <w:t xml:space="preserve"> zaleceniami, w stosownych przypadkach razem z tłumaczeniem,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EA33CD" w:rsidRPr="004050F3" w:rsidRDefault="0090125F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3.</w:t>
      </w:r>
      <w:r w:rsidRPr="004050F3">
        <w:rPr>
          <w:rFonts w:ascii="Times New Roman" w:hAnsi="Times New Roman"/>
          <w:sz w:val="22"/>
          <w:lang w:val="pl-PL"/>
        </w:rPr>
        <w:tab/>
      </w:r>
      <w:r w:rsidR="00EA33CD" w:rsidRPr="004050F3">
        <w:rPr>
          <w:rFonts w:ascii="Times New Roman" w:hAnsi="Times New Roman"/>
          <w:sz w:val="22"/>
          <w:lang w:val="pl-PL"/>
        </w:rPr>
        <w:t xml:space="preserve">skierowały </w:t>
      </w:r>
      <w:r w:rsidR="004A78B0" w:rsidRPr="004050F3">
        <w:rPr>
          <w:rFonts w:ascii="Times New Roman" w:hAnsi="Times New Roman"/>
          <w:sz w:val="22"/>
          <w:lang w:val="pl-PL"/>
        </w:rPr>
        <w:t>niniejsze zalecenie</w:t>
      </w:r>
      <w:r w:rsidR="00EA33CD" w:rsidRPr="004050F3">
        <w:rPr>
          <w:rFonts w:ascii="Times New Roman" w:hAnsi="Times New Roman"/>
          <w:sz w:val="22"/>
          <w:lang w:val="pl-PL"/>
        </w:rPr>
        <w:t xml:space="preserve"> w szczególności do władz sądowych i służb policyjnych jak również udostępniły jej przedstawicielom organizacji </w:t>
      </w:r>
      <w:r w:rsidR="00DB05D5" w:rsidRPr="004050F3">
        <w:rPr>
          <w:rFonts w:ascii="Times New Roman" w:hAnsi="Times New Roman"/>
          <w:sz w:val="22"/>
          <w:lang w:val="pl-PL"/>
        </w:rPr>
        <w:t xml:space="preserve">skupiających </w:t>
      </w:r>
      <w:r w:rsidR="00EA33CD" w:rsidRPr="004050F3">
        <w:rPr>
          <w:rFonts w:ascii="Times New Roman" w:hAnsi="Times New Roman"/>
          <w:sz w:val="22"/>
          <w:lang w:val="pl-PL"/>
        </w:rPr>
        <w:t>prawników i pracowników mediów.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406B42" w:rsidRPr="004050F3" w:rsidRDefault="004A78B0" w:rsidP="00EA33CD">
      <w:pPr>
        <w:tabs>
          <w:tab w:val="center" w:pos="4513"/>
        </w:tabs>
        <w:suppressAutoHyphens/>
        <w:rPr>
          <w:rFonts w:ascii="Times New Roman" w:hAnsi="Times New Roman"/>
          <w:b/>
          <w:bCs/>
          <w:spacing w:val="-2"/>
          <w:sz w:val="22"/>
          <w:lang w:val="pl-PL"/>
        </w:rPr>
      </w:pPr>
      <w:r w:rsidRPr="004050F3">
        <w:rPr>
          <w:rFonts w:ascii="Times New Roman" w:hAnsi="Times New Roman"/>
          <w:b/>
          <w:bCs/>
          <w:spacing w:val="-2"/>
          <w:sz w:val="22"/>
          <w:lang w:val="pl-PL"/>
        </w:rPr>
        <w:t>Załącznik do Z</w:t>
      </w:r>
      <w:r w:rsidR="00EA33CD" w:rsidRPr="004050F3">
        <w:rPr>
          <w:rFonts w:ascii="Times New Roman" w:hAnsi="Times New Roman"/>
          <w:b/>
          <w:bCs/>
          <w:spacing w:val="-2"/>
          <w:sz w:val="22"/>
          <w:lang w:val="pl-PL"/>
        </w:rPr>
        <w:t xml:space="preserve">alecenia </w:t>
      </w:r>
      <w:r w:rsidR="0090125F" w:rsidRPr="004050F3">
        <w:rPr>
          <w:rFonts w:ascii="Times New Roman" w:hAnsi="Times New Roman"/>
          <w:b/>
          <w:bCs/>
          <w:spacing w:val="-2"/>
          <w:sz w:val="22"/>
          <w:lang w:val="pl-PL"/>
        </w:rPr>
        <w:t>Rec(2003)13</w:t>
      </w:r>
    </w:p>
    <w:p w:rsidR="00406B42" w:rsidRPr="004050F3" w:rsidRDefault="00406B42">
      <w:pPr>
        <w:tabs>
          <w:tab w:val="left" w:pos="-720"/>
        </w:tabs>
        <w:suppressAutoHyphens/>
        <w:rPr>
          <w:rFonts w:ascii="Times New Roman" w:hAnsi="Times New Roman"/>
          <w:b/>
          <w:bCs/>
          <w:spacing w:val="-2"/>
          <w:sz w:val="22"/>
          <w:lang w:val="pl-PL"/>
        </w:rPr>
      </w:pPr>
    </w:p>
    <w:p w:rsidR="00EA33CD" w:rsidRPr="004050F3" w:rsidRDefault="00EA33CD">
      <w:pPr>
        <w:tabs>
          <w:tab w:val="center" w:pos="4513"/>
        </w:tabs>
        <w:suppressAutoHyphens/>
        <w:rPr>
          <w:rFonts w:ascii="Times New Roman" w:hAnsi="Times New Roman"/>
          <w:b/>
          <w:bCs/>
          <w:i/>
          <w:spacing w:val="-2"/>
          <w:sz w:val="22"/>
          <w:lang w:val="pl-PL"/>
        </w:rPr>
      </w:pPr>
      <w:r w:rsidRPr="004050F3">
        <w:rPr>
          <w:rFonts w:ascii="Times New Roman" w:hAnsi="Times New Roman"/>
          <w:b/>
          <w:bCs/>
          <w:i/>
          <w:spacing w:val="-2"/>
          <w:sz w:val="22"/>
          <w:lang w:val="pl-PL"/>
        </w:rPr>
        <w:t xml:space="preserve">Zasady dotyczące </w:t>
      </w:r>
      <w:r w:rsidR="00DB05D5" w:rsidRPr="004050F3">
        <w:rPr>
          <w:rFonts w:ascii="Times New Roman" w:hAnsi="Times New Roman"/>
          <w:b/>
          <w:bCs/>
          <w:i/>
          <w:spacing w:val="-2"/>
          <w:sz w:val="22"/>
          <w:lang w:val="pl-PL"/>
        </w:rPr>
        <w:t>informowania o</w:t>
      </w:r>
      <w:r w:rsidRPr="004050F3">
        <w:rPr>
          <w:rFonts w:ascii="Times New Roman" w:hAnsi="Times New Roman"/>
          <w:b/>
          <w:bCs/>
          <w:i/>
          <w:spacing w:val="-2"/>
          <w:sz w:val="22"/>
          <w:lang w:val="pl-PL"/>
        </w:rPr>
        <w:t xml:space="preserve"> </w:t>
      </w:r>
      <w:r w:rsidR="00DB05D5" w:rsidRPr="004050F3">
        <w:rPr>
          <w:rFonts w:ascii="Times New Roman" w:hAnsi="Times New Roman"/>
          <w:b/>
          <w:bCs/>
          <w:i/>
          <w:spacing w:val="-2"/>
          <w:sz w:val="22"/>
          <w:lang w:val="pl-PL"/>
        </w:rPr>
        <w:t>postępowaniach karnych w mediach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406B42" w:rsidRPr="004050F3" w:rsidRDefault="00EA33CD">
      <w:pPr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1 </w:t>
      </w:r>
      <w:r w:rsidRPr="004050F3">
        <w:rPr>
          <w:rFonts w:ascii="Times New Roman" w:hAnsi="Times New Roman"/>
          <w:i/>
          <w:iCs/>
          <w:sz w:val="22"/>
          <w:lang w:val="pl-PL"/>
        </w:rPr>
        <w:t>–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</w:t>
      </w:r>
      <w:r w:rsidRPr="004050F3">
        <w:rPr>
          <w:rFonts w:ascii="Times New Roman" w:hAnsi="Times New Roman"/>
          <w:i/>
          <w:iCs/>
          <w:sz w:val="22"/>
          <w:lang w:val="pl-PL"/>
        </w:rPr>
        <w:t>Informowanie opinii publicznej za pośrednictwem mediów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EA33CD" w:rsidRPr="004050F3" w:rsidRDefault="00EA33CD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 xml:space="preserve">Opinia publiczna musi </w:t>
      </w:r>
      <w:r w:rsidR="004A78B0" w:rsidRPr="004050F3">
        <w:rPr>
          <w:rFonts w:ascii="Times New Roman" w:hAnsi="Times New Roman"/>
          <w:sz w:val="22"/>
          <w:lang w:val="pl-PL"/>
        </w:rPr>
        <w:t>mieć możliwość otrzymywania za pośrednictwem mediów informacji</w:t>
      </w:r>
      <w:r w:rsidRPr="004050F3">
        <w:rPr>
          <w:rFonts w:ascii="Times New Roman" w:hAnsi="Times New Roman"/>
          <w:sz w:val="22"/>
          <w:lang w:val="pl-PL"/>
        </w:rPr>
        <w:t xml:space="preserve"> na temat działań p</w:t>
      </w:r>
      <w:r w:rsidR="006F3741" w:rsidRPr="004050F3">
        <w:rPr>
          <w:rFonts w:ascii="Times New Roman" w:hAnsi="Times New Roman"/>
          <w:sz w:val="22"/>
          <w:lang w:val="pl-PL"/>
        </w:rPr>
        <w:t>odejmowanych przez władze sądownicze</w:t>
      </w:r>
      <w:r w:rsidRPr="004050F3">
        <w:rPr>
          <w:rFonts w:ascii="Times New Roman" w:hAnsi="Times New Roman"/>
          <w:sz w:val="22"/>
          <w:lang w:val="pl-PL"/>
        </w:rPr>
        <w:t xml:space="preserve"> i służby policyjne. Dlatego dziennikarze muszą być zawsze w stanie swobodnie relacjonować i komentować </w:t>
      </w:r>
      <w:r w:rsidR="00DB05D5" w:rsidRPr="004050F3">
        <w:rPr>
          <w:rFonts w:ascii="Times New Roman" w:hAnsi="Times New Roman"/>
          <w:sz w:val="22"/>
          <w:lang w:val="pl-PL"/>
        </w:rPr>
        <w:t>działania</w:t>
      </w:r>
      <w:r w:rsidRPr="004050F3">
        <w:rPr>
          <w:rFonts w:ascii="Times New Roman" w:hAnsi="Times New Roman"/>
          <w:sz w:val="22"/>
          <w:lang w:val="pl-PL"/>
        </w:rPr>
        <w:t xml:space="preserve"> wymiaru sprawiedliwości, z </w:t>
      </w:r>
      <w:r w:rsidR="00DB05D5" w:rsidRPr="004050F3">
        <w:rPr>
          <w:rFonts w:ascii="Times New Roman" w:hAnsi="Times New Roman"/>
          <w:sz w:val="22"/>
          <w:lang w:val="pl-PL"/>
        </w:rPr>
        <w:t>zastrzeżeniem ograniczeń przewidzianych wyłącznie</w:t>
      </w:r>
      <w:r w:rsidRPr="004050F3">
        <w:rPr>
          <w:rFonts w:ascii="Times New Roman" w:hAnsi="Times New Roman"/>
          <w:sz w:val="22"/>
          <w:lang w:val="pl-PL"/>
        </w:rPr>
        <w:t xml:space="preserve"> w poniższych zasadach.</w:t>
      </w:r>
    </w:p>
    <w:p w:rsidR="00406B42" w:rsidRPr="004050F3" w:rsidRDefault="00406B42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spacing w:val="-2"/>
          <w:sz w:val="22"/>
          <w:lang w:val="pl-PL"/>
        </w:rPr>
      </w:pPr>
    </w:p>
    <w:p w:rsidR="00EA33CD" w:rsidRPr="004050F3" w:rsidRDefault="00EA33CD">
      <w:pPr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2 </w:t>
      </w:r>
      <w:r w:rsidRPr="004050F3">
        <w:rPr>
          <w:rFonts w:ascii="Times New Roman" w:hAnsi="Times New Roman"/>
          <w:i/>
          <w:iCs/>
          <w:sz w:val="22"/>
          <w:lang w:val="pl-PL"/>
        </w:rPr>
        <w:t>–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</w:t>
      </w:r>
      <w:r w:rsidRPr="004050F3">
        <w:rPr>
          <w:rFonts w:ascii="Times New Roman" w:hAnsi="Times New Roman"/>
          <w:i/>
          <w:iCs/>
          <w:sz w:val="22"/>
          <w:lang w:val="pl-PL"/>
        </w:rPr>
        <w:t>Domniemanie niewinności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EA33CD" w:rsidRPr="004050F3" w:rsidRDefault="00EA33CD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Przestrzeganie zasady domniemania niewinności stanowi integralną część prawa do sprawiedliwego procesu. Dlatego opinie i informacje dotyczące toczących się postępowań karnych powinny być przekazywane lub rozpowszechniane przez media tylko wówczas, gdy nie podważa to domniemania niewinności podejrzanych lub oskarżonych.</w:t>
      </w:r>
    </w:p>
    <w:p w:rsidR="00406B42" w:rsidRPr="004050F3" w:rsidRDefault="00406B42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i/>
          <w:spacing w:val="-2"/>
          <w:sz w:val="22"/>
          <w:lang w:val="pl-PL"/>
        </w:rPr>
      </w:pPr>
    </w:p>
    <w:p w:rsidR="00EA33CD" w:rsidRPr="004050F3" w:rsidRDefault="00EA33CD">
      <w:pPr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3 </w:t>
      </w:r>
      <w:r w:rsidRPr="004050F3">
        <w:rPr>
          <w:rFonts w:ascii="Times New Roman" w:hAnsi="Times New Roman"/>
          <w:i/>
          <w:iCs/>
          <w:sz w:val="22"/>
          <w:lang w:val="pl-PL"/>
        </w:rPr>
        <w:t>–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</w:t>
      </w:r>
      <w:r w:rsidRPr="004050F3">
        <w:rPr>
          <w:rFonts w:ascii="Times New Roman" w:hAnsi="Times New Roman"/>
          <w:i/>
          <w:iCs/>
          <w:sz w:val="22"/>
          <w:lang w:val="pl-PL"/>
        </w:rPr>
        <w:t>Dokładność informacji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EA33CD" w:rsidRPr="004050F3" w:rsidRDefault="00EA33CD" w:rsidP="00EA33CD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Władze sądownicze i policja powinny przekazy</w:t>
      </w:r>
      <w:r w:rsidR="004A78B0" w:rsidRPr="004050F3">
        <w:rPr>
          <w:rFonts w:ascii="Times New Roman" w:hAnsi="Times New Roman"/>
          <w:sz w:val="22"/>
          <w:lang w:val="pl-PL"/>
        </w:rPr>
        <w:t xml:space="preserve">wać mediom wyłącznie informacje, które zostały sprawdzone </w:t>
      </w:r>
      <w:r w:rsidRPr="004050F3">
        <w:rPr>
          <w:rFonts w:ascii="Times New Roman" w:hAnsi="Times New Roman"/>
          <w:sz w:val="22"/>
          <w:lang w:val="pl-PL"/>
        </w:rPr>
        <w:t>lub opierają się na rozsądnych założeniach. Jeśli informacje opierają się na założeniach, media powinny być wyraźnie informowane o takim zastrzeżeniu.</w:t>
      </w:r>
    </w:p>
    <w:p w:rsidR="00406B42" w:rsidRPr="004050F3" w:rsidRDefault="00406B42">
      <w:pPr>
        <w:rPr>
          <w:rFonts w:ascii="Times New Roman" w:hAnsi="Times New Roman"/>
          <w:i/>
          <w:iCs/>
          <w:sz w:val="22"/>
          <w:lang w:val="pl-PL"/>
        </w:rPr>
      </w:pPr>
    </w:p>
    <w:p w:rsidR="00406B42" w:rsidRPr="004050F3" w:rsidRDefault="00EA33CD">
      <w:pPr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4 </w:t>
      </w:r>
      <w:r w:rsidRPr="004050F3">
        <w:rPr>
          <w:rFonts w:ascii="Times New Roman" w:hAnsi="Times New Roman"/>
          <w:i/>
          <w:iCs/>
          <w:sz w:val="22"/>
          <w:lang w:val="pl-PL"/>
        </w:rPr>
        <w:t>–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</w:t>
      </w:r>
      <w:r w:rsidRPr="004050F3">
        <w:rPr>
          <w:rFonts w:ascii="Times New Roman" w:hAnsi="Times New Roman"/>
          <w:i/>
          <w:iCs/>
          <w:sz w:val="22"/>
          <w:lang w:val="pl-PL"/>
        </w:rPr>
        <w:t>Dostęp do informacji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EA33CD" w:rsidRPr="004050F3" w:rsidRDefault="00EA33CD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 xml:space="preserve">W przypadku gdy dziennikarze uzyskują zgodnie z prawem informacje w kontekście toczącego się postępowania karnego od władz </w:t>
      </w:r>
      <w:r w:rsidR="004A78B0" w:rsidRPr="004050F3">
        <w:rPr>
          <w:rFonts w:ascii="Times New Roman" w:hAnsi="Times New Roman"/>
          <w:sz w:val="22"/>
          <w:lang w:val="pl-PL"/>
        </w:rPr>
        <w:t>sądowniczych</w:t>
      </w:r>
      <w:r w:rsidRPr="004050F3">
        <w:rPr>
          <w:rFonts w:ascii="Times New Roman" w:hAnsi="Times New Roman"/>
          <w:sz w:val="22"/>
          <w:lang w:val="pl-PL"/>
        </w:rPr>
        <w:t xml:space="preserve"> lub służb policyjnych, takie organy powinny udostępniać informacje bez dyskryminowania wszystkim dziennikarzom, którzy zwracają się o przekazanie informacji.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EA33CD" w:rsidRPr="004050F3" w:rsidRDefault="00EA33CD">
      <w:pPr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 5 –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</w:t>
      </w:r>
      <w:r w:rsidRPr="004050F3">
        <w:rPr>
          <w:rFonts w:ascii="Times New Roman" w:hAnsi="Times New Roman"/>
          <w:i/>
          <w:iCs/>
          <w:sz w:val="22"/>
          <w:lang w:val="pl-PL"/>
        </w:rPr>
        <w:t>Sposoby przekazywania informacji mediom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EA33CD" w:rsidRPr="004050F3" w:rsidRDefault="004A78B0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W przypadku gdy władze sądownicze</w:t>
      </w:r>
      <w:r w:rsidR="00EA33CD" w:rsidRPr="004050F3">
        <w:rPr>
          <w:rFonts w:ascii="Times New Roman" w:hAnsi="Times New Roman"/>
          <w:sz w:val="22"/>
          <w:lang w:val="pl-PL"/>
        </w:rPr>
        <w:t xml:space="preserve"> lub policja podejmują decyzję o przekazaniu mediom informacji dotyczących toczącego się postępowania karnego, informacje takie należy przekazywać bez dyskryminacji oraz, zawsze gdy jest to możliwe, w formie komunikatów prasowych, konferencji prasowych prowadzonych przez upoważnionych przedstawicieli lub korzystając z innych dozwolonych środków.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EA33CD" w:rsidRPr="004050F3" w:rsidRDefault="00EA33CD">
      <w:pPr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6 </w:t>
      </w:r>
      <w:r w:rsidRPr="004050F3">
        <w:rPr>
          <w:rFonts w:ascii="Times New Roman" w:hAnsi="Times New Roman"/>
          <w:i/>
          <w:iCs/>
          <w:sz w:val="22"/>
          <w:lang w:val="pl-PL"/>
        </w:rPr>
        <w:t>–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</w:t>
      </w:r>
      <w:r w:rsidRPr="004050F3">
        <w:rPr>
          <w:rFonts w:ascii="Times New Roman" w:hAnsi="Times New Roman"/>
          <w:i/>
          <w:iCs/>
          <w:sz w:val="22"/>
          <w:lang w:val="pl-PL"/>
        </w:rPr>
        <w:t>Regularne informowanie w trakcie postępowania karnego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EA33CD" w:rsidRPr="004050F3" w:rsidRDefault="002D177B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W kontekście postępowań karnych</w:t>
      </w:r>
      <w:r w:rsidR="00DB05D5" w:rsidRPr="004050F3">
        <w:rPr>
          <w:rFonts w:ascii="Times New Roman" w:hAnsi="Times New Roman"/>
          <w:sz w:val="22"/>
          <w:lang w:val="pl-PL"/>
        </w:rPr>
        <w:t xml:space="preserve"> będących w interesie publicznym</w:t>
      </w:r>
      <w:r w:rsidRPr="004050F3">
        <w:rPr>
          <w:rFonts w:ascii="Times New Roman" w:hAnsi="Times New Roman"/>
          <w:sz w:val="22"/>
          <w:lang w:val="pl-PL"/>
        </w:rPr>
        <w:t xml:space="preserve"> lub </w:t>
      </w:r>
      <w:r w:rsidR="00B61871" w:rsidRPr="004050F3">
        <w:rPr>
          <w:rFonts w:ascii="Times New Roman" w:hAnsi="Times New Roman"/>
          <w:sz w:val="22"/>
          <w:lang w:val="pl-PL"/>
        </w:rPr>
        <w:t>innych postępowań karnych, które</w:t>
      </w:r>
      <w:r w:rsidRPr="004050F3">
        <w:rPr>
          <w:rFonts w:ascii="Times New Roman" w:hAnsi="Times New Roman"/>
          <w:sz w:val="22"/>
          <w:lang w:val="pl-PL"/>
        </w:rPr>
        <w:t xml:space="preserve"> </w:t>
      </w:r>
      <w:r w:rsidR="00B61871" w:rsidRPr="004050F3">
        <w:rPr>
          <w:rFonts w:ascii="Times New Roman" w:hAnsi="Times New Roman"/>
          <w:sz w:val="22"/>
          <w:lang w:val="pl-PL"/>
        </w:rPr>
        <w:t xml:space="preserve">skupiają na sobie </w:t>
      </w:r>
      <w:r w:rsidRPr="004050F3">
        <w:rPr>
          <w:rFonts w:ascii="Times New Roman" w:hAnsi="Times New Roman"/>
          <w:sz w:val="22"/>
          <w:lang w:val="pl-PL"/>
        </w:rPr>
        <w:t>szcz</w:t>
      </w:r>
      <w:r w:rsidR="00B61871" w:rsidRPr="004050F3">
        <w:rPr>
          <w:rFonts w:ascii="Times New Roman" w:hAnsi="Times New Roman"/>
          <w:sz w:val="22"/>
          <w:lang w:val="pl-PL"/>
        </w:rPr>
        <w:t>ególne zainteresowanie społeczeństwa</w:t>
      </w:r>
      <w:r w:rsidR="004A78B0" w:rsidRPr="004050F3">
        <w:rPr>
          <w:rFonts w:ascii="Times New Roman" w:hAnsi="Times New Roman"/>
          <w:sz w:val="22"/>
          <w:lang w:val="pl-PL"/>
        </w:rPr>
        <w:t>, władze sądownicze</w:t>
      </w:r>
      <w:r w:rsidRPr="004050F3">
        <w:rPr>
          <w:rFonts w:ascii="Times New Roman" w:hAnsi="Times New Roman"/>
          <w:sz w:val="22"/>
          <w:lang w:val="pl-PL"/>
        </w:rPr>
        <w:t xml:space="preserve"> i służby policyjne powinny informować media o podejmowanych kluczowych działaniach, o ile nie podważa to tajności dochodzeń </w:t>
      </w:r>
      <w:r w:rsidR="00A5758F" w:rsidRPr="004050F3">
        <w:rPr>
          <w:rFonts w:ascii="Times New Roman" w:hAnsi="Times New Roman"/>
          <w:sz w:val="22"/>
          <w:lang w:val="pl-PL"/>
        </w:rPr>
        <w:t xml:space="preserve">i </w:t>
      </w:r>
      <w:r w:rsidRPr="004050F3">
        <w:rPr>
          <w:rFonts w:ascii="Times New Roman" w:hAnsi="Times New Roman"/>
          <w:sz w:val="22"/>
          <w:lang w:val="pl-PL"/>
        </w:rPr>
        <w:t xml:space="preserve">śledztw policyjnych ani też nie opóźnia </w:t>
      </w:r>
      <w:r w:rsidR="00A5758F" w:rsidRPr="004050F3">
        <w:rPr>
          <w:rFonts w:ascii="Times New Roman" w:hAnsi="Times New Roman"/>
          <w:sz w:val="22"/>
          <w:lang w:val="pl-PL"/>
        </w:rPr>
        <w:t xml:space="preserve">ani nie </w:t>
      </w:r>
      <w:r w:rsidRPr="004050F3">
        <w:rPr>
          <w:rFonts w:ascii="Times New Roman" w:hAnsi="Times New Roman"/>
          <w:sz w:val="22"/>
          <w:lang w:val="pl-PL"/>
        </w:rPr>
        <w:t xml:space="preserve">utrudnia osiągnięcia wyniku postępowania. W przypadkach postępowań karnych toczących się przez dłuższy okres, informacje takie należy przekazywać </w:t>
      </w:r>
      <w:r w:rsidR="00B61871" w:rsidRPr="004050F3">
        <w:rPr>
          <w:rFonts w:ascii="Times New Roman" w:hAnsi="Times New Roman"/>
          <w:sz w:val="22"/>
          <w:lang w:val="pl-PL"/>
        </w:rPr>
        <w:t>regularnie</w:t>
      </w:r>
      <w:r w:rsidRPr="004050F3">
        <w:rPr>
          <w:rFonts w:ascii="Times New Roman" w:hAnsi="Times New Roman"/>
          <w:sz w:val="22"/>
          <w:lang w:val="pl-PL"/>
        </w:rPr>
        <w:t>.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2D177B" w:rsidRPr="004050F3" w:rsidRDefault="00EA33CD">
      <w:pPr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7 </w:t>
      </w:r>
      <w:r w:rsidR="002D177B" w:rsidRPr="004050F3">
        <w:rPr>
          <w:rFonts w:ascii="Times New Roman" w:hAnsi="Times New Roman"/>
          <w:i/>
          <w:iCs/>
          <w:sz w:val="22"/>
          <w:lang w:val="pl-PL"/>
        </w:rPr>
        <w:t>–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</w:t>
      </w:r>
      <w:r w:rsidR="002D177B" w:rsidRPr="004050F3">
        <w:rPr>
          <w:rFonts w:ascii="Times New Roman" w:hAnsi="Times New Roman"/>
          <w:i/>
          <w:iCs/>
          <w:sz w:val="22"/>
          <w:lang w:val="pl-PL"/>
        </w:rPr>
        <w:t>Zakaz wykorzystywania informacji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2D177B" w:rsidRPr="004050F3" w:rsidRDefault="004A78B0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Władze sądownicze</w:t>
      </w:r>
      <w:r w:rsidR="002D177B" w:rsidRPr="004050F3">
        <w:rPr>
          <w:rFonts w:ascii="Times New Roman" w:hAnsi="Times New Roman"/>
          <w:sz w:val="22"/>
          <w:lang w:val="pl-PL"/>
        </w:rPr>
        <w:t xml:space="preserve"> ani służby policyjne nie powinny wykorzystywać informacji o toczących się postępowaniach karnych w celach komercyjnych ani </w:t>
      </w:r>
      <w:r w:rsidR="00A5758F" w:rsidRPr="004050F3">
        <w:rPr>
          <w:rFonts w:ascii="Times New Roman" w:hAnsi="Times New Roman"/>
          <w:sz w:val="22"/>
          <w:lang w:val="pl-PL"/>
        </w:rPr>
        <w:t xml:space="preserve">dla celów </w:t>
      </w:r>
      <w:r w:rsidR="002D177B" w:rsidRPr="004050F3">
        <w:rPr>
          <w:rFonts w:ascii="Times New Roman" w:hAnsi="Times New Roman"/>
          <w:sz w:val="22"/>
          <w:lang w:val="pl-PL"/>
        </w:rPr>
        <w:t>innych niż związane z egzekwowaniem prawa.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2D177B" w:rsidRPr="004050F3" w:rsidRDefault="00EA33CD">
      <w:pPr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8 </w:t>
      </w:r>
      <w:r w:rsidR="002D177B" w:rsidRPr="004050F3">
        <w:rPr>
          <w:rFonts w:ascii="Times New Roman" w:hAnsi="Times New Roman"/>
          <w:i/>
          <w:iCs/>
          <w:sz w:val="22"/>
          <w:lang w:val="pl-PL"/>
        </w:rPr>
        <w:t>–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</w:t>
      </w:r>
      <w:r w:rsidR="002D177B" w:rsidRPr="004050F3">
        <w:rPr>
          <w:rFonts w:ascii="Times New Roman" w:hAnsi="Times New Roman"/>
          <w:i/>
          <w:iCs/>
          <w:sz w:val="22"/>
          <w:lang w:val="pl-PL"/>
        </w:rPr>
        <w:t>Ochrona prywatności w kontekście toczących się postępowań karnych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2D177B" w:rsidRPr="004050F3" w:rsidRDefault="002D177B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 xml:space="preserve">Przekazywanie informacji o podejrzanych, oskarżonych lub skazanych oraz </w:t>
      </w:r>
      <w:r w:rsidR="00B61871" w:rsidRPr="004050F3">
        <w:rPr>
          <w:rFonts w:ascii="Times New Roman" w:hAnsi="Times New Roman"/>
          <w:sz w:val="22"/>
          <w:lang w:val="pl-PL"/>
        </w:rPr>
        <w:t xml:space="preserve">o </w:t>
      </w:r>
      <w:r w:rsidRPr="004050F3">
        <w:rPr>
          <w:rFonts w:ascii="Times New Roman" w:hAnsi="Times New Roman"/>
          <w:sz w:val="22"/>
          <w:lang w:val="pl-PL"/>
        </w:rPr>
        <w:t>innych stronach postępowań karnych powinno odbywać się z poszanowaniem ich prawa do ochrony prywatności zgodnie z art. 8 Konwencji. Szczególną ochronę należy zapewnić małoletnim i innym osobom szczególnie wrażliwym jak również ofiarom, świadkom i rodzinom podejrzanych, oskarżonych i skazanych. We wszystkich przypadkach należy zwraca</w:t>
      </w:r>
      <w:r w:rsidR="00B61871" w:rsidRPr="004050F3">
        <w:rPr>
          <w:rFonts w:ascii="Times New Roman" w:hAnsi="Times New Roman"/>
          <w:sz w:val="22"/>
          <w:lang w:val="pl-PL"/>
        </w:rPr>
        <w:t>ć szczególną uwagę na szkodliwe skutki</w:t>
      </w:r>
      <w:r w:rsidRPr="004050F3">
        <w:rPr>
          <w:rFonts w:ascii="Times New Roman" w:hAnsi="Times New Roman"/>
          <w:sz w:val="22"/>
          <w:lang w:val="pl-PL"/>
        </w:rPr>
        <w:t>, jaki</w:t>
      </w:r>
      <w:r w:rsidR="006F3741" w:rsidRPr="004050F3">
        <w:rPr>
          <w:rFonts w:ascii="Times New Roman" w:hAnsi="Times New Roman"/>
          <w:sz w:val="22"/>
          <w:lang w:val="pl-PL"/>
        </w:rPr>
        <w:t>e</w:t>
      </w:r>
      <w:r w:rsidRPr="004050F3">
        <w:rPr>
          <w:rFonts w:ascii="Times New Roman" w:hAnsi="Times New Roman"/>
          <w:sz w:val="22"/>
          <w:lang w:val="pl-PL"/>
        </w:rPr>
        <w:t xml:space="preserve"> ujawnianie informacji umożliwiających identyfikację może mieć </w:t>
      </w:r>
      <w:r w:rsidR="00B61871" w:rsidRPr="004050F3">
        <w:rPr>
          <w:rFonts w:ascii="Times New Roman" w:hAnsi="Times New Roman"/>
          <w:sz w:val="22"/>
          <w:lang w:val="pl-PL"/>
        </w:rPr>
        <w:t>dla osób</w:t>
      </w:r>
      <w:r w:rsidR="006F3741" w:rsidRPr="004050F3">
        <w:rPr>
          <w:rFonts w:ascii="Times New Roman" w:hAnsi="Times New Roman"/>
          <w:sz w:val="22"/>
          <w:lang w:val="pl-PL"/>
        </w:rPr>
        <w:t xml:space="preserve"> wymienionych</w:t>
      </w:r>
      <w:r w:rsidRPr="004050F3">
        <w:rPr>
          <w:rFonts w:ascii="Times New Roman" w:hAnsi="Times New Roman"/>
          <w:sz w:val="22"/>
          <w:lang w:val="pl-PL"/>
        </w:rPr>
        <w:t xml:space="preserve"> w niniejszej zasadzie.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2D177B" w:rsidRPr="004050F3" w:rsidRDefault="00EA33CD">
      <w:pPr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9 </w:t>
      </w:r>
      <w:r w:rsidR="002D177B" w:rsidRPr="004050F3">
        <w:rPr>
          <w:rFonts w:ascii="Times New Roman" w:hAnsi="Times New Roman"/>
          <w:i/>
          <w:iCs/>
          <w:sz w:val="22"/>
          <w:lang w:val="pl-PL"/>
        </w:rPr>
        <w:t>–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</w:t>
      </w:r>
      <w:r w:rsidR="002D177B" w:rsidRPr="004050F3">
        <w:rPr>
          <w:rFonts w:ascii="Times New Roman" w:hAnsi="Times New Roman"/>
          <w:i/>
          <w:iCs/>
          <w:sz w:val="22"/>
          <w:lang w:val="pl-PL"/>
        </w:rPr>
        <w:t>Prawo do sprostowania i odpowiedzi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2D177B" w:rsidRPr="004050F3" w:rsidRDefault="002D177B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Bez uszczerbku dla dostępności innych środków prawnych każda osoba będąca przedmiotem oszcz</w:t>
      </w:r>
      <w:r w:rsidR="001443A7" w:rsidRPr="004050F3">
        <w:rPr>
          <w:rFonts w:ascii="Times New Roman" w:hAnsi="Times New Roman"/>
          <w:sz w:val="22"/>
          <w:lang w:val="pl-PL"/>
        </w:rPr>
        <w:t>erczych lub szkalujących relacji</w:t>
      </w:r>
      <w:r w:rsidRPr="004050F3">
        <w:rPr>
          <w:rFonts w:ascii="Times New Roman" w:hAnsi="Times New Roman"/>
          <w:sz w:val="22"/>
          <w:lang w:val="pl-PL"/>
        </w:rPr>
        <w:t xml:space="preserve"> w mediach w kontekście postępowań karnych powinna mieć prawo do zamieszczenia sprostowania lub odpowiedzi w mediach. Prawo do sprostowania powinno być także dostępne w odniesieniu do komunikatów prasowych zawierający</w:t>
      </w:r>
      <w:r w:rsidR="001443A7" w:rsidRPr="004050F3">
        <w:rPr>
          <w:rFonts w:ascii="Times New Roman" w:hAnsi="Times New Roman"/>
          <w:sz w:val="22"/>
          <w:lang w:val="pl-PL"/>
        </w:rPr>
        <w:t>ch niezgodne z prawdą informacje</w:t>
      </w:r>
      <w:r w:rsidRPr="004050F3">
        <w:rPr>
          <w:rFonts w:ascii="Times New Roman" w:hAnsi="Times New Roman"/>
          <w:sz w:val="22"/>
          <w:lang w:val="pl-PL"/>
        </w:rPr>
        <w:t>, które zos</w:t>
      </w:r>
      <w:r w:rsidR="006F3741" w:rsidRPr="004050F3">
        <w:rPr>
          <w:rFonts w:ascii="Times New Roman" w:hAnsi="Times New Roman"/>
          <w:sz w:val="22"/>
          <w:lang w:val="pl-PL"/>
        </w:rPr>
        <w:t xml:space="preserve">tały wydane przez władze sądownicze </w:t>
      </w:r>
      <w:r w:rsidRPr="004050F3">
        <w:rPr>
          <w:rFonts w:ascii="Times New Roman" w:hAnsi="Times New Roman"/>
          <w:sz w:val="22"/>
          <w:lang w:val="pl-PL"/>
        </w:rPr>
        <w:t>lub służby policyjne.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2D177B" w:rsidRPr="004050F3" w:rsidRDefault="00EA33CD">
      <w:pPr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10 </w:t>
      </w:r>
      <w:r w:rsidR="002D177B" w:rsidRPr="004050F3">
        <w:rPr>
          <w:rFonts w:ascii="Times New Roman" w:hAnsi="Times New Roman"/>
          <w:i/>
          <w:iCs/>
          <w:sz w:val="22"/>
          <w:lang w:val="pl-PL"/>
        </w:rPr>
        <w:t>–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</w:t>
      </w:r>
      <w:r w:rsidR="001443A7" w:rsidRPr="004050F3">
        <w:rPr>
          <w:rFonts w:ascii="Times New Roman" w:hAnsi="Times New Roman"/>
          <w:i/>
          <w:iCs/>
          <w:sz w:val="22"/>
          <w:lang w:val="pl-PL"/>
        </w:rPr>
        <w:t xml:space="preserve">Zapobieganie </w:t>
      </w:r>
      <w:r w:rsidR="00C17318" w:rsidRPr="004050F3">
        <w:rPr>
          <w:rFonts w:ascii="Times New Roman" w:hAnsi="Times New Roman"/>
          <w:i/>
          <w:iCs/>
          <w:sz w:val="22"/>
          <w:lang w:val="pl-PL"/>
        </w:rPr>
        <w:t>niewłaściwemu</w:t>
      </w:r>
      <w:r w:rsidR="001443A7" w:rsidRPr="004050F3">
        <w:rPr>
          <w:rFonts w:ascii="Times New Roman" w:hAnsi="Times New Roman"/>
          <w:i/>
          <w:iCs/>
          <w:sz w:val="22"/>
          <w:lang w:val="pl-PL"/>
        </w:rPr>
        <w:t xml:space="preserve"> wpływaniu na postępowania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2D177B" w:rsidRPr="004050F3" w:rsidRDefault="002D177B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W kontekście postępowań karnych, szczególnie tych, w których uczestniczą ławnicy i sędz</w:t>
      </w:r>
      <w:r w:rsidR="006F3741" w:rsidRPr="004050F3">
        <w:rPr>
          <w:rFonts w:ascii="Times New Roman" w:hAnsi="Times New Roman"/>
          <w:sz w:val="22"/>
          <w:lang w:val="pl-PL"/>
        </w:rPr>
        <w:t>iowie niezawodowi, władze sądownicze</w:t>
      </w:r>
      <w:r w:rsidRPr="004050F3">
        <w:rPr>
          <w:rFonts w:ascii="Times New Roman" w:hAnsi="Times New Roman"/>
          <w:sz w:val="22"/>
          <w:lang w:val="pl-PL"/>
        </w:rPr>
        <w:t xml:space="preserve"> i </w:t>
      </w:r>
      <w:r w:rsidR="006F3741" w:rsidRPr="004050F3">
        <w:rPr>
          <w:rFonts w:ascii="Times New Roman" w:hAnsi="Times New Roman"/>
          <w:sz w:val="22"/>
          <w:lang w:val="pl-PL"/>
        </w:rPr>
        <w:t>służby policyjne</w:t>
      </w:r>
      <w:r w:rsidRPr="004050F3">
        <w:rPr>
          <w:rFonts w:ascii="Times New Roman" w:hAnsi="Times New Roman"/>
          <w:sz w:val="22"/>
          <w:lang w:val="pl-PL"/>
        </w:rPr>
        <w:t xml:space="preserve"> powinny powstrzym</w:t>
      </w:r>
      <w:r w:rsidR="00C17318" w:rsidRPr="004050F3">
        <w:rPr>
          <w:rFonts w:ascii="Times New Roman" w:hAnsi="Times New Roman"/>
          <w:sz w:val="22"/>
          <w:lang w:val="pl-PL"/>
        </w:rPr>
        <w:t>yw</w:t>
      </w:r>
      <w:r w:rsidRPr="004050F3">
        <w:rPr>
          <w:rFonts w:ascii="Times New Roman" w:hAnsi="Times New Roman"/>
          <w:sz w:val="22"/>
          <w:lang w:val="pl-PL"/>
        </w:rPr>
        <w:t>ać się przed publicznym przekazywaniem informacji, które niosą ze sobą istotne ryzyko szkodliwego wpływania na uczciwość postępowania.</w:t>
      </w:r>
    </w:p>
    <w:p w:rsidR="00406B42" w:rsidRPr="004050F3" w:rsidRDefault="00406B42">
      <w:pPr>
        <w:rPr>
          <w:rFonts w:ascii="Times New Roman" w:hAnsi="Times New Roman"/>
          <w:i/>
          <w:iCs/>
          <w:sz w:val="22"/>
          <w:lang w:val="pl-PL"/>
        </w:rPr>
      </w:pPr>
    </w:p>
    <w:p w:rsidR="002D177B" w:rsidRPr="004050F3" w:rsidRDefault="00EA33CD">
      <w:pPr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11 </w:t>
      </w:r>
      <w:r w:rsidR="002D177B" w:rsidRPr="004050F3">
        <w:rPr>
          <w:rFonts w:ascii="Times New Roman" w:hAnsi="Times New Roman"/>
          <w:i/>
          <w:iCs/>
          <w:sz w:val="22"/>
          <w:lang w:val="pl-PL"/>
        </w:rPr>
        <w:t>–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</w:t>
      </w:r>
      <w:r w:rsidR="00442D71" w:rsidRPr="004050F3">
        <w:rPr>
          <w:rFonts w:ascii="Times New Roman" w:hAnsi="Times New Roman"/>
          <w:i/>
          <w:iCs/>
          <w:sz w:val="22"/>
          <w:lang w:val="pl-PL"/>
        </w:rPr>
        <w:t xml:space="preserve">Szkodliwe nagłośnienie </w:t>
      </w:r>
      <w:r w:rsidR="003108EF" w:rsidRPr="004050F3">
        <w:rPr>
          <w:rFonts w:ascii="Times New Roman" w:hAnsi="Times New Roman"/>
          <w:i/>
          <w:iCs/>
          <w:sz w:val="22"/>
          <w:lang w:val="pl-PL"/>
        </w:rPr>
        <w:t>przed rozprawą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3108EF" w:rsidRPr="004050F3" w:rsidRDefault="003108EF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W przypadku gdy oskarżony jest w stanie wykazać, że ujawnienie informacji może z dużym prawdopodobieństwem spowodować</w:t>
      </w:r>
      <w:r w:rsidR="001443A7" w:rsidRPr="004050F3">
        <w:rPr>
          <w:rFonts w:ascii="Times New Roman" w:hAnsi="Times New Roman"/>
          <w:sz w:val="22"/>
          <w:lang w:val="pl-PL"/>
        </w:rPr>
        <w:t xml:space="preserve"> naruszenie</w:t>
      </w:r>
      <w:r w:rsidRPr="004050F3">
        <w:rPr>
          <w:rFonts w:ascii="Times New Roman" w:hAnsi="Times New Roman"/>
          <w:sz w:val="22"/>
          <w:lang w:val="pl-PL"/>
        </w:rPr>
        <w:t xml:space="preserve"> lub naruszyło jego prawo do uczciwego procesu, oskarżonemu powinno przysługiwać prawo do skutecznego środka odwoławczego.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3108EF" w:rsidRPr="004050F3" w:rsidRDefault="00EA33CD">
      <w:pPr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12 </w:t>
      </w:r>
      <w:r w:rsidR="003108EF" w:rsidRPr="004050F3">
        <w:rPr>
          <w:rFonts w:ascii="Times New Roman" w:hAnsi="Times New Roman"/>
          <w:i/>
          <w:iCs/>
          <w:sz w:val="22"/>
          <w:lang w:val="pl-PL"/>
        </w:rPr>
        <w:t>– Udział dziennikarzy w rozprawach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3108EF" w:rsidRPr="004050F3" w:rsidRDefault="001443A7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Dziennikarze powinni</w:t>
      </w:r>
      <w:r w:rsidR="003108EF" w:rsidRPr="004050F3">
        <w:rPr>
          <w:rFonts w:ascii="Times New Roman" w:hAnsi="Times New Roman"/>
          <w:sz w:val="22"/>
          <w:lang w:val="pl-PL"/>
        </w:rPr>
        <w:t xml:space="preserve"> móc brać udział w publicznych przesłuchaniach </w:t>
      </w:r>
      <w:r w:rsidR="00C17318" w:rsidRPr="004050F3">
        <w:rPr>
          <w:rFonts w:ascii="Times New Roman" w:hAnsi="Times New Roman"/>
          <w:sz w:val="22"/>
          <w:lang w:val="pl-PL"/>
        </w:rPr>
        <w:t xml:space="preserve">przed sądem </w:t>
      </w:r>
      <w:r w:rsidR="003108EF" w:rsidRPr="004050F3">
        <w:rPr>
          <w:rFonts w:ascii="Times New Roman" w:hAnsi="Times New Roman"/>
          <w:sz w:val="22"/>
          <w:lang w:val="pl-PL"/>
        </w:rPr>
        <w:t>i ogłoszeniach wyrokó</w:t>
      </w:r>
      <w:r w:rsidRPr="004050F3">
        <w:rPr>
          <w:rFonts w:ascii="Times New Roman" w:hAnsi="Times New Roman"/>
          <w:sz w:val="22"/>
          <w:lang w:val="pl-PL"/>
        </w:rPr>
        <w:t>w bez dyskryminacji i bez wymogu</w:t>
      </w:r>
      <w:r w:rsidR="003108EF" w:rsidRPr="004050F3">
        <w:rPr>
          <w:rFonts w:ascii="Times New Roman" w:hAnsi="Times New Roman"/>
          <w:sz w:val="22"/>
          <w:lang w:val="pl-PL"/>
        </w:rPr>
        <w:t xml:space="preserve"> uprzedniej akredytacji. Nie powinni być wykluczani z przesłuchań </w:t>
      </w:r>
      <w:r w:rsidR="00442D71" w:rsidRPr="004050F3">
        <w:rPr>
          <w:rFonts w:ascii="Times New Roman" w:hAnsi="Times New Roman"/>
          <w:sz w:val="22"/>
          <w:lang w:val="pl-PL"/>
        </w:rPr>
        <w:t>przed sądem</w:t>
      </w:r>
      <w:r w:rsidR="003108EF" w:rsidRPr="004050F3">
        <w:rPr>
          <w:rFonts w:ascii="Times New Roman" w:hAnsi="Times New Roman"/>
          <w:sz w:val="22"/>
          <w:lang w:val="pl-PL"/>
        </w:rPr>
        <w:t xml:space="preserve">, chyba że udział publiczności zostaje </w:t>
      </w:r>
      <w:r w:rsidR="00C17318" w:rsidRPr="004050F3">
        <w:rPr>
          <w:rFonts w:ascii="Times New Roman" w:hAnsi="Times New Roman"/>
          <w:sz w:val="22"/>
          <w:lang w:val="pl-PL"/>
        </w:rPr>
        <w:t>wyłączony</w:t>
      </w:r>
      <w:r w:rsidR="003108EF" w:rsidRPr="004050F3">
        <w:rPr>
          <w:rFonts w:ascii="Times New Roman" w:hAnsi="Times New Roman"/>
          <w:sz w:val="22"/>
          <w:lang w:val="pl-PL"/>
        </w:rPr>
        <w:t xml:space="preserve"> zgodnie z art. 6 Konwencji i tylko w takim zakresie.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3108EF" w:rsidRPr="004050F3" w:rsidRDefault="00EA33CD">
      <w:pPr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13 </w:t>
      </w:r>
      <w:r w:rsidR="003108EF" w:rsidRPr="004050F3">
        <w:rPr>
          <w:rFonts w:ascii="Times New Roman" w:hAnsi="Times New Roman"/>
          <w:i/>
          <w:iCs/>
          <w:sz w:val="22"/>
          <w:lang w:val="pl-PL"/>
        </w:rPr>
        <w:t>–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</w:t>
      </w:r>
      <w:r w:rsidR="003108EF" w:rsidRPr="004050F3">
        <w:rPr>
          <w:rFonts w:ascii="Times New Roman" w:hAnsi="Times New Roman"/>
          <w:i/>
          <w:iCs/>
          <w:sz w:val="22"/>
          <w:lang w:val="pl-PL"/>
        </w:rPr>
        <w:t>Dostęp dziennikarzy do sal sądowych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3108EF" w:rsidRPr="004050F3" w:rsidRDefault="003108EF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 xml:space="preserve">Właściwe organy powinny, o ile nie jest to </w:t>
      </w:r>
      <w:r w:rsidR="00442D71" w:rsidRPr="004050F3">
        <w:rPr>
          <w:rFonts w:ascii="Times New Roman" w:hAnsi="Times New Roman"/>
          <w:sz w:val="22"/>
          <w:lang w:val="pl-PL"/>
        </w:rPr>
        <w:t>jednoznacznie</w:t>
      </w:r>
      <w:r w:rsidRPr="004050F3">
        <w:rPr>
          <w:rFonts w:ascii="Times New Roman" w:hAnsi="Times New Roman"/>
          <w:sz w:val="22"/>
          <w:lang w:val="pl-PL"/>
        </w:rPr>
        <w:t xml:space="preserve"> niemożliwe, zapewnić w salach sądowych </w:t>
      </w:r>
      <w:r w:rsidR="001443A7" w:rsidRPr="004050F3">
        <w:rPr>
          <w:rFonts w:ascii="Times New Roman" w:hAnsi="Times New Roman"/>
          <w:sz w:val="22"/>
          <w:lang w:val="pl-PL"/>
        </w:rPr>
        <w:t>wystarczająco dużo miejsc dla dziennikarzy</w:t>
      </w:r>
      <w:r w:rsidRPr="004050F3">
        <w:rPr>
          <w:rFonts w:ascii="Times New Roman" w:hAnsi="Times New Roman"/>
          <w:sz w:val="22"/>
          <w:lang w:val="pl-PL"/>
        </w:rPr>
        <w:t xml:space="preserve"> odpowiednio do </w:t>
      </w:r>
      <w:r w:rsidR="00442D71" w:rsidRPr="004050F3">
        <w:rPr>
          <w:rFonts w:ascii="Times New Roman" w:hAnsi="Times New Roman"/>
          <w:sz w:val="22"/>
          <w:lang w:val="pl-PL"/>
        </w:rPr>
        <w:t xml:space="preserve">potrzeb </w:t>
      </w:r>
      <w:r w:rsidRPr="004050F3">
        <w:rPr>
          <w:rFonts w:ascii="Times New Roman" w:hAnsi="Times New Roman"/>
          <w:sz w:val="22"/>
          <w:lang w:val="pl-PL"/>
        </w:rPr>
        <w:t xml:space="preserve">i bez </w:t>
      </w:r>
      <w:r w:rsidR="00442D71" w:rsidRPr="004050F3">
        <w:rPr>
          <w:rFonts w:ascii="Times New Roman" w:hAnsi="Times New Roman"/>
          <w:sz w:val="22"/>
          <w:lang w:val="pl-PL"/>
        </w:rPr>
        <w:t>wyłączania</w:t>
      </w:r>
      <w:r w:rsidRPr="004050F3">
        <w:rPr>
          <w:rFonts w:ascii="Times New Roman" w:hAnsi="Times New Roman"/>
          <w:sz w:val="22"/>
          <w:lang w:val="pl-PL"/>
        </w:rPr>
        <w:t xml:space="preserve"> obecności publiczności.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3108EF" w:rsidRPr="004050F3" w:rsidRDefault="00EA33CD">
      <w:pPr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14 </w:t>
      </w:r>
      <w:r w:rsidR="003108EF" w:rsidRPr="004050F3">
        <w:rPr>
          <w:rFonts w:ascii="Times New Roman" w:hAnsi="Times New Roman"/>
          <w:i/>
          <w:iCs/>
          <w:sz w:val="22"/>
          <w:lang w:val="pl-PL"/>
        </w:rPr>
        <w:t>–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</w:t>
      </w:r>
      <w:r w:rsidR="003108EF" w:rsidRPr="004050F3">
        <w:rPr>
          <w:rFonts w:ascii="Times New Roman" w:hAnsi="Times New Roman"/>
          <w:i/>
          <w:iCs/>
          <w:sz w:val="22"/>
          <w:lang w:val="pl-PL"/>
        </w:rPr>
        <w:t>Relacjonowanie na żywo i rejestrowanie przebiegu rozpraw w salach sądowych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3108EF" w:rsidRPr="004050F3" w:rsidRDefault="003108EF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Relacjonowanie rozpraw na żywo ani ich rejestrowanie przez media w salach sądowych nie powinno być możliwe, chyba że jest to jednoznacznie dopuszczalne zgodnie z</w:t>
      </w:r>
      <w:r w:rsidR="006F3741" w:rsidRPr="004050F3">
        <w:rPr>
          <w:rFonts w:ascii="Times New Roman" w:hAnsi="Times New Roman"/>
          <w:sz w:val="22"/>
          <w:lang w:val="pl-PL"/>
        </w:rPr>
        <w:t xml:space="preserve"> prawem i właściwe organy sądownicze</w:t>
      </w:r>
      <w:r w:rsidRPr="004050F3">
        <w:rPr>
          <w:rFonts w:ascii="Times New Roman" w:hAnsi="Times New Roman"/>
          <w:sz w:val="22"/>
          <w:lang w:val="pl-PL"/>
        </w:rPr>
        <w:t xml:space="preserve"> wydają odpowiednią zgodę i wyłącznie w takim zakresie. Relacjonowanie takie powinno być dopuszczalne tylko w przypadku, gdy nie niesie ze sobą poważnego ryzyka bezprawnych nacisków na ofiary, świadków i strony postępowań sądowych, ławników lub sędziów.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3108EF" w:rsidRPr="004050F3" w:rsidRDefault="00EA33CD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15 </w:t>
      </w:r>
      <w:r w:rsidR="003108EF" w:rsidRPr="004050F3">
        <w:rPr>
          <w:rFonts w:ascii="Times New Roman" w:hAnsi="Times New Roman"/>
          <w:i/>
          <w:iCs/>
          <w:sz w:val="22"/>
          <w:lang w:val="pl-PL"/>
        </w:rPr>
        <w:t>–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</w:t>
      </w:r>
      <w:r w:rsidR="003108EF" w:rsidRPr="004050F3">
        <w:rPr>
          <w:rFonts w:ascii="Times New Roman" w:hAnsi="Times New Roman"/>
          <w:i/>
          <w:iCs/>
          <w:sz w:val="22"/>
          <w:lang w:val="pl-PL"/>
        </w:rPr>
        <w:t>Wsparcie dla relacjonowania postępowań przez media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3108EF" w:rsidRPr="004050F3" w:rsidRDefault="003108EF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Dziennikarze powinni móc uzyskiwać informacje na temat planowanych rozpraw, aktów oskarżenia i zarzutów oraz innych informacji ważnych dla relacjonowania rozpraw. Informacje takie powinny być udostępniane bezzwłocznie, chyba że jest to niemożliwe, na podstawie prostego wniosku składanego do w</w:t>
      </w:r>
      <w:r w:rsidR="007B0B5E" w:rsidRPr="004050F3">
        <w:rPr>
          <w:rFonts w:ascii="Times New Roman" w:hAnsi="Times New Roman"/>
          <w:sz w:val="22"/>
          <w:lang w:val="pl-PL"/>
        </w:rPr>
        <w:t>łaściwych organów. Dziennikarzom powinno przysługiwać prawo do sporządzania i otrzymywania kopii ogłaszanych publicznie wyroków. Prawo takie powinno być dostępne bez dyskryminacji. Dziennikarze powinni mieć możliwość rozpowszechniania i przekazywania takich wyroków opinii publicznej.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7B0B5E" w:rsidRPr="004050F3" w:rsidRDefault="00EA33CD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16 </w:t>
      </w:r>
      <w:r w:rsidR="007B0B5E" w:rsidRPr="004050F3">
        <w:rPr>
          <w:rFonts w:ascii="Times New Roman" w:hAnsi="Times New Roman"/>
          <w:i/>
          <w:iCs/>
          <w:sz w:val="22"/>
          <w:lang w:val="pl-PL"/>
        </w:rPr>
        <w:t>–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</w:t>
      </w:r>
      <w:r w:rsidR="007B0B5E" w:rsidRPr="004050F3">
        <w:rPr>
          <w:rFonts w:ascii="Times New Roman" w:hAnsi="Times New Roman"/>
          <w:i/>
          <w:iCs/>
          <w:sz w:val="22"/>
          <w:lang w:val="pl-PL"/>
        </w:rPr>
        <w:t>Ochrona świadków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7B0B5E" w:rsidRPr="004050F3" w:rsidRDefault="007B0B5E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Nie należy ujawniać tożsamości świadków, chyba że świadek udzielił zgody na ujawnienie, tożsamość świadka jest ważna dla opinii publicznej lub zeznania zostały złożone z udziałem publiczności. Tożsamości świadków nie należy ujawniać nigdy</w:t>
      </w:r>
      <w:r w:rsidR="001443A7" w:rsidRPr="004050F3">
        <w:rPr>
          <w:rFonts w:ascii="Times New Roman" w:hAnsi="Times New Roman"/>
          <w:sz w:val="22"/>
          <w:lang w:val="pl-PL"/>
        </w:rPr>
        <w:t xml:space="preserve"> w przypadku</w:t>
      </w:r>
      <w:r w:rsidRPr="004050F3">
        <w:rPr>
          <w:rFonts w:ascii="Times New Roman" w:hAnsi="Times New Roman"/>
          <w:sz w:val="22"/>
          <w:lang w:val="pl-PL"/>
        </w:rPr>
        <w:t>, gdy zagraża to ich życiu lub bezpieczeństwu. Należy przestrzegać</w:t>
      </w:r>
      <w:r w:rsidR="001443A7" w:rsidRPr="004050F3">
        <w:rPr>
          <w:rFonts w:ascii="Times New Roman" w:hAnsi="Times New Roman"/>
          <w:sz w:val="22"/>
          <w:lang w:val="pl-PL"/>
        </w:rPr>
        <w:t xml:space="preserve"> zasad</w:t>
      </w:r>
      <w:r w:rsidRPr="004050F3">
        <w:rPr>
          <w:rFonts w:ascii="Times New Roman" w:hAnsi="Times New Roman"/>
          <w:sz w:val="22"/>
          <w:lang w:val="pl-PL"/>
        </w:rPr>
        <w:t xml:space="preserve"> programów ochrony świadków, szczególnie w po</w:t>
      </w:r>
      <w:r w:rsidR="00C17318" w:rsidRPr="004050F3">
        <w:rPr>
          <w:rFonts w:ascii="Times New Roman" w:hAnsi="Times New Roman"/>
          <w:sz w:val="22"/>
          <w:lang w:val="pl-PL"/>
        </w:rPr>
        <w:t>stępowaniach karnych prowadzonych</w:t>
      </w:r>
      <w:r w:rsidRPr="004050F3">
        <w:rPr>
          <w:rFonts w:ascii="Times New Roman" w:hAnsi="Times New Roman"/>
          <w:sz w:val="22"/>
          <w:lang w:val="pl-PL"/>
        </w:rPr>
        <w:t xml:space="preserve"> przeciw przestępczości zorganizowanej lub </w:t>
      </w:r>
      <w:r w:rsidR="006F3741" w:rsidRPr="004050F3">
        <w:rPr>
          <w:rFonts w:ascii="Times New Roman" w:hAnsi="Times New Roman"/>
          <w:sz w:val="22"/>
          <w:lang w:val="pl-PL"/>
        </w:rPr>
        <w:t>w związku z przestępstwami</w:t>
      </w:r>
      <w:r w:rsidRPr="004050F3">
        <w:rPr>
          <w:rFonts w:ascii="Times New Roman" w:hAnsi="Times New Roman"/>
          <w:sz w:val="22"/>
          <w:lang w:val="pl-PL"/>
        </w:rPr>
        <w:t xml:space="preserve"> w rodzinie.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7B0B5E" w:rsidRPr="004050F3" w:rsidRDefault="00EA33CD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17 </w:t>
      </w:r>
      <w:r w:rsidR="007B0B5E" w:rsidRPr="004050F3">
        <w:rPr>
          <w:rFonts w:ascii="Times New Roman" w:hAnsi="Times New Roman"/>
          <w:i/>
          <w:iCs/>
          <w:sz w:val="22"/>
          <w:lang w:val="pl-PL"/>
        </w:rPr>
        <w:t>–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</w:t>
      </w:r>
      <w:r w:rsidR="007B0B5E" w:rsidRPr="004050F3">
        <w:rPr>
          <w:rFonts w:ascii="Times New Roman" w:hAnsi="Times New Roman"/>
          <w:i/>
          <w:iCs/>
          <w:sz w:val="22"/>
          <w:lang w:val="pl-PL"/>
        </w:rPr>
        <w:t>Relacjonowanie wykonania wyroków sądowych w mediach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7B0B5E" w:rsidRPr="004050F3" w:rsidRDefault="007B0B5E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>Dziennikarze powinni otrzymywać zgodę na utrzymywanie kontaktów z osobami odbywającymi kar</w:t>
      </w:r>
      <w:r w:rsidR="001443A7" w:rsidRPr="004050F3">
        <w:rPr>
          <w:rFonts w:ascii="Times New Roman" w:hAnsi="Times New Roman"/>
          <w:sz w:val="22"/>
          <w:lang w:val="pl-PL"/>
        </w:rPr>
        <w:t>ę</w:t>
      </w:r>
      <w:r w:rsidRPr="004050F3">
        <w:rPr>
          <w:rFonts w:ascii="Times New Roman" w:hAnsi="Times New Roman"/>
          <w:sz w:val="22"/>
          <w:lang w:val="pl-PL"/>
        </w:rPr>
        <w:t xml:space="preserve"> pozbawienia wolności, o ile nie utrudnia to </w:t>
      </w:r>
      <w:r w:rsidR="00442D71" w:rsidRPr="004050F3">
        <w:rPr>
          <w:rFonts w:ascii="Times New Roman" w:hAnsi="Times New Roman"/>
          <w:sz w:val="22"/>
          <w:lang w:val="pl-PL"/>
        </w:rPr>
        <w:t>u</w:t>
      </w:r>
      <w:r w:rsidRPr="004050F3">
        <w:rPr>
          <w:rFonts w:ascii="Times New Roman" w:hAnsi="Times New Roman"/>
          <w:sz w:val="22"/>
          <w:lang w:val="pl-PL"/>
        </w:rPr>
        <w:t xml:space="preserve">czciwego wymierzania sprawiedliwości, nie narusza praw więźniów i pracowników służby więziennej lub bezpieczeństwa </w:t>
      </w:r>
      <w:r w:rsidR="006F3741" w:rsidRPr="004050F3">
        <w:rPr>
          <w:rFonts w:ascii="Times New Roman" w:hAnsi="Times New Roman"/>
          <w:sz w:val="22"/>
          <w:lang w:val="pl-PL"/>
        </w:rPr>
        <w:t>zakładów karnych</w:t>
      </w:r>
      <w:r w:rsidRPr="004050F3">
        <w:rPr>
          <w:rFonts w:ascii="Times New Roman" w:hAnsi="Times New Roman"/>
          <w:sz w:val="22"/>
          <w:lang w:val="pl-PL"/>
        </w:rPr>
        <w:t>.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7B0B5E" w:rsidRPr="004050F3" w:rsidRDefault="00EA33CD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i/>
          <w:iCs/>
          <w:sz w:val="22"/>
          <w:lang w:val="pl-PL"/>
        </w:rPr>
      </w:pPr>
      <w:r w:rsidRPr="004050F3">
        <w:rPr>
          <w:rFonts w:ascii="Times New Roman" w:hAnsi="Times New Roman"/>
          <w:i/>
          <w:iCs/>
          <w:sz w:val="22"/>
          <w:lang w:val="pl-PL"/>
        </w:rPr>
        <w:t>Zasada</w:t>
      </w:r>
      <w:r w:rsidR="0090125F" w:rsidRPr="004050F3">
        <w:rPr>
          <w:rFonts w:ascii="Times New Roman" w:hAnsi="Times New Roman"/>
          <w:i/>
          <w:iCs/>
          <w:sz w:val="22"/>
          <w:lang w:val="pl-PL"/>
        </w:rPr>
        <w:t xml:space="preserve"> 18 </w:t>
      </w:r>
      <w:r w:rsidR="007B0B5E" w:rsidRPr="004050F3">
        <w:rPr>
          <w:rFonts w:ascii="Times New Roman" w:hAnsi="Times New Roman"/>
          <w:i/>
          <w:iCs/>
          <w:sz w:val="22"/>
          <w:lang w:val="pl-PL"/>
        </w:rPr>
        <w:t>– Relacje w mediach dotyczące osób, które odbyły karę więzienia</w:t>
      </w:r>
    </w:p>
    <w:p w:rsidR="00406B42" w:rsidRPr="004050F3" w:rsidRDefault="00406B42">
      <w:pPr>
        <w:rPr>
          <w:rFonts w:ascii="Times New Roman" w:hAnsi="Times New Roman"/>
          <w:sz w:val="22"/>
          <w:lang w:val="pl-PL"/>
        </w:rPr>
      </w:pPr>
    </w:p>
    <w:p w:rsidR="007B0B5E" w:rsidRPr="004050F3" w:rsidRDefault="007B0B5E">
      <w:pPr>
        <w:rPr>
          <w:rFonts w:ascii="Times New Roman" w:hAnsi="Times New Roman"/>
          <w:sz w:val="22"/>
          <w:lang w:val="pl-PL"/>
        </w:rPr>
      </w:pPr>
      <w:r w:rsidRPr="004050F3">
        <w:rPr>
          <w:rFonts w:ascii="Times New Roman" w:hAnsi="Times New Roman"/>
          <w:sz w:val="22"/>
          <w:lang w:val="pl-PL"/>
        </w:rPr>
        <w:t xml:space="preserve">Aby nie utrudniać reintegracji w społeczeństwie osób, które odbyły karę więzienia, prawo do ochrony prywatności powinno obejmować prawo do ochrony tożsamości takich osób w związku z wcześniejszymi przestępstwami po </w:t>
      </w:r>
      <w:r w:rsidR="00C17318" w:rsidRPr="004050F3">
        <w:rPr>
          <w:rFonts w:ascii="Times New Roman" w:hAnsi="Times New Roman"/>
          <w:sz w:val="22"/>
          <w:lang w:val="pl-PL"/>
        </w:rPr>
        <w:t>odbyciu</w:t>
      </w:r>
      <w:r w:rsidRPr="004050F3">
        <w:rPr>
          <w:rFonts w:ascii="Times New Roman" w:hAnsi="Times New Roman"/>
          <w:sz w:val="22"/>
          <w:lang w:val="pl-PL"/>
        </w:rPr>
        <w:t xml:space="preserve"> kary, chyba że osoby </w:t>
      </w:r>
      <w:r w:rsidR="001443A7" w:rsidRPr="004050F3">
        <w:rPr>
          <w:rFonts w:ascii="Times New Roman" w:hAnsi="Times New Roman"/>
          <w:sz w:val="22"/>
          <w:lang w:val="pl-PL"/>
        </w:rPr>
        <w:t xml:space="preserve">takie </w:t>
      </w:r>
      <w:r w:rsidRPr="004050F3">
        <w:rPr>
          <w:rFonts w:ascii="Times New Roman" w:hAnsi="Times New Roman"/>
          <w:sz w:val="22"/>
          <w:lang w:val="pl-PL"/>
        </w:rPr>
        <w:t xml:space="preserve">wyrażą </w:t>
      </w:r>
      <w:r w:rsidR="001443A7" w:rsidRPr="004050F3">
        <w:rPr>
          <w:rFonts w:ascii="Times New Roman" w:hAnsi="Times New Roman"/>
          <w:sz w:val="22"/>
          <w:lang w:val="pl-PL"/>
        </w:rPr>
        <w:t>jednoznaczną</w:t>
      </w:r>
      <w:r w:rsidRPr="004050F3">
        <w:rPr>
          <w:rFonts w:ascii="Times New Roman" w:hAnsi="Times New Roman"/>
          <w:sz w:val="22"/>
          <w:lang w:val="pl-PL"/>
        </w:rPr>
        <w:t xml:space="preserve"> zgodę na ujawnienie </w:t>
      </w:r>
      <w:r w:rsidR="001443A7" w:rsidRPr="004050F3">
        <w:rPr>
          <w:rFonts w:ascii="Times New Roman" w:hAnsi="Times New Roman"/>
          <w:sz w:val="22"/>
          <w:lang w:val="pl-PL"/>
        </w:rPr>
        <w:t xml:space="preserve">swojej </w:t>
      </w:r>
      <w:r w:rsidRPr="004050F3">
        <w:rPr>
          <w:rFonts w:ascii="Times New Roman" w:hAnsi="Times New Roman"/>
          <w:sz w:val="22"/>
          <w:lang w:val="pl-PL"/>
        </w:rPr>
        <w:t xml:space="preserve">tożsamości lub </w:t>
      </w:r>
      <w:r w:rsidR="001443A7" w:rsidRPr="004050F3">
        <w:rPr>
          <w:rFonts w:ascii="Times New Roman" w:hAnsi="Times New Roman"/>
          <w:sz w:val="22"/>
          <w:lang w:val="pl-PL"/>
        </w:rPr>
        <w:t xml:space="preserve">w przypadku, gdy takie osoby </w:t>
      </w:r>
      <w:r w:rsidRPr="004050F3">
        <w:rPr>
          <w:rFonts w:ascii="Times New Roman" w:hAnsi="Times New Roman"/>
          <w:sz w:val="22"/>
          <w:lang w:val="pl-PL"/>
        </w:rPr>
        <w:t xml:space="preserve">lub ich przestępstwa ponownie </w:t>
      </w:r>
      <w:r w:rsidR="005657AA" w:rsidRPr="004050F3">
        <w:rPr>
          <w:rFonts w:ascii="Times New Roman" w:hAnsi="Times New Roman"/>
          <w:sz w:val="22"/>
          <w:lang w:val="pl-PL"/>
        </w:rPr>
        <w:t>są lub stają się ważne dla opinii publicznej.</w:t>
      </w:r>
    </w:p>
    <w:sectPr w:rsidR="007B0B5E" w:rsidRPr="004050F3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B6"/>
    <w:rsid w:val="000A1939"/>
    <w:rsid w:val="000D3DBC"/>
    <w:rsid w:val="001443A7"/>
    <w:rsid w:val="002D177B"/>
    <w:rsid w:val="003108EF"/>
    <w:rsid w:val="004050F3"/>
    <w:rsid w:val="00406B42"/>
    <w:rsid w:val="00442D71"/>
    <w:rsid w:val="004A78B0"/>
    <w:rsid w:val="004F6322"/>
    <w:rsid w:val="00527BB6"/>
    <w:rsid w:val="005657AA"/>
    <w:rsid w:val="006F3741"/>
    <w:rsid w:val="007B0B5E"/>
    <w:rsid w:val="00865760"/>
    <w:rsid w:val="0090125F"/>
    <w:rsid w:val="00926C13"/>
    <w:rsid w:val="00A5758F"/>
    <w:rsid w:val="00B61871"/>
    <w:rsid w:val="00C17318"/>
    <w:rsid w:val="00DB05D5"/>
    <w:rsid w:val="00EA33CD"/>
    <w:rsid w:val="00F8347B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Cs w:val="24"/>
      <w:lang w:val="en-GB" w:eastAsia="fr-FR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basedOn w:val="Normalny"/>
    <w:semiHidden/>
    <w:rPr>
      <w:sz w:val="18"/>
    </w:rPr>
  </w:style>
  <w:style w:type="paragraph" w:customStyle="1" w:styleId="COECote">
    <w:name w:val="COE_Cote"/>
    <w:rPr>
      <w:rFonts w:ascii="Arial" w:hAnsi="Arial"/>
      <w:b/>
      <w:bCs/>
      <w:iCs/>
      <w:lang w:val="en-GB" w:eastAsia="en-US"/>
    </w:rPr>
  </w:style>
  <w:style w:type="paragraph" w:customStyle="1" w:styleId="COETitre">
    <w:name w:val="COE_Titre"/>
    <w:basedOn w:val="Normalny"/>
    <w:rPr>
      <w:b/>
    </w:rPr>
  </w:style>
  <w:style w:type="paragraph" w:customStyle="1" w:styleId="COEType">
    <w:name w:val="COE_Type"/>
    <w:basedOn w:val="Normalny"/>
  </w:style>
  <w:style w:type="character" w:styleId="Hipercze">
    <w:name w:val="Hyperlink"/>
    <w:basedOn w:val="Domylnaczcionkaakapitu"/>
    <w:semiHidden/>
    <w:rPr>
      <w:i/>
      <w:color w:val="000080"/>
      <w:sz w:val="20"/>
      <w:u w:val="single"/>
    </w:rPr>
  </w:style>
  <w:style w:type="character" w:styleId="UyteHipercze">
    <w:name w:val="FollowedHyperlink"/>
    <w:basedOn w:val="Domylnaczcionkaakapitu"/>
    <w:semiHidden/>
    <w:rPr>
      <w:color w:val="333399"/>
      <w:u w:val="single"/>
    </w:rPr>
  </w:style>
  <w:style w:type="paragraph" w:customStyle="1" w:styleId="COEHeading1">
    <w:name w:val="COE_Heading1"/>
    <w:basedOn w:val="Normalny"/>
    <w:rPr>
      <w:b/>
      <w:sz w:val="24"/>
    </w:rPr>
  </w:style>
  <w:style w:type="paragraph" w:customStyle="1" w:styleId="COEHeading2">
    <w:name w:val="COE_Heading2"/>
    <w:rPr>
      <w:rFonts w:ascii="Arial" w:hAnsi="Arial"/>
      <w:b/>
      <w:sz w:val="22"/>
      <w:lang w:val="en-GB" w:eastAsia="en-US"/>
    </w:rPr>
  </w:style>
  <w:style w:type="paragraph" w:customStyle="1" w:styleId="COEIntro">
    <w:name w:val="COE_Intro"/>
    <w:rPr>
      <w:rFonts w:ascii="Arial" w:hAnsi="Arial"/>
      <w:lang w:val="en-GB" w:eastAsia="en-US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COEHeading3">
    <w:name w:val="COE_Heading3"/>
    <w:basedOn w:val="Normalny"/>
    <w:rPr>
      <w:i/>
    </w:rPr>
  </w:style>
  <w:style w:type="paragraph" w:customStyle="1" w:styleId="COENoLignes">
    <w:name w:val="COE_NoLignes"/>
    <w:rPr>
      <w:rFonts w:ascii="Arial" w:hAnsi="Arial"/>
      <w:lang w:val="en-GB" w:eastAsia="en-US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18"/>
      <w:lang w:val="fr-FR"/>
    </w:rPr>
  </w:style>
  <w:style w:type="paragraph" w:customStyle="1" w:styleId="COEEnceinte">
    <w:name w:val="COE_Enceinte"/>
    <w:basedOn w:val="Normalny"/>
    <w:rPr>
      <w:sz w:val="32"/>
    </w:rPr>
  </w:style>
  <w:style w:type="paragraph" w:customStyle="1" w:styleId="COEWord">
    <w:name w:val="COE_Word"/>
    <w:basedOn w:val="Normalny"/>
    <w:pPr>
      <w:jc w:val="right"/>
    </w:pPr>
    <w:rPr>
      <w:i/>
      <w:iCs/>
      <w:lang w:val="fr-FR"/>
    </w:rPr>
  </w:style>
  <w:style w:type="character" w:styleId="Numerstrony">
    <w:name w:val="page number"/>
    <w:basedOn w:val="Domylnaczcionkaakapitu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Cs w:val="24"/>
      <w:lang w:val="en-GB" w:eastAsia="fr-FR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basedOn w:val="Normalny"/>
    <w:semiHidden/>
    <w:rPr>
      <w:sz w:val="18"/>
    </w:rPr>
  </w:style>
  <w:style w:type="paragraph" w:customStyle="1" w:styleId="COECote">
    <w:name w:val="COE_Cote"/>
    <w:rPr>
      <w:rFonts w:ascii="Arial" w:hAnsi="Arial"/>
      <w:b/>
      <w:bCs/>
      <w:iCs/>
      <w:lang w:val="en-GB" w:eastAsia="en-US"/>
    </w:rPr>
  </w:style>
  <w:style w:type="paragraph" w:customStyle="1" w:styleId="COETitre">
    <w:name w:val="COE_Titre"/>
    <w:basedOn w:val="Normalny"/>
    <w:rPr>
      <w:b/>
    </w:rPr>
  </w:style>
  <w:style w:type="paragraph" w:customStyle="1" w:styleId="COEType">
    <w:name w:val="COE_Type"/>
    <w:basedOn w:val="Normalny"/>
  </w:style>
  <w:style w:type="character" w:styleId="Hipercze">
    <w:name w:val="Hyperlink"/>
    <w:basedOn w:val="Domylnaczcionkaakapitu"/>
    <w:semiHidden/>
    <w:rPr>
      <w:i/>
      <w:color w:val="000080"/>
      <w:sz w:val="20"/>
      <w:u w:val="single"/>
    </w:rPr>
  </w:style>
  <w:style w:type="character" w:styleId="UyteHipercze">
    <w:name w:val="FollowedHyperlink"/>
    <w:basedOn w:val="Domylnaczcionkaakapitu"/>
    <w:semiHidden/>
    <w:rPr>
      <w:color w:val="333399"/>
      <w:u w:val="single"/>
    </w:rPr>
  </w:style>
  <w:style w:type="paragraph" w:customStyle="1" w:styleId="COEHeading1">
    <w:name w:val="COE_Heading1"/>
    <w:basedOn w:val="Normalny"/>
    <w:rPr>
      <w:b/>
      <w:sz w:val="24"/>
    </w:rPr>
  </w:style>
  <w:style w:type="paragraph" w:customStyle="1" w:styleId="COEHeading2">
    <w:name w:val="COE_Heading2"/>
    <w:rPr>
      <w:rFonts w:ascii="Arial" w:hAnsi="Arial"/>
      <w:b/>
      <w:sz w:val="22"/>
      <w:lang w:val="en-GB" w:eastAsia="en-US"/>
    </w:rPr>
  </w:style>
  <w:style w:type="paragraph" w:customStyle="1" w:styleId="COEIntro">
    <w:name w:val="COE_Intro"/>
    <w:rPr>
      <w:rFonts w:ascii="Arial" w:hAnsi="Arial"/>
      <w:lang w:val="en-GB" w:eastAsia="en-US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COEHeading3">
    <w:name w:val="COE_Heading3"/>
    <w:basedOn w:val="Normalny"/>
    <w:rPr>
      <w:i/>
    </w:rPr>
  </w:style>
  <w:style w:type="paragraph" w:customStyle="1" w:styleId="COENoLignes">
    <w:name w:val="COE_NoLignes"/>
    <w:rPr>
      <w:rFonts w:ascii="Arial" w:hAnsi="Arial"/>
      <w:lang w:val="en-GB" w:eastAsia="en-US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18"/>
      <w:lang w:val="fr-FR"/>
    </w:rPr>
  </w:style>
  <w:style w:type="paragraph" w:customStyle="1" w:styleId="COEEnceinte">
    <w:name w:val="COE_Enceinte"/>
    <w:basedOn w:val="Normalny"/>
    <w:rPr>
      <w:sz w:val="32"/>
    </w:rPr>
  </w:style>
  <w:style w:type="paragraph" w:customStyle="1" w:styleId="COEWord">
    <w:name w:val="COE_Word"/>
    <w:basedOn w:val="Normalny"/>
    <w:pPr>
      <w:jc w:val="right"/>
    </w:pPr>
    <w:rPr>
      <w:i/>
      <w:iCs/>
      <w:lang w:val="fr-FR"/>
    </w:rPr>
  </w:style>
  <w:style w:type="character" w:styleId="Numerstrony">
    <w:name w:val="page number"/>
    <w:basedOn w:val="Domylnaczcionkaakapitu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c_internet\C.d.M\Transit%20templates\CM%20General%20documents\eRecommendat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eRecommendation.dot</Template>
  <TotalTime>0</TotalTime>
  <Pages>2</Pages>
  <Words>1727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Recommendation on</vt:lpstr>
    </vt:vector>
  </TitlesOfParts>
  <Company>BABEL s.c., 81-703 Sopot, ul. Kościuszki 61</Company>
  <LinksUpToDate>false</LinksUpToDate>
  <CharactersWithSpaces>12068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on</dc:title>
  <dc:creator>BABEL s.c.</dc:creator>
  <dc:description>(+48 58) 5500132, 5510076, 5517258_x000d_biuro@babel.pl, office@babel.pl_x000d_www.babel.pl</dc:description>
  <cp:lastModifiedBy>Czuczman Karolina</cp:lastModifiedBy>
  <cp:revision>2</cp:revision>
  <cp:lastPrinted>1900-12-31T22:00:00Z</cp:lastPrinted>
  <dcterms:created xsi:type="dcterms:W3CDTF">2020-09-03T10:24:00Z</dcterms:created>
  <dcterms:modified xsi:type="dcterms:W3CDTF">2020-09-03T10:24:00Z</dcterms:modified>
</cp:coreProperties>
</file>