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01443"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Załącznik do uchwały nr 10 </w:t>
      </w:r>
    </w:p>
    <w:p w14:paraId="4D6637FD"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Komitetu Rady Ministrów do Spraw Cyfryzacji </w:t>
      </w:r>
    </w:p>
    <w:p w14:paraId="26600F49"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z dnia 16 kwietnia 2020 r. </w:t>
      </w:r>
    </w:p>
    <w:p w14:paraId="33FE14DA"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p>
    <w:p w14:paraId="657EC318" w14:textId="4E37211C"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 </w:t>
      </w:r>
    </w:p>
    <w:p w14:paraId="65A4C933" w14:textId="4E647795" w:rsidR="008A332F" w:rsidRDefault="00F74B28"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3C8F6B73" w14:textId="5BF3D4FA" w:rsidR="008C6721" w:rsidRPr="002B50C0" w:rsidRDefault="00F74B28"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Z</w:t>
      </w:r>
      <w:r w:rsidR="008C6721" w:rsidRPr="002B50C0">
        <w:rPr>
          <w:rFonts w:ascii="Arial" w:hAnsi="Arial" w:cs="Arial"/>
          <w:b/>
          <w:color w:val="auto"/>
          <w:sz w:val="24"/>
          <w:szCs w:val="24"/>
        </w:rPr>
        <w:t>a</w:t>
      </w:r>
      <w:r>
        <w:rPr>
          <w:rFonts w:ascii="Arial" w:hAnsi="Arial" w:cs="Arial"/>
          <w:b/>
          <w:color w:val="auto"/>
          <w:sz w:val="24"/>
          <w:szCs w:val="24"/>
        </w:rPr>
        <w:t xml:space="preserve"> I</w:t>
      </w:r>
      <w:r w:rsidR="00BA58A3">
        <w:rPr>
          <w:rFonts w:ascii="Arial" w:hAnsi="Arial" w:cs="Arial"/>
          <w:b/>
          <w:color w:val="auto"/>
          <w:sz w:val="24"/>
          <w:szCs w:val="24"/>
        </w:rPr>
        <w:t>I</w:t>
      </w:r>
      <w:r w:rsidR="008C6721" w:rsidRPr="002B50C0">
        <w:rPr>
          <w:rFonts w:ascii="Arial" w:hAnsi="Arial" w:cs="Arial"/>
          <w:b/>
          <w:color w:val="auto"/>
          <w:sz w:val="24"/>
          <w:szCs w:val="24"/>
        </w:rPr>
        <w:t xml:space="preserve"> kwartał </w:t>
      </w:r>
      <w:r>
        <w:rPr>
          <w:rFonts w:ascii="Arial" w:hAnsi="Arial" w:cs="Arial"/>
          <w:b/>
          <w:color w:val="auto"/>
          <w:sz w:val="24"/>
          <w:szCs w:val="24"/>
        </w:rPr>
        <w:t>202</w:t>
      </w:r>
      <w:r w:rsidR="000F0F9C">
        <w:rPr>
          <w:rFonts w:ascii="Arial" w:hAnsi="Arial" w:cs="Arial"/>
          <w:b/>
          <w:color w:val="auto"/>
          <w:sz w:val="24"/>
          <w:szCs w:val="24"/>
        </w:rPr>
        <w:t>1</w:t>
      </w:r>
      <w:r>
        <w:rPr>
          <w:rFonts w:ascii="Arial" w:hAnsi="Arial" w:cs="Arial"/>
          <w:b/>
          <w:color w:val="auto"/>
          <w:sz w:val="24"/>
          <w:szCs w:val="24"/>
        </w:rPr>
        <w:t xml:space="preserve"> </w:t>
      </w:r>
      <w:r w:rsidR="008C6721"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352DCFB6" w:rsidR="00CA516B" w:rsidRPr="002B50C0" w:rsidRDefault="00F74B28">
            <w:pPr>
              <w:spacing w:line="276" w:lineRule="auto"/>
              <w:rPr>
                <w:rFonts w:ascii="Arial" w:hAnsi="Arial" w:cs="Arial"/>
                <w:i/>
                <w:color w:val="0070C0"/>
                <w:sz w:val="20"/>
              </w:rPr>
            </w:pPr>
            <w:r w:rsidRPr="00C67480">
              <w:rPr>
                <w:rFonts w:ascii="Arial" w:hAnsi="Arial" w:cs="Arial"/>
                <w:i/>
                <w:color w:val="000000"/>
                <w:sz w:val="20"/>
              </w:rPr>
              <w:t>Digitalizacja i udostępnianie cyfrowych dóbr kultury – zabytków oraz grobów i cmentarzy wojennych</w:t>
            </w:r>
          </w:p>
        </w:tc>
      </w:tr>
      <w:tr w:rsidR="00F74B28"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24F58B8"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Minister Kultury i Dziedzictwa Narodowego</w:t>
            </w:r>
          </w:p>
        </w:tc>
      </w:tr>
      <w:tr w:rsidR="00F74B28"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F74B28" w:rsidRPr="00725708" w:rsidRDefault="00F74B28" w:rsidP="00F74B28">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6DEF7394" w:rsidR="00F74B28" w:rsidRPr="006822BC"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Narodowy Instytut Dziedzictwa</w:t>
            </w:r>
            <w:r w:rsidRPr="006822BC">
              <w:rPr>
                <w:rFonts w:ascii="Arial" w:hAnsi="Arial" w:cs="Arial"/>
                <w:color w:val="2C2D2D"/>
                <w:sz w:val="18"/>
                <w:szCs w:val="18"/>
              </w:rPr>
              <w:br/>
            </w:r>
          </w:p>
        </w:tc>
      </w:tr>
      <w:tr w:rsidR="00F74B28"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F74B28" w:rsidRPr="008A332F" w:rsidRDefault="00F74B28" w:rsidP="00F74B28">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77777777" w:rsidR="00F74B28" w:rsidRPr="00141A92" w:rsidRDefault="00F74B28" w:rsidP="00F74B28">
            <w:pPr>
              <w:spacing w:line="276" w:lineRule="auto"/>
              <w:rPr>
                <w:rFonts w:ascii="Arial" w:hAnsi="Arial" w:cs="Arial"/>
                <w:i/>
                <w:color w:val="0070C0"/>
                <w:sz w:val="18"/>
                <w:szCs w:val="18"/>
              </w:rPr>
            </w:pPr>
          </w:p>
        </w:tc>
      </w:tr>
      <w:tr w:rsidR="00F74B28"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5B5352F" w14:textId="77777777" w:rsidR="00F74B28" w:rsidRPr="00C67480" w:rsidRDefault="00F74B28" w:rsidP="00F74B28">
            <w:pPr>
              <w:spacing w:line="276" w:lineRule="auto"/>
              <w:rPr>
                <w:rFonts w:ascii="Arial" w:hAnsi="Arial" w:cs="Arial"/>
                <w:color w:val="000000"/>
                <w:sz w:val="18"/>
                <w:szCs w:val="18"/>
              </w:rPr>
            </w:pPr>
            <w:r w:rsidRPr="00C67480">
              <w:rPr>
                <w:rFonts w:ascii="Arial" w:hAnsi="Arial" w:cs="Arial"/>
                <w:color w:val="000000"/>
                <w:sz w:val="18"/>
                <w:szCs w:val="18"/>
              </w:rPr>
              <w:t>Program Operacyjny Polska Cyfrowa; Oś Priorytetowa II – E-administracja i otwarty rząd; Działanie 2.3 – Cyfrowa dostępność i użyteczność informacji sektora publicznego; Poddziałanie 2.3.2 – Cyfrowe udostępnianie zasobów kultury</w:t>
            </w:r>
          </w:p>
          <w:p w14:paraId="55582688" w14:textId="13C60399"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Inne krajowe środki publiczne (wkład własny beneficjenta)</w:t>
            </w:r>
          </w:p>
        </w:tc>
      </w:tr>
      <w:tr w:rsidR="00F74B28"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F74B28" w:rsidRDefault="00F74B28" w:rsidP="00F74B28">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106D155C"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37 264 029,10 zł</w:t>
            </w:r>
          </w:p>
        </w:tc>
      </w:tr>
      <w:tr w:rsidR="00F74B2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F74B28" w:rsidRPr="008A332F" w:rsidRDefault="00F74B28" w:rsidP="00F74B28">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35F8B900"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37 264 029,10 zł</w:t>
            </w:r>
          </w:p>
        </w:tc>
      </w:tr>
      <w:tr w:rsidR="00F74B28"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F74B28" w:rsidRDefault="00F74B28" w:rsidP="00F74B28">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6892F90" w14:textId="77777777" w:rsidR="00F74B28" w:rsidRPr="00C67480" w:rsidRDefault="00F74B28" w:rsidP="00F74B28">
            <w:pPr>
              <w:pStyle w:val="Akapitzlist"/>
              <w:numPr>
                <w:ilvl w:val="0"/>
                <w:numId w:val="12"/>
              </w:numPr>
              <w:spacing w:after="0"/>
              <w:ind w:left="190" w:hanging="190"/>
              <w:rPr>
                <w:rFonts w:ascii="Arial" w:hAnsi="Arial" w:cs="Arial"/>
                <w:color w:val="000000"/>
                <w:sz w:val="18"/>
                <w:szCs w:val="18"/>
              </w:rPr>
            </w:pPr>
            <w:r w:rsidRPr="00C67480">
              <w:rPr>
                <w:rFonts w:ascii="Arial" w:hAnsi="Arial" w:cs="Arial"/>
                <w:color w:val="000000"/>
                <w:sz w:val="18"/>
                <w:szCs w:val="18"/>
              </w:rPr>
              <w:t>data rozpoczęcia realizacji projektu: 28. 01. 2019 r.</w:t>
            </w:r>
          </w:p>
          <w:p w14:paraId="55CE9679" w14:textId="3F244AE4" w:rsidR="00F74B28" w:rsidRPr="00141A92" w:rsidRDefault="00F74B28" w:rsidP="00F74B28">
            <w:pPr>
              <w:pStyle w:val="Akapitzlist"/>
              <w:numPr>
                <w:ilvl w:val="0"/>
                <w:numId w:val="12"/>
              </w:numPr>
              <w:spacing w:after="0"/>
              <w:ind w:left="190" w:hanging="190"/>
              <w:rPr>
                <w:rFonts w:ascii="Arial" w:hAnsi="Arial" w:cs="Arial"/>
                <w:i/>
                <w:color w:val="0070C0"/>
                <w:sz w:val="18"/>
                <w:szCs w:val="18"/>
              </w:rPr>
            </w:pPr>
            <w:r w:rsidRPr="00C67480">
              <w:rPr>
                <w:rFonts w:ascii="Arial" w:hAnsi="Arial" w:cs="Arial"/>
                <w:color w:val="000000"/>
                <w:sz w:val="18"/>
                <w:szCs w:val="18"/>
              </w:rPr>
              <w:t>data zakończenia realizacji projektu: 26. 0</w:t>
            </w:r>
            <w:r w:rsidR="008B1633">
              <w:rPr>
                <w:rFonts w:ascii="Arial" w:hAnsi="Arial" w:cs="Arial"/>
                <w:color w:val="000000"/>
                <w:sz w:val="18"/>
                <w:szCs w:val="18"/>
              </w:rPr>
              <w:t>4</w:t>
            </w:r>
            <w:r w:rsidRPr="00C67480">
              <w:rPr>
                <w:rFonts w:ascii="Arial" w:hAnsi="Arial" w:cs="Arial"/>
                <w:color w:val="000000"/>
                <w:sz w:val="18"/>
                <w:szCs w:val="18"/>
              </w:rPr>
              <w:t>. 2022 r.</w:t>
            </w:r>
            <w:r w:rsidR="00FE4D07">
              <w:rPr>
                <w:rFonts w:ascii="Arial" w:hAnsi="Arial" w:cs="Arial"/>
                <w:color w:val="000000"/>
                <w:sz w:val="18"/>
                <w:szCs w:val="18"/>
              </w:rPr>
              <w:t xml:space="preserve"> (data zakończenia realizacji projektu sprzed zmiany: 26. 01. 2022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3C6E44C9"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2B50C0">
        <w:rPr>
          <w:rFonts w:ascii="Arial" w:hAnsi="Arial" w:cs="Arial"/>
        </w:rPr>
        <w:tab/>
      </w:r>
      <w:r w:rsidR="00F74B28" w:rsidRPr="00C67480">
        <w:rPr>
          <w:rFonts w:ascii="Arial" w:hAnsi="Arial" w:cs="Arial"/>
          <w:color w:val="000000"/>
          <w:sz w:val="18"/>
          <w:szCs w:val="18"/>
        </w:rPr>
        <w:t>NIE DOTYCZY</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59735F91" w14:textId="77777777" w:rsidTr="00795AFA">
        <w:tc>
          <w:tcPr>
            <w:tcW w:w="2972" w:type="dxa"/>
          </w:tcPr>
          <w:p w14:paraId="077C8D26" w14:textId="507C209B" w:rsidR="00907F6D" w:rsidRPr="00F74B28" w:rsidRDefault="00BA58A3" w:rsidP="00450089">
            <w:pPr>
              <w:rPr>
                <w:rFonts w:ascii="Arial" w:hAnsi="Arial" w:cs="Arial"/>
                <w:color w:val="000000" w:themeColor="text1"/>
                <w:sz w:val="18"/>
                <w:szCs w:val="20"/>
              </w:rPr>
            </w:pPr>
            <w:r>
              <w:rPr>
                <w:rFonts w:ascii="Arial" w:hAnsi="Arial" w:cs="Arial"/>
                <w:color w:val="000000" w:themeColor="text1"/>
                <w:sz w:val="18"/>
                <w:szCs w:val="20"/>
              </w:rPr>
              <w:t>74,4</w:t>
            </w:r>
            <w:r w:rsidR="00F74B28">
              <w:rPr>
                <w:rFonts w:ascii="Arial" w:hAnsi="Arial" w:cs="Arial"/>
                <w:color w:val="000000" w:themeColor="text1"/>
                <w:sz w:val="18"/>
                <w:szCs w:val="20"/>
              </w:rPr>
              <w:t>%</w:t>
            </w:r>
          </w:p>
        </w:tc>
        <w:tc>
          <w:tcPr>
            <w:tcW w:w="3260" w:type="dxa"/>
          </w:tcPr>
          <w:p w14:paraId="1B061A32" w14:textId="36A60DC1" w:rsidR="006948D3" w:rsidRPr="00F74B28" w:rsidRDefault="000F0F9C" w:rsidP="00F74B28">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5</w:t>
            </w:r>
            <w:r w:rsidR="000C5E00">
              <w:rPr>
                <w:rFonts w:ascii="Arial" w:hAnsi="Arial" w:cs="Arial"/>
                <w:color w:val="000000" w:themeColor="text1"/>
                <w:sz w:val="18"/>
                <w:szCs w:val="20"/>
              </w:rPr>
              <w:t>9,8</w:t>
            </w:r>
            <w:r w:rsidR="00F74B28">
              <w:rPr>
                <w:rFonts w:ascii="Arial" w:hAnsi="Arial" w:cs="Arial"/>
                <w:color w:val="000000" w:themeColor="text1"/>
                <w:sz w:val="18"/>
                <w:szCs w:val="20"/>
              </w:rPr>
              <w:t>%</w:t>
            </w:r>
          </w:p>
          <w:p w14:paraId="6AC79DA7" w14:textId="06F7F679" w:rsidR="00071880" w:rsidRDefault="00071880" w:rsidP="006948D3">
            <w:pPr>
              <w:rPr>
                <w:rFonts w:ascii="Arial" w:hAnsi="Arial" w:cs="Arial"/>
                <w:color w:val="0070C0"/>
                <w:sz w:val="18"/>
                <w:szCs w:val="20"/>
              </w:rPr>
            </w:pPr>
          </w:p>
          <w:p w14:paraId="71B73B86" w14:textId="3C328D44" w:rsidR="00071880" w:rsidRPr="00120F79" w:rsidRDefault="000C5E00" w:rsidP="00120F79">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50,9</w:t>
            </w:r>
            <w:r w:rsidR="00120F79">
              <w:rPr>
                <w:rFonts w:ascii="Arial" w:hAnsi="Arial" w:cs="Arial"/>
                <w:color w:val="000000" w:themeColor="text1"/>
                <w:sz w:val="18"/>
                <w:szCs w:val="20"/>
              </w:rPr>
              <w:t>%</w:t>
            </w:r>
          </w:p>
          <w:p w14:paraId="5427B2C6" w14:textId="77777777" w:rsidR="006948D3" w:rsidRPr="006948D3" w:rsidRDefault="006948D3" w:rsidP="006948D3">
            <w:pPr>
              <w:rPr>
                <w:rFonts w:ascii="Arial" w:hAnsi="Arial" w:cs="Arial"/>
                <w:color w:val="0070C0"/>
                <w:sz w:val="18"/>
                <w:szCs w:val="20"/>
              </w:rPr>
            </w:pPr>
          </w:p>
          <w:p w14:paraId="4929DAC9" w14:textId="29A4E9F3" w:rsidR="00907F6D" w:rsidRPr="00120F79" w:rsidRDefault="00120F79" w:rsidP="00120F79">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Nie dotyczy</w:t>
            </w:r>
          </w:p>
        </w:tc>
        <w:tc>
          <w:tcPr>
            <w:tcW w:w="3402" w:type="dxa"/>
          </w:tcPr>
          <w:p w14:paraId="65BB31D3" w14:textId="72723EF0" w:rsidR="00907F6D" w:rsidRPr="00141A92" w:rsidRDefault="00120F79" w:rsidP="00795AFA">
            <w:pPr>
              <w:rPr>
                <w:rFonts w:ascii="Arial" w:hAnsi="Arial" w:cs="Arial"/>
                <w:color w:val="0070C0"/>
                <w:sz w:val="18"/>
                <w:szCs w:val="20"/>
              </w:rPr>
            </w:pPr>
            <w:r>
              <w:rPr>
                <w:rFonts w:ascii="Arial" w:hAnsi="Arial" w:cs="Arial"/>
                <w:color w:val="000000" w:themeColor="text1"/>
                <w:sz w:val="18"/>
                <w:szCs w:val="20"/>
              </w:rPr>
              <w:t>7</w:t>
            </w:r>
            <w:r w:rsidR="000C5E00">
              <w:rPr>
                <w:rFonts w:ascii="Arial" w:hAnsi="Arial" w:cs="Arial"/>
                <w:color w:val="000000" w:themeColor="text1"/>
                <w:sz w:val="18"/>
                <w:szCs w:val="20"/>
              </w:rPr>
              <w:t>2,8</w:t>
            </w:r>
            <w:r>
              <w:rPr>
                <w:rFonts w:ascii="Arial" w:hAnsi="Arial" w:cs="Arial"/>
                <w:color w:val="000000" w:themeColor="text1"/>
                <w:sz w:val="18"/>
                <w:szCs w:val="20"/>
              </w:rPr>
              <w:t>%</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W w:w="9639"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1617"/>
        <w:gridCol w:w="1306"/>
        <w:gridCol w:w="1874"/>
        <w:gridCol w:w="2732"/>
      </w:tblGrid>
      <w:tr w:rsidR="00120F79" w:rsidRPr="00C67480" w14:paraId="79A5574C" w14:textId="77777777" w:rsidTr="00120F79">
        <w:trPr>
          <w:tblHeader/>
        </w:trPr>
        <w:tc>
          <w:tcPr>
            <w:tcW w:w="2110" w:type="dxa"/>
            <w:shd w:val="clear" w:color="auto" w:fill="D0CECE"/>
          </w:tcPr>
          <w:p w14:paraId="370198C0"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lastRenderedPageBreak/>
              <w:t>Nazwa kamienia milowego</w:t>
            </w:r>
          </w:p>
        </w:tc>
        <w:tc>
          <w:tcPr>
            <w:tcW w:w="1617" w:type="dxa"/>
            <w:tcBorders>
              <w:top w:val="single" w:sz="4" w:space="0" w:color="auto"/>
              <w:left w:val="single" w:sz="4" w:space="0" w:color="auto"/>
              <w:bottom w:val="single" w:sz="4" w:space="0" w:color="auto"/>
              <w:right w:val="single" w:sz="4" w:space="0" w:color="auto"/>
            </w:tcBorders>
            <w:shd w:val="clear" w:color="auto" w:fill="D0CECE"/>
          </w:tcPr>
          <w:p w14:paraId="534DD50A"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 xml:space="preserve">Powiązane wskaźniki projektu </w:t>
            </w:r>
            <w:r w:rsidRPr="00C67480">
              <w:rPr>
                <w:rStyle w:val="Odwoanieprzypisudolnego"/>
                <w:rFonts w:ascii="Arial" w:hAnsi="Arial" w:cs="Arial"/>
                <w:b/>
                <w:sz w:val="20"/>
                <w:szCs w:val="20"/>
              </w:rPr>
              <w:footnoteReference w:id="1"/>
            </w:r>
          </w:p>
        </w:tc>
        <w:tc>
          <w:tcPr>
            <w:tcW w:w="1306" w:type="dxa"/>
            <w:shd w:val="clear" w:color="auto" w:fill="D0CECE"/>
          </w:tcPr>
          <w:p w14:paraId="6BF2D1EC"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Planowany termin osiągnięcia</w:t>
            </w:r>
          </w:p>
        </w:tc>
        <w:tc>
          <w:tcPr>
            <w:tcW w:w="1874" w:type="dxa"/>
            <w:shd w:val="clear" w:color="auto" w:fill="D0CECE"/>
          </w:tcPr>
          <w:p w14:paraId="5D6C3D26"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Rzeczywisty termin osiągnięcia</w:t>
            </w:r>
          </w:p>
        </w:tc>
        <w:tc>
          <w:tcPr>
            <w:tcW w:w="2732" w:type="dxa"/>
            <w:shd w:val="clear" w:color="auto" w:fill="D0CECE"/>
          </w:tcPr>
          <w:p w14:paraId="1C72C2BC"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Status realizacji Zadania/kamienia milowego</w:t>
            </w:r>
          </w:p>
        </w:tc>
      </w:tr>
      <w:tr w:rsidR="00120F79" w:rsidRPr="00C67480" w14:paraId="79B86AC5" w14:textId="77777777" w:rsidTr="00120F79">
        <w:tc>
          <w:tcPr>
            <w:tcW w:w="2110" w:type="dxa"/>
            <w:shd w:val="clear" w:color="auto" w:fill="auto"/>
          </w:tcPr>
          <w:p w14:paraId="5712F6DE" w14:textId="77777777" w:rsidR="00120F79" w:rsidRPr="00C67480" w:rsidRDefault="00120F79" w:rsidP="008833B4">
            <w:pPr>
              <w:spacing w:after="0" w:line="240" w:lineRule="auto"/>
              <w:rPr>
                <w:rFonts w:cs="Calibri"/>
                <w:color w:val="000000"/>
              </w:rPr>
            </w:pPr>
            <w:r w:rsidRPr="00C67480">
              <w:rPr>
                <w:rFonts w:cs="Calibri"/>
                <w:color w:val="000000"/>
              </w:rPr>
              <w:t>Podpisanie umowy z wykonawcą usługi digitalizacji</w:t>
            </w:r>
          </w:p>
        </w:tc>
        <w:tc>
          <w:tcPr>
            <w:tcW w:w="1617" w:type="dxa"/>
            <w:tcBorders>
              <w:left w:val="single" w:sz="4" w:space="0" w:color="auto"/>
              <w:right w:val="single" w:sz="4" w:space="0" w:color="auto"/>
            </w:tcBorders>
            <w:shd w:val="clear" w:color="auto" w:fill="auto"/>
            <w:vAlign w:val="center"/>
          </w:tcPr>
          <w:p w14:paraId="0D959105"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3DE935A6" w14:textId="77777777" w:rsidR="00120F79" w:rsidRPr="00C67480" w:rsidRDefault="00120F79" w:rsidP="008833B4">
            <w:pPr>
              <w:spacing w:after="0" w:line="240" w:lineRule="auto"/>
              <w:ind w:left="7"/>
              <w:rPr>
                <w:rFonts w:ascii="Arial" w:hAnsi="Arial" w:cs="Arial"/>
                <w:color w:val="000000"/>
                <w:sz w:val="18"/>
                <w:szCs w:val="18"/>
              </w:rPr>
            </w:pPr>
            <w:r w:rsidRPr="00C67480">
              <w:rPr>
                <w:rFonts w:ascii="Arial" w:hAnsi="Arial" w:cs="Arial"/>
                <w:color w:val="000000"/>
                <w:sz w:val="18"/>
                <w:szCs w:val="18"/>
              </w:rPr>
              <w:t>06. 2019</w:t>
            </w:r>
          </w:p>
        </w:tc>
        <w:tc>
          <w:tcPr>
            <w:tcW w:w="1874" w:type="dxa"/>
            <w:shd w:val="clear" w:color="auto" w:fill="auto"/>
          </w:tcPr>
          <w:p w14:paraId="36BBEA10"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11.2019</w:t>
            </w:r>
          </w:p>
        </w:tc>
        <w:tc>
          <w:tcPr>
            <w:tcW w:w="2732" w:type="dxa"/>
            <w:shd w:val="clear" w:color="auto" w:fill="auto"/>
          </w:tcPr>
          <w:p w14:paraId="620F2999"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7ABBBEDA" w14:textId="6DFC40FD" w:rsidR="00120F79"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Zmieniony termin ogłoszenia postępowania przetargowego (z uwagi na konieczność rozbudowanych konsultacji) oraz pojawiające się w toku postępowania liczne pytania ze strony wykonawców skutkujące wydłużeniem procedury sprawiły, że Dotrzymanie pierwotnie zakładanego terminu okazało się niemożliwe. Na przesunięcie terminu podpisania umowy wpłynął także fakt, iż po ogłoszeniu wyników przetargu jeden z Wykonawców złożył odwołanie do KIO. Dopiero zakończenie postępowania przed KIO (z rozstrzygnięciem uwzględniającym w całości stanowisko NID) poskutkowało możliwością zawarcia umowy. Przesunięcie terminu zawarcia umowy nie powoduje zagrożenia niewykonania zakładanych celów projektu ze względu na skrócony przez Wykonawcę okres realizacji zamówienia o 3 miesiące.</w:t>
            </w:r>
          </w:p>
          <w:p w14:paraId="0156277E" w14:textId="10434A94" w:rsidR="001F777C" w:rsidRPr="001F777C" w:rsidRDefault="001F777C" w:rsidP="008833B4">
            <w:pPr>
              <w:spacing w:after="0" w:line="240" w:lineRule="auto"/>
              <w:rPr>
                <w:rFonts w:ascii="Arial" w:hAnsi="Arial" w:cs="Arial"/>
                <w:color w:val="000000"/>
                <w:sz w:val="18"/>
                <w:szCs w:val="18"/>
              </w:rPr>
            </w:pPr>
            <w:r w:rsidRPr="001F777C">
              <w:rPr>
                <w:rFonts w:ascii="Arial" w:hAnsi="Arial" w:cs="Arial"/>
                <w:sz w:val="18"/>
                <w:szCs w:val="18"/>
              </w:rPr>
              <w:t>Należy podkreślić, że data dostarczenia produktów procesu digitalizacji przez wykonawcę usługi wynikająca z podpisanej umowy została ustalona na 30.06.2021 i jest wcześniejsza od planowanej daty Kamienia Milowego Zakończenie opracowania metadanych i geokodowania (25.11.2021)</w:t>
            </w:r>
          </w:p>
          <w:p w14:paraId="0F959D18" w14:textId="77777777" w:rsidR="00120F79" w:rsidRPr="00C67480" w:rsidRDefault="00120F79" w:rsidP="008833B4">
            <w:pPr>
              <w:spacing w:after="0" w:line="240" w:lineRule="auto"/>
              <w:rPr>
                <w:rFonts w:ascii="Arial" w:hAnsi="Arial" w:cs="Arial"/>
                <w:strike/>
                <w:color w:val="000000"/>
                <w:sz w:val="18"/>
                <w:szCs w:val="18"/>
              </w:rPr>
            </w:pPr>
          </w:p>
        </w:tc>
      </w:tr>
      <w:tr w:rsidR="00120F79" w:rsidRPr="00C67480" w14:paraId="7F7E28FD" w14:textId="77777777" w:rsidTr="00120F79">
        <w:tc>
          <w:tcPr>
            <w:tcW w:w="2110" w:type="dxa"/>
            <w:shd w:val="clear" w:color="auto" w:fill="auto"/>
          </w:tcPr>
          <w:p w14:paraId="32E50B97" w14:textId="77777777" w:rsidR="00120F79" w:rsidRPr="00C67480" w:rsidRDefault="00120F79" w:rsidP="008833B4">
            <w:pPr>
              <w:spacing w:after="0" w:line="240" w:lineRule="auto"/>
              <w:rPr>
                <w:rFonts w:cs="Calibri"/>
                <w:color w:val="000000"/>
              </w:rPr>
            </w:pPr>
            <w:r w:rsidRPr="00C67480">
              <w:rPr>
                <w:rFonts w:cs="Calibri"/>
                <w:color w:val="000000"/>
              </w:rPr>
              <w:t>Zakończenie opracowania metadanych i geokodowania</w:t>
            </w:r>
          </w:p>
        </w:tc>
        <w:tc>
          <w:tcPr>
            <w:tcW w:w="1617" w:type="dxa"/>
            <w:tcBorders>
              <w:left w:val="single" w:sz="4" w:space="0" w:color="auto"/>
              <w:right w:val="single" w:sz="4" w:space="0" w:color="auto"/>
            </w:tcBorders>
            <w:shd w:val="clear" w:color="auto" w:fill="auto"/>
            <w:vAlign w:val="center"/>
          </w:tcPr>
          <w:p w14:paraId="17FA7BCC" w14:textId="4A891943" w:rsidR="00120F79" w:rsidRPr="00C67480"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5 – 697 684</w:t>
            </w:r>
          </w:p>
          <w:p w14:paraId="7F6BEFB6" w14:textId="77777777" w:rsidR="00120F79" w:rsidRPr="00C67480" w:rsidRDefault="00120F79" w:rsidP="008833B4">
            <w:pPr>
              <w:spacing w:after="0" w:line="240" w:lineRule="auto"/>
              <w:rPr>
                <w:rFonts w:ascii="Arial" w:hAnsi="Arial" w:cs="Arial"/>
                <w:color w:val="000000"/>
                <w:sz w:val="18"/>
                <w:szCs w:val="18"/>
              </w:rPr>
            </w:pPr>
          </w:p>
          <w:p w14:paraId="6AD81891" w14:textId="16A66857" w:rsidR="00120F79" w:rsidRPr="00C67480" w:rsidRDefault="00FE4D07" w:rsidP="008833B4">
            <w:pPr>
              <w:spacing w:after="0" w:line="240" w:lineRule="auto"/>
              <w:rPr>
                <w:rFonts w:ascii="Arial" w:hAnsi="Arial" w:cs="Arial"/>
                <w:color w:val="000000"/>
                <w:sz w:val="18"/>
                <w:szCs w:val="18"/>
              </w:rPr>
            </w:pPr>
            <w:r>
              <w:rPr>
                <w:rFonts w:ascii="Arial" w:hAnsi="Arial" w:cs="Arial"/>
                <w:color w:val="000000"/>
                <w:sz w:val="18"/>
                <w:szCs w:val="18"/>
              </w:rPr>
              <w:t xml:space="preserve">KPI 6 - </w:t>
            </w:r>
            <w:r w:rsidR="00120F79" w:rsidRPr="00C67480">
              <w:rPr>
                <w:rFonts w:ascii="Arial" w:hAnsi="Arial" w:cs="Arial"/>
                <w:color w:val="000000"/>
                <w:sz w:val="18"/>
                <w:szCs w:val="18"/>
              </w:rPr>
              <w:t xml:space="preserve"> </w:t>
            </w:r>
            <w:r>
              <w:rPr>
                <w:rFonts w:ascii="Arial" w:hAnsi="Arial" w:cs="Arial"/>
                <w:color w:val="000000"/>
                <w:sz w:val="18"/>
                <w:szCs w:val="18"/>
              </w:rPr>
              <w:t>76TB</w:t>
            </w:r>
          </w:p>
        </w:tc>
        <w:tc>
          <w:tcPr>
            <w:tcW w:w="1306" w:type="dxa"/>
            <w:shd w:val="clear" w:color="auto" w:fill="auto"/>
          </w:tcPr>
          <w:p w14:paraId="7F3371D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11. 2021</w:t>
            </w:r>
          </w:p>
        </w:tc>
        <w:tc>
          <w:tcPr>
            <w:tcW w:w="1874" w:type="dxa"/>
            <w:shd w:val="clear" w:color="auto" w:fill="auto"/>
          </w:tcPr>
          <w:p w14:paraId="73A2B54B"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4411F20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tc>
      </w:tr>
      <w:tr w:rsidR="00120F79" w:rsidRPr="00C67480" w14:paraId="3C20E720" w14:textId="77777777" w:rsidTr="00120F79">
        <w:tc>
          <w:tcPr>
            <w:tcW w:w="2110" w:type="dxa"/>
            <w:shd w:val="clear" w:color="auto" w:fill="auto"/>
          </w:tcPr>
          <w:p w14:paraId="25F77230" w14:textId="77777777" w:rsidR="00120F79" w:rsidRPr="00C67480" w:rsidRDefault="00120F79" w:rsidP="008833B4">
            <w:pPr>
              <w:spacing w:after="0" w:line="240" w:lineRule="auto"/>
              <w:rPr>
                <w:rFonts w:cs="Calibri"/>
                <w:color w:val="000000"/>
                <w:szCs w:val="18"/>
              </w:rPr>
            </w:pPr>
            <w:r w:rsidRPr="00C67480">
              <w:rPr>
                <w:rFonts w:cs="Calibri"/>
                <w:color w:val="000000"/>
              </w:rPr>
              <w:t>Dostawa i instalacja sprzętu IT</w:t>
            </w:r>
          </w:p>
        </w:tc>
        <w:tc>
          <w:tcPr>
            <w:tcW w:w="1617" w:type="dxa"/>
            <w:tcBorders>
              <w:left w:val="single" w:sz="4" w:space="0" w:color="auto"/>
              <w:right w:val="single" w:sz="4" w:space="0" w:color="auto"/>
            </w:tcBorders>
            <w:shd w:val="clear" w:color="auto" w:fill="auto"/>
            <w:vAlign w:val="center"/>
          </w:tcPr>
          <w:p w14:paraId="20E47414"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7745F888"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07. 2019</w:t>
            </w:r>
          </w:p>
        </w:tc>
        <w:tc>
          <w:tcPr>
            <w:tcW w:w="1874" w:type="dxa"/>
            <w:shd w:val="clear" w:color="auto" w:fill="auto"/>
          </w:tcPr>
          <w:p w14:paraId="525C6E5E"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09. 2019</w:t>
            </w:r>
          </w:p>
        </w:tc>
        <w:tc>
          <w:tcPr>
            <w:tcW w:w="2732" w:type="dxa"/>
            <w:shd w:val="clear" w:color="auto" w:fill="auto"/>
          </w:tcPr>
          <w:p w14:paraId="3F02FAD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705D08A0"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Wykonanie nastąpiło przed upływem daty punktu ostatecznego. Przesunięcie terminu względem planowanego wynikało z braku bezwzględnej potrzeby instalacji sprzętu w Planowanej dacie;</w:t>
            </w:r>
          </w:p>
        </w:tc>
      </w:tr>
      <w:tr w:rsidR="00120F79" w:rsidRPr="00C67480" w14:paraId="4B7D857A" w14:textId="77777777" w:rsidTr="00120F79">
        <w:tc>
          <w:tcPr>
            <w:tcW w:w="2110" w:type="dxa"/>
            <w:shd w:val="clear" w:color="auto" w:fill="auto"/>
          </w:tcPr>
          <w:p w14:paraId="554F79FC" w14:textId="77777777" w:rsidR="00120F79" w:rsidRPr="00C67480" w:rsidRDefault="00120F79" w:rsidP="008833B4">
            <w:pPr>
              <w:spacing w:after="0" w:line="240" w:lineRule="auto"/>
              <w:rPr>
                <w:rFonts w:cs="Calibri"/>
                <w:color w:val="000000"/>
                <w:szCs w:val="18"/>
              </w:rPr>
            </w:pPr>
            <w:r w:rsidRPr="00C67480">
              <w:rPr>
                <w:rFonts w:cs="Calibri"/>
                <w:color w:val="000000"/>
              </w:rPr>
              <w:t>Podpisanie umowy z wykonawcą usługi budowy Systemu - oprogramowanie</w:t>
            </w:r>
          </w:p>
        </w:tc>
        <w:tc>
          <w:tcPr>
            <w:tcW w:w="1617" w:type="dxa"/>
            <w:tcBorders>
              <w:left w:val="single" w:sz="4" w:space="0" w:color="auto"/>
              <w:right w:val="single" w:sz="4" w:space="0" w:color="auto"/>
            </w:tcBorders>
            <w:shd w:val="clear" w:color="auto" w:fill="auto"/>
            <w:vAlign w:val="center"/>
          </w:tcPr>
          <w:p w14:paraId="65079DB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7039BE1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10. 2019</w:t>
            </w:r>
          </w:p>
        </w:tc>
        <w:tc>
          <w:tcPr>
            <w:tcW w:w="1874" w:type="dxa"/>
            <w:shd w:val="clear" w:color="auto" w:fill="auto"/>
          </w:tcPr>
          <w:p w14:paraId="723F0917"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01.2020</w:t>
            </w:r>
          </w:p>
        </w:tc>
        <w:tc>
          <w:tcPr>
            <w:tcW w:w="2732" w:type="dxa"/>
            <w:shd w:val="clear" w:color="auto" w:fill="auto"/>
          </w:tcPr>
          <w:p w14:paraId="774CBE2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6889E7A2" w14:textId="77777777" w:rsidR="00120F79"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Opóźnienie w podpisaniu umowy wynika z faktu, iż na etapie oceny merytorycznej aplikacji środki na cel dotyczący tego działania zostały istotnie ograniczone. Szacowanie wartości przed ogłoszeniem </w:t>
            </w:r>
            <w:r w:rsidRPr="00C67480">
              <w:rPr>
                <w:rFonts w:ascii="Arial" w:hAnsi="Arial" w:cs="Arial"/>
                <w:color w:val="000000"/>
                <w:sz w:val="18"/>
                <w:szCs w:val="18"/>
              </w:rPr>
              <w:lastRenderedPageBreak/>
              <w:t>przetargu sugerowało, że budżet na to zadanie może okazać się niewystarczający. Dopiero w chwili powzięcia informacji, że wskutek postępowania na zadanie 1 mogą pojawić się oszczędności, z których brak funduszu na niniejsze działanie może być pokryty, podjęta została decyzja o ogłoszeniu przetargu na prace programistyczne. W wyniku tej procedury został wyłoniony wykonawca, z którym zawarto umowę w dn. 08. 01. 2020. Opóźnienie w podpisaniu umowy nie wpłynie na termin realizacji projektu – wykonawca w złożonej ofercie zadeklarował skrócenie czasu realizacji umowy.</w:t>
            </w:r>
          </w:p>
          <w:p w14:paraId="5627AF50" w14:textId="58821719" w:rsidR="001F777C" w:rsidRPr="001F777C" w:rsidRDefault="001F777C" w:rsidP="008833B4">
            <w:pPr>
              <w:spacing w:after="0" w:line="240" w:lineRule="auto"/>
              <w:rPr>
                <w:rFonts w:ascii="Arial" w:hAnsi="Arial" w:cs="Arial"/>
                <w:color w:val="000000"/>
                <w:sz w:val="18"/>
                <w:szCs w:val="18"/>
              </w:rPr>
            </w:pPr>
            <w:r w:rsidRPr="001F777C">
              <w:rPr>
                <w:rFonts w:ascii="Arial" w:hAnsi="Arial" w:cs="Arial"/>
                <w:color w:val="000000"/>
                <w:sz w:val="18"/>
                <w:szCs w:val="18"/>
              </w:rPr>
              <w:t>Należy podkreślić, że</w:t>
            </w:r>
            <w:r w:rsidRPr="001F777C">
              <w:rPr>
                <w:rFonts w:ascii="Arial" w:hAnsi="Arial" w:cs="Arial"/>
                <w:sz w:val="18"/>
                <w:szCs w:val="18"/>
              </w:rPr>
              <w:t xml:space="preserve"> data zakończenia prac programistycznych wynikająca z podpisanej umowy została ustalona na 22.01.2021 i jest wcześniejsza od planowanej daty Kamienia Milowego Zakończenie prac programistycznych (25.04.2021).</w:t>
            </w:r>
          </w:p>
        </w:tc>
      </w:tr>
      <w:tr w:rsidR="00120F79" w:rsidRPr="00C67480" w14:paraId="77F548A4" w14:textId="77777777" w:rsidTr="00120F79">
        <w:tc>
          <w:tcPr>
            <w:tcW w:w="2110" w:type="dxa"/>
            <w:shd w:val="clear" w:color="auto" w:fill="auto"/>
          </w:tcPr>
          <w:p w14:paraId="29766500" w14:textId="77777777" w:rsidR="00120F79" w:rsidRPr="00C67480" w:rsidRDefault="00120F79" w:rsidP="008833B4">
            <w:pPr>
              <w:spacing w:after="0" w:line="240" w:lineRule="auto"/>
              <w:rPr>
                <w:rFonts w:cs="Calibri"/>
                <w:color w:val="000000"/>
              </w:rPr>
            </w:pPr>
            <w:r w:rsidRPr="00C67480">
              <w:rPr>
                <w:rFonts w:cs="Calibri"/>
                <w:color w:val="000000"/>
              </w:rPr>
              <w:lastRenderedPageBreak/>
              <w:t>Prace programistyczne – zakończenie etapu II: implementacja wersji pilotażowej</w:t>
            </w:r>
          </w:p>
        </w:tc>
        <w:tc>
          <w:tcPr>
            <w:tcW w:w="1617" w:type="dxa"/>
            <w:tcBorders>
              <w:left w:val="single" w:sz="4" w:space="0" w:color="auto"/>
              <w:right w:val="single" w:sz="4" w:space="0" w:color="auto"/>
            </w:tcBorders>
            <w:shd w:val="clear" w:color="auto" w:fill="auto"/>
            <w:vAlign w:val="center"/>
          </w:tcPr>
          <w:p w14:paraId="3E0D760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25750FB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07. 2020</w:t>
            </w:r>
          </w:p>
        </w:tc>
        <w:tc>
          <w:tcPr>
            <w:tcW w:w="1874" w:type="dxa"/>
            <w:shd w:val="clear" w:color="auto" w:fill="auto"/>
          </w:tcPr>
          <w:p w14:paraId="16E94D15" w14:textId="183BE98E" w:rsidR="00120F79" w:rsidRPr="00C67480" w:rsidRDefault="00BB57DA" w:rsidP="008833B4">
            <w:pPr>
              <w:spacing w:after="0" w:line="240" w:lineRule="auto"/>
              <w:rPr>
                <w:rFonts w:ascii="Arial" w:hAnsi="Arial" w:cs="Arial"/>
                <w:color w:val="000000"/>
                <w:sz w:val="18"/>
              </w:rPr>
            </w:pPr>
            <w:r>
              <w:rPr>
                <w:rFonts w:ascii="Arial" w:hAnsi="Arial" w:cs="Arial"/>
                <w:color w:val="000000"/>
                <w:sz w:val="18"/>
              </w:rPr>
              <w:t>06.2020</w:t>
            </w:r>
          </w:p>
        </w:tc>
        <w:tc>
          <w:tcPr>
            <w:tcW w:w="2732" w:type="dxa"/>
            <w:shd w:val="clear" w:color="auto" w:fill="auto"/>
          </w:tcPr>
          <w:p w14:paraId="0F3ED16F" w14:textId="1D55B339" w:rsidR="00120F79" w:rsidRPr="00C67480" w:rsidRDefault="00BB57DA" w:rsidP="008833B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20F79" w:rsidRPr="00C67480" w14:paraId="7BB0EDE1" w14:textId="77777777" w:rsidTr="00120F79">
        <w:tc>
          <w:tcPr>
            <w:tcW w:w="2110" w:type="dxa"/>
            <w:shd w:val="clear" w:color="auto" w:fill="auto"/>
          </w:tcPr>
          <w:p w14:paraId="17F0BA0F" w14:textId="77777777" w:rsidR="00120F79" w:rsidRPr="00C67480" w:rsidRDefault="00120F79" w:rsidP="008833B4">
            <w:pPr>
              <w:spacing w:after="0" w:line="240" w:lineRule="auto"/>
              <w:rPr>
                <w:rFonts w:cs="Calibri"/>
                <w:color w:val="000000"/>
              </w:rPr>
            </w:pPr>
            <w:r w:rsidRPr="00C67480">
              <w:rPr>
                <w:rFonts w:cs="Calibri"/>
                <w:color w:val="000000"/>
              </w:rPr>
              <w:t>Zakończenie prac programistycznych</w:t>
            </w:r>
          </w:p>
        </w:tc>
        <w:tc>
          <w:tcPr>
            <w:tcW w:w="1617" w:type="dxa"/>
            <w:tcBorders>
              <w:left w:val="single" w:sz="4" w:space="0" w:color="auto"/>
              <w:right w:val="single" w:sz="4" w:space="0" w:color="auto"/>
            </w:tcBorders>
            <w:shd w:val="clear" w:color="auto" w:fill="auto"/>
            <w:vAlign w:val="center"/>
          </w:tcPr>
          <w:p w14:paraId="035CCBFB" w14:textId="3B6948DA"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1 – 3</w:t>
            </w:r>
          </w:p>
          <w:p w14:paraId="4FED81F7" w14:textId="511C9701" w:rsidR="00FE4D07" w:rsidRDefault="00FE4D07" w:rsidP="008833B4">
            <w:pPr>
              <w:spacing w:after="0" w:line="240" w:lineRule="auto"/>
              <w:rPr>
                <w:rFonts w:ascii="Arial" w:hAnsi="Arial" w:cs="Arial"/>
                <w:color w:val="000000"/>
                <w:sz w:val="18"/>
                <w:szCs w:val="18"/>
              </w:rPr>
            </w:pPr>
          </w:p>
          <w:p w14:paraId="50D9E9F6" w14:textId="010596BA"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2 - 1</w:t>
            </w:r>
          </w:p>
          <w:p w14:paraId="765F216B" w14:textId="4E740D60" w:rsidR="00120F79" w:rsidRDefault="00120F79" w:rsidP="008833B4">
            <w:pPr>
              <w:spacing w:after="0" w:line="240" w:lineRule="auto"/>
              <w:rPr>
                <w:rFonts w:ascii="Arial" w:hAnsi="Arial" w:cs="Arial"/>
                <w:color w:val="000000"/>
                <w:sz w:val="18"/>
                <w:szCs w:val="18"/>
              </w:rPr>
            </w:pPr>
          </w:p>
          <w:p w14:paraId="5531F15E" w14:textId="0135EA21"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 xml:space="preserve">KPI 3 </w:t>
            </w:r>
            <w:r w:rsidR="003A71BA">
              <w:rPr>
                <w:rFonts w:ascii="Arial" w:hAnsi="Arial" w:cs="Arial"/>
                <w:color w:val="000000"/>
                <w:sz w:val="18"/>
                <w:szCs w:val="18"/>
              </w:rPr>
              <w:t>–</w:t>
            </w:r>
            <w:r>
              <w:rPr>
                <w:rFonts w:ascii="Arial" w:hAnsi="Arial" w:cs="Arial"/>
                <w:color w:val="000000"/>
                <w:sz w:val="18"/>
                <w:szCs w:val="18"/>
              </w:rPr>
              <w:t xml:space="preserve"> </w:t>
            </w:r>
            <w:r w:rsidR="003A71BA">
              <w:rPr>
                <w:rFonts w:ascii="Arial" w:hAnsi="Arial" w:cs="Arial"/>
                <w:color w:val="000000"/>
                <w:sz w:val="18"/>
                <w:szCs w:val="18"/>
              </w:rPr>
              <w:t>500 000 szt.</w:t>
            </w:r>
          </w:p>
          <w:p w14:paraId="0C6391E3" w14:textId="62E07726" w:rsidR="003A71BA" w:rsidRDefault="003A71BA" w:rsidP="008833B4">
            <w:pPr>
              <w:spacing w:after="0" w:line="240" w:lineRule="auto"/>
              <w:rPr>
                <w:rFonts w:ascii="Arial" w:hAnsi="Arial" w:cs="Arial"/>
                <w:color w:val="000000"/>
                <w:sz w:val="18"/>
                <w:szCs w:val="18"/>
              </w:rPr>
            </w:pPr>
          </w:p>
          <w:p w14:paraId="5847CF4C" w14:textId="22D23ECB" w:rsidR="003A71BA" w:rsidRPr="00C67480" w:rsidRDefault="003A71BA" w:rsidP="008833B4">
            <w:pPr>
              <w:spacing w:after="0" w:line="240" w:lineRule="auto"/>
              <w:rPr>
                <w:rFonts w:ascii="Arial" w:hAnsi="Arial" w:cs="Arial"/>
                <w:color w:val="000000"/>
                <w:sz w:val="18"/>
                <w:szCs w:val="18"/>
              </w:rPr>
            </w:pPr>
            <w:r>
              <w:rPr>
                <w:rFonts w:ascii="Arial" w:hAnsi="Arial" w:cs="Arial"/>
                <w:color w:val="000000"/>
                <w:sz w:val="18"/>
                <w:szCs w:val="18"/>
              </w:rPr>
              <w:t>KPI 4 - 1</w:t>
            </w:r>
          </w:p>
          <w:p w14:paraId="0BF7BB92" w14:textId="76BFC5E3" w:rsidR="00120F79" w:rsidRDefault="00120F79" w:rsidP="008833B4">
            <w:pPr>
              <w:spacing w:after="0" w:line="240" w:lineRule="auto"/>
              <w:rPr>
                <w:rFonts w:ascii="Arial" w:hAnsi="Arial" w:cs="Arial"/>
                <w:color w:val="000000"/>
                <w:sz w:val="18"/>
                <w:szCs w:val="18"/>
              </w:rPr>
            </w:pPr>
          </w:p>
          <w:p w14:paraId="4B8613C8" w14:textId="18593A74" w:rsidR="00120F79" w:rsidRPr="00C67480" w:rsidRDefault="003A71BA" w:rsidP="008833B4">
            <w:pPr>
              <w:spacing w:after="0" w:line="240" w:lineRule="auto"/>
              <w:rPr>
                <w:rFonts w:ascii="Arial" w:hAnsi="Arial" w:cs="Arial"/>
                <w:color w:val="000000"/>
                <w:sz w:val="18"/>
                <w:szCs w:val="18"/>
              </w:rPr>
            </w:pPr>
            <w:r>
              <w:rPr>
                <w:rFonts w:ascii="Arial" w:hAnsi="Arial" w:cs="Arial"/>
                <w:color w:val="000000"/>
                <w:sz w:val="18"/>
                <w:szCs w:val="18"/>
              </w:rPr>
              <w:t>KPI 6 – 60TB</w:t>
            </w:r>
            <w:r w:rsidR="00120F79" w:rsidRPr="00C67480">
              <w:rPr>
                <w:rFonts w:ascii="Arial" w:hAnsi="Arial" w:cs="Arial"/>
                <w:color w:val="000000"/>
                <w:sz w:val="18"/>
                <w:szCs w:val="18"/>
              </w:rPr>
              <w:t xml:space="preserve"> </w:t>
            </w:r>
          </w:p>
        </w:tc>
        <w:tc>
          <w:tcPr>
            <w:tcW w:w="1306" w:type="dxa"/>
            <w:shd w:val="clear" w:color="auto" w:fill="auto"/>
          </w:tcPr>
          <w:p w14:paraId="71B1CF39"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04. 2021</w:t>
            </w:r>
          </w:p>
        </w:tc>
        <w:tc>
          <w:tcPr>
            <w:tcW w:w="1874" w:type="dxa"/>
            <w:shd w:val="clear" w:color="auto" w:fill="auto"/>
          </w:tcPr>
          <w:p w14:paraId="4D67A94E"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1CD6E8E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tc>
      </w:tr>
      <w:tr w:rsidR="00120F79" w:rsidRPr="00C67480" w14:paraId="3C5CC8ED" w14:textId="77777777" w:rsidTr="00120F79">
        <w:tc>
          <w:tcPr>
            <w:tcW w:w="2110" w:type="dxa"/>
            <w:shd w:val="clear" w:color="auto" w:fill="auto"/>
          </w:tcPr>
          <w:p w14:paraId="4DA2D164" w14:textId="77777777" w:rsidR="00120F79" w:rsidRPr="00C67480" w:rsidRDefault="00120F79" w:rsidP="008833B4">
            <w:pPr>
              <w:spacing w:after="0" w:line="240" w:lineRule="auto"/>
              <w:rPr>
                <w:rFonts w:cs="Calibri"/>
                <w:color w:val="000000"/>
              </w:rPr>
            </w:pPr>
            <w:r w:rsidRPr="00C67480">
              <w:rPr>
                <w:rFonts w:cs="Calibri"/>
                <w:color w:val="000000"/>
              </w:rPr>
              <w:t>Zakończenie kampanii promocyjnej</w:t>
            </w:r>
          </w:p>
        </w:tc>
        <w:tc>
          <w:tcPr>
            <w:tcW w:w="1617" w:type="dxa"/>
            <w:tcBorders>
              <w:left w:val="single" w:sz="4" w:space="0" w:color="auto"/>
              <w:right w:val="single" w:sz="4" w:space="0" w:color="auto"/>
            </w:tcBorders>
            <w:shd w:val="clear" w:color="auto" w:fill="auto"/>
            <w:vAlign w:val="center"/>
          </w:tcPr>
          <w:p w14:paraId="7A47BE85"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lang w:eastAsia="pl-PL"/>
              </w:rPr>
              <w:t>Brak powiązanych wskaźników</w:t>
            </w:r>
          </w:p>
        </w:tc>
        <w:tc>
          <w:tcPr>
            <w:tcW w:w="1306" w:type="dxa"/>
            <w:shd w:val="clear" w:color="auto" w:fill="auto"/>
          </w:tcPr>
          <w:p w14:paraId="2D64E250"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01. 2022</w:t>
            </w:r>
          </w:p>
        </w:tc>
        <w:tc>
          <w:tcPr>
            <w:tcW w:w="1874" w:type="dxa"/>
            <w:shd w:val="clear" w:color="auto" w:fill="auto"/>
          </w:tcPr>
          <w:p w14:paraId="124AE36B"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5E0336DE"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tc>
      </w:tr>
      <w:tr w:rsidR="00120F79" w:rsidRPr="00C67480" w14:paraId="426C9A18" w14:textId="77777777" w:rsidTr="00120F79">
        <w:tc>
          <w:tcPr>
            <w:tcW w:w="2110" w:type="dxa"/>
            <w:shd w:val="clear" w:color="auto" w:fill="auto"/>
          </w:tcPr>
          <w:p w14:paraId="4E95039D" w14:textId="77777777" w:rsidR="00120F79" w:rsidRPr="00C67480" w:rsidRDefault="00120F79" w:rsidP="008833B4">
            <w:pPr>
              <w:spacing w:after="0" w:line="240" w:lineRule="auto"/>
              <w:rPr>
                <w:rFonts w:cs="Calibri"/>
                <w:color w:val="000000"/>
              </w:rPr>
            </w:pPr>
            <w:r w:rsidRPr="00C67480">
              <w:rPr>
                <w:rFonts w:cs="Calibri"/>
                <w:color w:val="000000"/>
              </w:rPr>
              <w:t>Opracowanie Raportu zakończenia etapu I</w:t>
            </w:r>
          </w:p>
        </w:tc>
        <w:tc>
          <w:tcPr>
            <w:tcW w:w="1617" w:type="dxa"/>
            <w:tcBorders>
              <w:left w:val="single" w:sz="4" w:space="0" w:color="auto"/>
              <w:right w:val="single" w:sz="4" w:space="0" w:color="auto"/>
            </w:tcBorders>
            <w:shd w:val="clear" w:color="auto" w:fill="auto"/>
            <w:vAlign w:val="center"/>
          </w:tcPr>
          <w:p w14:paraId="45B87DDE"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51C193B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06. 2019</w:t>
            </w:r>
          </w:p>
        </w:tc>
        <w:tc>
          <w:tcPr>
            <w:tcW w:w="1874" w:type="dxa"/>
            <w:shd w:val="clear" w:color="auto" w:fill="auto"/>
          </w:tcPr>
          <w:p w14:paraId="0A4C230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06.2019 </w:t>
            </w:r>
          </w:p>
        </w:tc>
        <w:tc>
          <w:tcPr>
            <w:tcW w:w="2732" w:type="dxa"/>
            <w:shd w:val="clear" w:color="auto" w:fill="auto"/>
          </w:tcPr>
          <w:p w14:paraId="25E7A33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tc>
      </w:tr>
      <w:tr w:rsidR="00120F79" w:rsidRPr="00C67480" w14:paraId="1C21E635" w14:textId="77777777" w:rsidTr="00120F79">
        <w:tc>
          <w:tcPr>
            <w:tcW w:w="2110" w:type="dxa"/>
            <w:shd w:val="clear" w:color="auto" w:fill="auto"/>
          </w:tcPr>
          <w:p w14:paraId="5B6057E5" w14:textId="77777777" w:rsidR="00120F79" w:rsidRPr="00C67480" w:rsidRDefault="00120F79" w:rsidP="008833B4">
            <w:pPr>
              <w:spacing w:after="0" w:line="240" w:lineRule="auto"/>
              <w:rPr>
                <w:rFonts w:cs="Calibri"/>
                <w:color w:val="000000"/>
              </w:rPr>
            </w:pPr>
            <w:r w:rsidRPr="00C67480">
              <w:rPr>
                <w:rFonts w:cs="Calibri"/>
                <w:color w:val="000000"/>
              </w:rPr>
              <w:t xml:space="preserve"> Opracowanie Raportu zakończenia etapu II</w:t>
            </w:r>
          </w:p>
        </w:tc>
        <w:tc>
          <w:tcPr>
            <w:tcW w:w="1617" w:type="dxa"/>
            <w:tcBorders>
              <w:left w:val="single" w:sz="4" w:space="0" w:color="auto"/>
              <w:right w:val="single" w:sz="4" w:space="0" w:color="auto"/>
            </w:tcBorders>
            <w:shd w:val="clear" w:color="auto" w:fill="auto"/>
            <w:vAlign w:val="center"/>
          </w:tcPr>
          <w:p w14:paraId="1A18C97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43F62CA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06. 2020</w:t>
            </w:r>
          </w:p>
        </w:tc>
        <w:tc>
          <w:tcPr>
            <w:tcW w:w="1874" w:type="dxa"/>
            <w:shd w:val="clear" w:color="auto" w:fill="auto"/>
          </w:tcPr>
          <w:p w14:paraId="561AF820" w14:textId="3580E49F" w:rsidR="00120F79" w:rsidRPr="00C67480" w:rsidRDefault="007549AD" w:rsidP="008833B4">
            <w:pPr>
              <w:spacing w:after="0" w:line="240" w:lineRule="auto"/>
              <w:rPr>
                <w:rFonts w:ascii="Arial" w:hAnsi="Arial" w:cs="Arial"/>
                <w:color w:val="000000"/>
                <w:sz w:val="18"/>
                <w:szCs w:val="18"/>
              </w:rPr>
            </w:pPr>
            <w:r>
              <w:rPr>
                <w:rFonts w:ascii="Arial" w:hAnsi="Arial" w:cs="Arial"/>
                <w:color w:val="000000"/>
                <w:sz w:val="18"/>
                <w:szCs w:val="18"/>
              </w:rPr>
              <w:t>06. 2020</w:t>
            </w:r>
          </w:p>
        </w:tc>
        <w:tc>
          <w:tcPr>
            <w:tcW w:w="2732" w:type="dxa"/>
            <w:shd w:val="clear" w:color="auto" w:fill="auto"/>
          </w:tcPr>
          <w:p w14:paraId="63ADC315" w14:textId="4280F134" w:rsidR="00120F79" w:rsidRPr="00C67480" w:rsidRDefault="007549AD" w:rsidP="008833B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20F79" w:rsidRPr="00C67480" w14:paraId="6CC2FA58" w14:textId="77777777" w:rsidTr="00157512">
        <w:tc>
          <w:tcPr>
            <w:tcW w:w="2110" w:type="dxa"/>
            <w:shd w:val="clear" w:color="auto" w:fill="auto"/>
          </w:tcPr>
          <w:p w14:paraId="5B89301B" w14:textId="77777777" w:rsidR="00120F79" w:rsidRPr="00C67480" w:rsidRDefault="00120F79" w:rsidP="008833B4">
            <w:pPr>
              <w:spacing w:after="0" w:line="240" w:lineRule="auto"/>
              <w:rPr>
                <w:rFonts w:cs="Calibri"/>
                <w:color w:val="000000"/>
              </w:rPr>
            </w:pPr>
            <w:r w:rsidRPr="00C67480">
              <w:rPr>
                <w:rFonts w:cs="Calibri"/>
                <w:color w:val="000000"/>
              </w:rPr>
              <w:t>Opracowanie Raportu zakończenia etapu III</w:t>
            </w:r>
          </w:p>
        </w:tc>
        <w:tc>
          <w:tcPr>
            <w:tcW w:w="1617" w:type="dxa"/>
            <w:tcBorders>
              <w:left w:val="single" w:sz="4" w:space="0" w:color="auto"/>
              <w:right w:val="single" w:sz="4" w:space="0" w:color="auto"/>
            </w:tcBorders>
            <w:shd w:val="clear" w:color="auto" w:fill="auto"/>
            <w:vAlign w:val="center"/>
          </w:tcPr>
          <w:p w14:paraId="3907662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6BE5F68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06. 2021</w:t>
            </w:r>
          </w:p>
        </w:tc>
        <w:tc>
          <w:tcPr>
            <w:tcW w:w="1874" w:type="dxa"/>
            <w:shd w:val="clear" w:color="auto" w:fill="auto"/>
          </w:tcPr>
          <w:p w14:paraId="702F5A27"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63A28486" w14:textId="11D1D586" w:rsidR="00120F79" w:rsidRPr="00C67480" w:rsidRDefault="000C5E00" w:rsidP="008833B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57512" w:rsidRPr="00C67480" w14:paraId="0F13D19D" w14:textId="77777777" w:rsidTr="00157512">
        <w:tc>
          <w:tcPr>
            <w:tcW w:w="2110" w:type="dxa"/>
            <w:shd w:val="clear" w:color="auto" w:fill="auto"/>
          </w:tcPr>
          <w:p w14:paraId="510862A9" w14:textId="48DB3068" w:rsidR="00157512" w:rsidRPr="00C67480" w:rsidRDefault="00157512" w:rsidP="008833B4">
            <w:pPr>
              <w:spacing w:after="0" w:line="240" w:lineRule="auto"/>
              <w:rPr>
                <w:rFonts w:cs="Calibri"/>
                <w:color w:val="000000"/>
              </w:rPr>
            </w:pPr>
            <w:r>
              <w:rPr>
                <w:rFonts w:cs="Calibri"/>
                <w:color w:val="000000"/>
              </w:rPr>
              <w:lastRenderedPageBreak/>
              <w:t>Podpisanie umowy z wykonawca usług digitalizacji dokumentacji fotograficznej (2D)</w:t>
            </w:r>
          </w:p>
        </w:tc>
        <w:tc>
          <w:tcPr>
            <w:tcW w:w="1617" w:type="dxa"/>
            <w:tcBorders>
              <w:left w:val="single" w:sz="4" w:space="0" w:color="auto"/>
              <w:right w:val="single" w:sz="4" w:space="0" w:color="auto"/>
            </w:tcBorders>
            <w:shd w:val="clear" w:color="auto" w:fill="auto"/>
            <w:vAlign w:val="center"/>
          </w:tcPr>
          <w:p w14:paraId="49BDD672" w14:textId="56A8E4B9"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wskaźników</w:t>
            </w:r>
          </w:p>
        </w:tc>
        <w:tc>
          <w:tcPr>
            <w:tcW w:w="1306" w:type="dxa"/>
            <w:shd w:val="clear" w:color="auto" w:fill="auto"/>
          </w:tcPr>
          <w:p w14:paraId="12D8ABAF" w14:textId="3F53F25E"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06.2021</w:t>
            </w:r>
          </w:p>
        </w:tc>
        <w:tc>
          <w:tcPr>
            <w:tcW w:w="1874" w:type="dxa"/>
            <w:shd w:val="clear" w:color="auto" w:fill="auto"/>
          </w:tcPr>
          <w:p w14:paraId="1D3F0B01" w14:textId="77777777" w:rsidR="00157512" w:rsidRPr="00C67480" w:rsidRDefault="00157512" w:rsidP="008833B4">
            <w:pPr>
              <w:spacing w:after="0" w:line="240" w:lineRule="auto"/>
              <w:rPr>
                <w:rFonts w:ascii="Arial" w:hAnsi="Arial" w:cs="Arial"/>
                <w:color w:val="000000"/>
                <w:sz w:val="18"/>
                <w:szCs w:val="18"/>
              </w:rPr>
            </w:pPr>
          </w:p>
        </w:tc>
        <w:tc>
          <w:tcPr>
            <w:tcW w:w="2732" w:type="dxa"/>
            <w:shd w:val="clear" w:color="auto" w:fill="auto"/>
          </w:tcPr>
          <w:p w14:paraId="1695E235" w14:textId="75811C30"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Planowany</w:t>
            </w:r>
          </w:p>
        </w:tc>
      </w:tr>
      <w:tr w:rsidR="00157512" w:rsidRPr="00C67480" w14:paraId="651911A9" w14:textId="77777777" w:rsidTr="00157512">
        <w:tc>
          <w:tcPr>
            <w:tcW w:w="2110" w:type="dxa"/>
            <w:shd w:val="clear" w:color="auto" w:fill="auto"/>
          </w:tcPr>
          <w:p w14:paraId="06464259" w14:textId="22D56D17" w:rsidR="00157512" w:rsidRPr="00C67480" w:rsidRDefault="00157512" w:rsidP="008833B4">
            <w:pPr>
              <w:spacing w:after="0" w:line="240" w:lineRule="auto"/>
              <w:rPr>
                <w:rFonts w:cs="Calibri"/>
                <w:color w:val="000000"/>
              </w:rPr>
            </w:pPr>
            <w:r>
              <w:rPr>
                <w:rFonts w:cs="Calibri"/>
                <w:color w:val="000000"/>
              </w:rPr>
              <w:t>Podpisanie umowy z wykonawc</w:t>
            </w:r>
            <w:r w:rsidR="00B10058">
              <w:rPr>
                <w:rFonts w:cs="Calibri"/>
                <w:color w:val="000000"/>
              </w:rPr>
              <w:t>ą</w:t>
            </w:r>
            <w:r>
              <w:rPr>
                <w:rFonts w:cs="Calibri"/>
                <w:color w:val="000000"/>
              </w:rPr>
              <w:t xml:space="preserve"> usług digitalizacji 3D</w:t>
            </w:r>
          </w:p>
        </w:tc>
        <w:tc>
          <w:tcPr>
            <w:tcW w:w="1617" w:type="dxa"/>
            <w:tcBorders>
              <w:left w:val="single" w:sz="4" w:space="0" w:color="auto"/>
              <w:right w:val="single" w:sz="4" w:space="0" w:color="auto"/>
            </w:tcBorders>
            <w:shd w:val="clear" w:color="auto" w:fill="auto"/>
            <w:vAlign w:val="center"/>
          </w:tcPr>
          <w:p w14:paraId="506C0D8C" w14:textId="273C3A12"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wskaźników</w:t>
            </w:r>
          </w:p>
        </w:tc>
        <w:tc>
          <w:tcPr>
            <w:tcW w:w="1306" w:type="dxa"/>
            <w:shd w:val="clear" w:color="auto" w:fill="auto"/>
          </w:tcPr>
          <w:p w14:paraId="5C509D0F" w14:textId="64603115"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04.2021</w:t>
            </w:r>
          </w:p>
        </w:tc>
        <w:tc>
          <w:tcPr>
            <w:tcW w:w="1874" w:type="dxa"/>
            <w:shd w:val="clear" w:color="auto" w:fill="auto"/>
          </w:tcPr>
          <w:p w14:paraId="1BA62331" w14:textId="77777777" w:rsidR="00157512" w:rsidRPr="00C67480" w:rsidRDefault="00157512" w:rsidP="008833B4">
            <w:pPr>
              <w:spacing w:after="0" w:line="240" w:lineRule="auto"/>
              <w:rPr>
                <w:rFonts w:ascii="Arial" w:hAnsi="Arial" w:cs="Arial"/>
                <w:color w:val="000000"/>
                <w:sz w:val="18"/>
                <w:szCs w:val="18"/>
              </w:rPr>
            </w:pPr>
          </w:p>
        </w:tc>
        <w:tc>
          <w:tcPr>
            <w:tcW w:w="2732" w:type="dxa"/>
            <w:shd w:val="clear" w:color="auto" w:fill="auto"/>
          </w:tcPr>
          <w:p w14:paraId="4FA0C101" w14:textId="7098BE3B"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Planowany</w:t>
            </w:r>
          </w:p>
        </w:tc>
      </w:tr>
      <w:tr w:rsidR="00157512" w:rsidRPr="00C67480" w14:paraId="0B67142B" w14:textId="77777777" w:rsidTr="00120F79">
        <w:tc>
          <w:tcPr>
            <w:tcW w:w="2110" w:type="dxa"/>
            <w:shd w:val="clear" w:color="auto" w:fill="auto"/>
          </w:tcPr>
          <w:p w14:paraId="048C6A69" w14:textId="6B97B24E" w:rsidR="00157512" w:rsidRPr="00C67480" w:rsidRDefault="00157512" w:rsidP="008833B4">
            <w:pPr>
              <w:spacing w:after="0" w:line="240" w:lineRule="auto"/>
              <w:rPr>
                <w:rFonts w:cs="Calibri"/>
                <w:color w:val="000000"/>
              </w:rPr>
            </w:pPr>
            <w:r>
              <w:rPr>
                <w:rFonts w:cs="Calibri"/>
                <w:color w:val="000000"/>
              </w:rPr>
              <w:t>Uruchomienie pracowni digitalizacyjnej w NID</w:t>
            </w:r>
          </w:p>
        </w:tc>
        <w:tc>
          <w:tcPr>
            <w:tcW w:w="1617" w:type="dxa"/>
            <w:tcBorders>
              <w:left w:val="single" w:sz="4" w:space="0" w:color="auto"/>
              <w:bottom w:val="single" w:sz="4" w:space="0" w:color="auto"/>
              <w:right w:val="single" w:sz="4" w:space="0" w:color="auto"/>
            </w:tcBorders>
            <w:shd w:val="clear" w:color="auto" w:fill="auto"/>
            <w:vAlign w:val="center"/>
          </w:tcPr>
          <w:p w14:paraId="19DB0268" w14:textId="05DD3AA1"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w:t>
            </w:r>
            <w:r w:rsidR="00845C28">
              <w:rPr>
                <w:rFonts w:ascii="Arial" w:hAnsi="Arial" w:cs="Arial"/>
                <w:color w:val="000000"/>
                <w:sz w:val="18"/>
                <w:szCs w:val="18"/>
              </w:rPr>
              <w:t>ź</w:t>
            </w:r>
            <w:r>
              <w:rPr>
                <w:rFonts w:ascii="Arial" w:hAnsi="Arial" w:cs="Arial"/>
                <w:color w:val="000000"/>
                <w:sz w:val="18"/>
                <w:szCs w:val="18"/>
              </w:rPr>
              <w:t>ników</w:t>
            </w:r>
          </w:p>
        </w:tc>
        <w:tc>
          <w:tcPr>
            <w:tcW w:w="1306" w:type="dxa"/>
            <w:shd w:val="clear" w:color="auto" w:fill="auto"/>
          </w:tcPr>
          <w:p w14:paraId="01F81578" w14:textId="131ED5B6"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07.2021</w:t>
            </w:r>
          </w:p>
        </w:tc>
        <w:tc>
          <w:tcPr>
            <w:tcW w:w="1874" w:type="dxa"/>
            <w:shd w:val="clear" w:color="auto" w:fill="auto"/>
          </w:tcPr>
          <w:p w14:paraId="255C4D39" w14:textId="77777777" w:rsidR="00157512" w:rsidRPr="00C67480" w:rsidRDefault="00157512" w:rsidP="008833B4">
            <w:pPr>
              <w:spacing w:after="0" w:line="240" w:lineRule="auto"/>
              <w:rPr>
                <w:rFonts w:ascii="Arial" w:hAnsi="Arial" w:cs="Arial"/>
                <w:color w:val="000000"/>
                <w:sz w:val="18"/>
                <w:szCs w:val="18"/>
              </w:rPr>
            </w:pPr>
          </w:p>
        </w:tc>
        <w:tc>
          <w:tcPr>
            <w:tcW w:w="2732" w:type="dxa"/>
            <w:shd w:val="clear" w:color="auto" w:fill="auto"/>
          </w:tcPr>
          <w:p w14:paraId="610B5920" w14:textId="181D730F"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5"/>
        <w:gridCol w:w="1278"/>
        <w:gridCol w:w="1842"/>
        <w:gridCol w:w="1701"/>
        <w:gridCol w:w="2268"/>
      </w:tblGrid>
      <w:tr w:rsidR="007549AD" w:rsidRPr="00C67480" w14:paraId="34992E65" w14:textId="77777777" w:rsidTr="007549AD">
        <w:trPr>
          <w:tblHeader/>
        </w:trPr>
        <w:tc>
          <w:tcPr>
            <w:tcW w:w="2545" w:type="dxa"/>
            <w:shd w:val="clear" w:color="auto" w:fill="D0CECE"/>
            <w:vAlign w:val="center"/>
          </w:tcPr>
          <w:p w14:paraId="2C15E7E6"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w:t>
            </w:r>
          </w:p>
        </w:tc>
        <w:tc>
          <w:tcPr>
            <w:tcW w:w="1278" w:type="dxa"/>
            <w:shd w:val="clear" w:color="auto" w:fill="D0CECE"/>
            <w:vAlign w:val="center"/>
          </w:tcPr>
          <w:p w14:paraId="5F6E22E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Jedn. miary</w:t>
            </w:r>
          </w:p>
        </w:tc>
        <w:tc>
          <w:tcPr>
            <w:tcW w:w="1842" w:type="dxa"/>
            <w:shd w:val="clear" w:color="auto" w:fill="D0CECE"/>
            <w:vAlign w:val="center"/>
          </w:tcPr>
          <w:p w14:paraId="1F3E6C56"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 xml:space="preserve">Wartość </w:t>
            </w:r>
          </w:p>
          <w:p w14:paraId="38CEE65A"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docelowa</w:t>
            </w:r>
          </w:p>
        </w:tc>
        <w:tc>
          <w:tcPr>
            <w:tcW w:w="1701" w:type="dxa"/>
            <w:shd w:val="clear" w:color="auto" w:fill="D0CECE"/>
            <w:vAlign w:val="center"/>
          </w:tcPr>
          <w:p w14:paraId="7467CCA1"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Planowany termin osiągnięcia</w:t>
            </w:r>
          </w:p>
        </w:tc>
        <w:tc>
          <w:tcPr>
            <w:tcW w:w="2268" w:type="dxa"/>
            <w:shd w:val="clear" w:color="auto" w:fill="D0CECE"/>
            <w:vAlign w:val="center"/>
          </w:tcPr>
          <w:p w14:paraId="4D2236B2"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Wartość osiągnięta od początku realizacji projektu (narastająco)</w:t>
            </w:r>
          </w:p>
        </w:tc>
      </w:tr>
      <w:tr w:rsidR="007549AD" w:rsidRPr="00C67480" w14:paraId="7974CD6F" w14:textId="77777777" w:rsidTr="007549AD">
        <w:trPr>
          <w:trHeight w:val="615"/>
        </w:trPr>
        <w:tc>
          <w:tcPr>
            <w:tcW w:w="2545" w:type="dxa"/>
            <w:shd w:val="clear" w:color="auto" w:fill="auto"/>
          </w:tcPr>
          <w:p w14:paraId="7395A976"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baz danych udostępnionych on-line poprzez API</w:t>
            </w:r>
          </w:p>
        </w:tc>
        <w:tc>
          <w:tcPr>
            <w:tcW w:w="1278" w:type="dxa"/>
            <w:shd w:val="clear" w:color="auto" w:fill="auto"/>
          </w:tcPr>
          <w:p w14:paraId="4F930CBA"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575C14F5"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3</w:t>
            </w:r>
          </w:p>
        </w:tc>
        <w:tc>
          <w:tcPr>
            <w:tcW w:w="1701" w:type="dxa"/>
            <w:shd w:val="clear" w:color="auto" w:fill="auto"/>
          </w:tcPr>
          <w:p w14:paraId="029CEF99"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01.2022</w:t>
            </w:r>
          </w:p>
        </w:tc>
        <w:tc>
          <w:tcPr>
            <w:tcW w:w="2268" w:type="dxa"/>
            <w:shd w:val="clear" w:color="auto" w:fill="auto"/>
          </w:tcPr>
          <w:p w14:paraId="59A065F8"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5989925E" w14:textId="77777777" w:rsidTr="007549AD">
        <w:trPr>
          <w:trHeight w:val="555"/>
        </w:trPr>
        <w:tc>
          <w:tcPr>
            <w:tcW w:w="2545" w:type="dxa"/>
            <w:shd w:val="clear" w:color="auto" w:fill="auto"/>
          </w:tcPr>
          <w:p w14:paraId="10FA1336"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podmiotów, które udostępniły on-line informacje sektora publicznego</w:t>
            </w:r>
          </w:p>
        </w:tc>
        <w:tc>
          <w:tcPr>
            <w:tcW w:w="1278" w:type="dxa"/>
            <w:shd w:val="clear" w:color="auto" w:fill="auto"/>
          </w:tcPr>
          <w:p w14:paraId="64BFCA11"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2CB7EB0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1</w:t>
            </w:r>
          </w:p>
        </w:tc>
        <w:tc>
          <w:tcPr>
            <w:tcW w:w="1701" w:type="dxa"/>
            <w:shd w:val="clear" w:color="auto" w:fill="auto"/>
          </w:tcPr>
          <w:p w14:paraId="26BF76BB"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01.2022</w:t>
            </w:r>
          </w:p>
        </w:tc>
        <w:tc>
          <w:tcPr>
            <w:tcW w:w="2268" w:type="dxa"/>
            <w:shd w:val="clear" w:color="auto" w:fill="auto"/>
          </w:tcPr>
          <w:p w14:paraId="1A3AB6F5"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0BC24085" w14:textId="77777777" w:rsidTr="007549AD">
        <w:tc>
          <w:tcPr>
            <w:tcW w:w="2545" w:type="dxa"/>
            <w:shd w:val="clear" w:color="auto" w:fill="auto"/>
          </w:tcPr>
          <w:p w14:paraId="0DC1174A"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udostępnionych on-line dokumentów zawierających informacje sektora publicznego</w:t>
            </w:r>
          </w:p>
        </w:tc>
        <w:tc>
          <w:tcPr>
            <w:tcW w:w="1278" w:type="dxa"/>
            <w:shd w:val="clear" w:color="auto" w:fill="auto"/>
          </w:tcPr>
          <w:p w14:paraId="43A71E04"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7D3758C4" w14:textId="20F95976" w:rsidR="007549AD" w:rsidRPr="00C67480" w:rsidRDefault="00157512" w:rsidP="008833B4">
            <w:pPr>
              <w:spacing w:after="0" w:line="240" w:lineRule="auto"/>
              <w:rPr>
                <w:rFonts w:ascii="Arial" w:hAnsi="Arial" w:cs="Arial"/>
                <w:sz w:val="18"/>
                <w:szCs w:val="18"/>
              </w:rPr>
            </w:pPr>
            <w:r>
              <w:rPr>
                <w:rFonts w:ascii="Arial" w:hAnsi="Arial" w:cs="Arial"/>
                <w:sz w:val="18"/>
                <w:szCs w:val="18"/>
              </w:rPr>
              <w:t>1 308 409</w:t>
            </w:r>
          </w:p>
        </w:tc>
        <w:tc>
          <w:tcPr>
            <w:tcW w:w="1701" w:type="dxa"/>
            <w:shd w:val="clear" w:color="auto" w:fill="auto"/>
          </w:tcPr>
          <w:p w14:paraId="4F5544D3" w14:textId="18E9D0DC" w:rsidR="007549AD" w:rsidRPr="00C67480" w:rsidRDefault="00D9367E" w:rsidP="008833B4">
            <w:pPr>
              <w:spacing w:after="0" w:line="240" w:lineRule="auto"/>
              <w:rPr>
                <w:rFonts w:ascii="Arial" w:hAnsi="Arial" w:cs="Arial"/>
                <w:sz w:val="18"/>
                <w:szCs w:val="18"/>
                <w:lang w:eastAsia="pl-PL"/>
              </w:rPr>
            </w:pPr>
            <w:r w:rsidRPr="00C67480">
              <w:rPr>
                <w:rFonts w:ascii="Arial" w:hAnsi="Arial" w:cs="Arial"/>
                <w:sz w:val="18"/>
                <w:szCs w:val="18"/>
              </w:rPr>
              <w:t>0</w:t>
            </w:r>
            <w:r>
              <w:rPr>
                <w:rFonts w:ascii="Arial" w:hAnsi="Arial" w:cs="Arial"/>
                <w:sz w:val="18"/>
                <w:szCs w:val="18"/>
              </w:rPr>
              <w:t>4</w:t>
            </w:r>
            <w:r w:rsidR="007549AD" w:rsidRPr="00C67480">
              <w:rPr>
                <w:rFonts w:ascii="Arial" w:hAnsi="Arial" w:cs="Arial"/>
                <w:sz w:val="18"/>
                <w:szCs w:val="18"/>
              </w:rPr>
              <w:t>.2022</w:t>
            </w:r>
          </w:p>
        </w:tc>
        <w:tc>
          <w:tcPr>
            <w:tcW w:w="2268" w:type="dxa"/>
            <w:shd w:val="clear" w:color="auto" w:fill="auto"/>
          </w:tcPr>
          <w:p w14:paraId="153E229B"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00AF8BE5" w14:textId="77777777" w:rsidTr="007549AD">
        <w:tc>
          <w:tcPr>
            <w:tcW w:w="2545" w:type="dxa"/>
            <w:shd w:val="clear" w:color="auto" w:fill="auto"/>
          </w:tcPr>
          <w:p w14:paraId="3631E83D"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utworzonych API</w:t>
            </w:r>
          </w:p>
        </w:tc>
        <w:tc>
          <w:tcPr>
            <w:tcW w:w="1278" w:type="dxa"/>
            <w:shd w:val="clear" w:color="auto" w:fill="auto"/>
          </w:tcPr>
          <w:p w14:paraId="33A72F4C"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2FCE46DC"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1</w:t>
            </w:r>
          </w:p>
        </w:tc>
        <w:tc>
          <w:tcPr>
            <w:tcW w:w="1701" w:type="dxa"/>
            <w:shd w:val="clear" w:color="auto" w:fill="auto"/>
          </w:tcPr>
          <w:p w14:paraId="17812E01"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01.2022</w:t>
            </w:r>
          </w:p>
        </w:tc>
        <w:tc>
          <w:tcPr>
            <w:tcW w:w="2268" w:type="dxa"/>
            <w:shd w:val="clear" w:color="auto" w:fill="auto"/>
          </w:tcPr>
          <w:p w14:paraId="51CEAC29"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768696FF" w14:textId="77777777" w:rsidTr="007549AD">
        <w:tc>
          <w:tcPr>
            <w:tcW w:w="2545" w:type="dxa"/>
            <w:shd w:val="clear" w:color="auto" w:fill="auto"/>
          </w:tcPr>
          <w:p w14:paraId="6996925A"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zdigitalizowanych dokumentów zawierających informacje sektora publicznego</w:t>
            </w:r>
          </w:p>
        </w:tc>
        <w:tc>
          <w:tcPr>
            <w:tcW w:w="1278" w:type="dxa"/>
            <w:shd w:val="clear" w:color="auto" w:fill="auto"/>
          </w:tcPr>
          <w:p w14:paraId="50796F7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5DB54B2B" w14:textId="5CFE409B" w:rsidR="007549AD" w:rsidRPr="00C67480" w:rsidRDefault="00157512" w:rsidP="008833B4">
            <w:pPr>
              <w:spacing w:after="0" w:line="240" w:lineRule="auto"/>
              <w:rPr>
                <w:rFonts w:ascii="Arial" w:hAnsi="Arial" w:cs="Arial"/>
                <w:sz w:val="18"/>
                <w:szCs w:val="18"/>
              </w:rPr>
            </w:pPr>
            <w:r>
              <w:rPr>
                <w:rFonts w:ascii="Arial" w:hAnsi="Arial" w:cs="Arial"/>
                <w:sz w:val="18"/>
                <w:szCs w:val="18"/>
              </w:rPr>
              <w:t>1 308 409</w:t>
            </w:r>
          </w:p>
        </w:tc>
        <w:tc>
          <w:tcPr>
            <w:tcW w:w="1701" w:type="dxa"/>
            <w:shd w:val="clear" w:color="auto" w:fill="auto"/>
          </w:tcPr>
          <w:p w14:paraId="0F1199E6" w14:textId="210150BE"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w:t>
            </w:r>
            <w:r w:rsidR="00D9367E">
              <w:rPr>
                <w:rFonts w:ascii="Arial" w:hAnsi="Arial" w:cs="Arial"/>
                <w:sz w:val="18"/>
                <w:szCs w:val="18"/>
              </w:rPr>
              <w:t>4</w:t>
            </w:r>
            <w:r w:rsidRPr="00C67480">
              <w:rPr>
                <w:rFonts w:ascii="Arial" w:hAnsi="Arial" w:cs="Arial"/>
                <w:sz w:val="18"/>
                <w:szCs w:val="18"/>
              </w:rPr>
              <w:t>.2022</w:t>
            </w:r>
          </w:p>
        </w:tc>
        <w:tc>
          <w:tcPr>
            <w:tcW w:w="2268" w:type="dxa"/>
            <w:shd w:val="clear" w:color="auto" w:fill="auto"/>
          </w:tcPr>
          <w:p w14:paraId="3149C7E6" w14:textId="2DC1BC2B" w:rsidR="007549AD" w:rsidRPr="00C67480" w:rsidRDefault="000E1F10" w:rsidP="008833B4">
            <w:pPr>
              <w:spacing w:after="0" w:line="240" w:lineRule="auto"/>
              <w:rPr>
                <w:rFonts w:ascii="Arial" w:hAnsi="Arial" w:cs="Arial"/>
                <w:sz w:val="18"/>
                <w:szCs w:val="20"/>
              </w:rPr>
            </w:pPr>
            <w:r>
              <w:rPr>
                <w:rFonts w:ascii="Arial" w:hAnsi="Arial" w:cs="Arial"/>
                <w:sz w:val="18"/>
                <w:szCs w:val="20"/>
              </w:rPr>
              <w:t>624 642</w:t>
            </w:r>
          </w:p>
        </w:tc>
      </w:tr>
      <w:tr w:rsidR="007549AD" w:rsidRPr="00C67480" w14:paraId="267BD582" w14:textId="77777777" w:rsidTr="007549AD">
        <w:tc>
          <w:tcPr>
            <w:tcW w:w="2545" w:type="dxa"/>
            <w:shd w:val="clear" w:color="auto" w:fill="auto"/>
          </w:tcPr>
          <w:p w14:paraId="245BA9AD"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Rozmiar udostępnionych on-line informacji sektora publicznego</w:t>
            </w:r>
          </w:p>
        </w:tc>
        <w:tc>
          <w:tcPr>
            <w:tcW w:w="1278" w:type="dxa"/>
            <w:shd w:val="clear" w:color="auto" w:fill="auto"/>
          </w:tcPr>
          <w:p w14:paraId="6B89213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TB</w:t>
            </w:r>
          </w:p>
        </w:tc>
        <w:tc>
          <w:tcPr>
            <w:tcW w:w="1842" w:type="dxa"/>
            <w:shd w:val="clear" w:color="auto" w:fill="auto"/>
          </w:tcPr>
          <w:p w14:paraId="06CB62B8" w14:textId="27D46AC0" w:rsidR="007549AD" w:rsidRPr="00C67480" w:rsidRDefault="00D9367E" w:rsidP="008833B4">
            <w:pPr>
              <w:spacing w:after="0" w:line="240" w:lineRule="auto"/>
              <w:rPr>
                <w:rFonts w:ascii="Arial" w:hAnsi="Arial" w:cs="Arial"/>
                <w:sz w:val="18"/>
                <w:szCs w:val="18"/>
              </w:rPr>
            </w:pPr>
            <w:r>
              <w:rPr>
                <w:rFonts w:ascii="Arial" w:hAnsi="Arial" w:cs="Arial"/>
                <w:sz w:val="18"/>
                <w:szCs w:val="18"/>
              </w:rPr>
              <w:t>150</w:t>
            </w:r>
          </w:p>
        </w:tc>
        <w:tc>
          <w:tcPr>
            <w:tcW w:w="1701" w:type="dxa"/>
            <w:shd w:val="clear" w:color="auto" w:fill="auto"/>
          </w:tcPr>
          <w:p w14:paraId="4396E185" w14:textId="1B101A2C"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w:t>
            </w:r>
            <w:r w:rsidR="00D9367E">
              <w:rPr>
                <w:rFonts w:ascii="Arial" w:hAnsi="Arial" w:cs="Arial"/>
                <w:sz w:val="18"/>
                <w:szCs w:val="18"/>
              </w:rPr>
              <w:t>4</w:t>
            </w:r>
            <w:r w:rsidRPr="00C67480">
              <w:rPr>
                <w:rFonts w:ascii="Arial" w:hAnsi="Arial" w:cs="Arial"/>
                <w:sz w:val="18"/>
                <w:szCs w:val="18"/>
              </w:rPr>
              <w:t>.2022</w:t>
            </w:r>
          </w:p>
        </w:tc>
        <w:tc>
          <w:tcPr>
            <w:tcW w:w="2268" w:type="dxa"/>
            <w:shd w:val="clear" w:color="auto" w:fill="auto"/>
          </w:tcPr>
          <w:p w14:paraId="0E567965"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30CFB50A" w14:textId="77777777" w:rsidTr="007549AD">
        <w:tc>
          <w:tcPr>
            <w:tcW w:w="2545" w:type="dxa"/>
            <w:shd w:val="clear" w:color="auto" w:fill="auto"/>
          </w:tcPr>
          <w:p w14:paraId="77BAB071"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 xml:space="preserve">Rozmiar </w:t>
            </w:r>
            <w:proofErr w:type="spellStart"/>
            <w:r w:rsidRPr="00C67480">
              <w:rPr>
                <w:rFonts w:ascii="Arial" w:hAnsi="Arial" w:cs="Arial"/>
                <w:color w:val="000000"/>
                <w:sz w:val="18"/>
                <w:szCs w:val="18"/>
                <w:lang w:eastAsia="pl-PL"/>
              </w:rPr>
              <w:t>zdigitalizowanej</w:t>
            </w:r>
            <w:proofErr w:type="spellEnd"/>
            <w:r w:rsidRPr="00C67480">
              <w:rPr>
                <w:rFonts w:ascii="Arial" w:hAnsi="Arial" w:cs="Arial"/>
                <w:color w:val="000000"/>
                <w:sz w:val="18"/>
                <w:szCs w:val="18"/>
                <w:lang w:eastAsia="pl-PL"/>
              </w:rPr>
              <w:t xml:space="preserve"> informacji sektora publicznego</w:t>
            </w:r>
          </w:p>
        </w:tc>
        <w:tc>
          <w:tcPr>
            <w:tcW w:w="1278" w:type="dxa"/>
            <w:shd w:val="clear" w:color="auto" w:fill="auto"/>
          </w:tcPr>
          <w:p w14:paraId="500FE58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TB</w:t>
            </w:r>
          </w:p>
        </w:tc>
        <w:tc>
          <w:tcPr>
            <w:tcW w:w="1842" w:type="dxa"/>
            <w:shd w:val="clear" w:color="auto" w:fill="auto"/>
          </w:tcPr>
          <w:p w14:paraId="0CE60780" w14:textId="53C8DC54" w:rsidR="007549AD" w:rsidRPr="00C67480" w:rsidRDefault="00D9367E" w:rsidP="008833B4">
            <w:pPr>
              <w:spacing w:after="0" w:line="240" w:lineRule="auto"/>
              <w:rPr>
                <w:rFonts w:ascii="Arial" w:hAnsi="Arial" w:cs="Arial"/>
                <w:color w:val="000000"/>
                <w:sz w:val="18"/>
                <w:szCs w:val="18"/>
              </w:rPr>
            </w:pPr>
            <w:r>
              <w:rPr>
                <w:rFonts w:ascii="Arial" w:hAnsi="Arial" w:cs="Arial"/>
                <w:color w:val="000000"/>
                <w:sz w:val="18"/>
                <w:szCs w:val="18"/>
              </w:rPr>
              <w:t>150</w:t>
            </w:r>
          </w:p>
        </w:tc>
        <w:tc>
          <w:tcPr>
            <w:tcW w:w="1701" w:type="dxa"/>
            <w:shd w:val="clear" w:color="auto" w:fill="auto"/>
          </w:tcPr>
          <w:p w14:paraId="6FBA7298" w14:textId="5BB97441" w:rsidR="007549AD" w:rsidRPr="00C67480" w:rsidRDefault="00D9367E"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rPr>
              <w:t>0</w:t>
            </w:r>
            <w:r>
              <w:rPr>
                <w:rFonts w:ascii="Arial" w:hAnsi="Arial" w:cs="Arial"/>
                <w:color w:val="000000"/>
                <w:sz w:val="18"/>
                <w:szCs w:val="18"/>
              </w:rPr>
              <w:t>4</w:t>
            </w:r>
            <w:r w:rsidR="007549AD" w:rsidRPr="00C67480">
              <w:rPr>
                <w:rFonts w:ascii="Arial" w:hAnsi="Arial" w:cs="Arial"/>
                <w:color w:val="000000"/>
                <w:sz w:val="18"/>
                <w:szCs w:val="18"/>
              </w:rPr>
              <w:t>.2022</w:t>
            </w:r>
          </w:p>
        </w:tc>
        <w:tc>
          <w:tcPr>
            <w:tcW w:w="2268" w:type="dxa"/>
            <w:shd w:val="clear" w:color="auto" w:fill="auto"/>
          </w:tcPr>
          <w:p w14:paraId="5ECB1ACB" w14:textId="4FFAF899" w:rsidR="007549AD" w:rsidRPr="00C67480" w:rsidRDefault="000E1F10" w:rsidP="008833B4">
            <w:pPr>
              <w:spacing w:after="0" w:line="240" w:lineRule="auto"/>
              <w:rPr>
                <w:rFonts w:ascii="Arial" w:hAnsi="Arial" w:cs="Arial"/>
                <w:color w:val="000000"/>
                <w:sz w:val="18"/>
                <w:szCs w:val="20"/>
              </w:rPr>
            </w:pPr>
            <w:r>
              <w:rPr>
                <w:rFonts w:ascii="Arial" w:hAnsi="Arial" w:cs="Arial"/>
                <w:color w:val="000000"/>
                <w:sz w:val="18"/>
                <w:szCs w:val="20"/>
              </w:rPr>
              <w:t>49,3</w:t>
            </w:r>
          </w:p>
        </w:tc>
      </w:tr>
      <w:tr w:rsidR="007549AD" w:rsidRPr="00C67480" w14:paraId="10B4CF67" w14:textId="77777777" w:rsidTr="007549AD">
        <w:tc>
          <w:tcPr>
            <w:tcW w:w="2545" w:type="dxa"/>
            <w:shd w:val="clear" w:color="auto" w:fill="auto"/>
          </w:tcPr>
          <w:p w14:paraId="2B610B90"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Liczba pobrań/odtworzeń dokumentów zawierających informacje sektora publicznego.</w:t>
            </w:r>
          </w:p>
        </w:tc>
        <w:tc>
          <w:tcPr>
            <w:tcW w:w="1278" w:type="dxa"/>
            <w:shd w:val="clear" w:color="auto" w:fill="auto"/>
          </w:tcPr>
          <w:p w14:paraId="45055F5D"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szt./rok</w:t>
            </w:r>
          </w:p>
          <w:p w14:paraId="7A285AA2" w14:textId="77777777" w:rsidR="007549AD" w:rsidRPr="00C67480" w:rsidRDefault="007549AD" w:rsidP="008833B4">
            <w:pPr>
              <w:spacing w:after="0" w:line="240" w:lineRule="auto"/>
              <w:rPr>
                <w:rFonts w:ascii="Arial" w:hAnsi="Arial" w:cs="Arial"/>
                <w:color w:val="000000"/>
                <w:sz w:val="18"/>
                <w:szCs w:val="18"/>
              </w:rPr>
            </w:pPr>
          </w:p>
          <w:p w14:paraId="7929EF9C" w14:textId="77777777" w:rsidR="007549AD" w:rsidRPr="00C67480" w:rsidRDefault="007549AD" w:rsidP="008833B4">
            <w:pPr>
              <w:spacing w:after="0" w:line="240" w:lineRule="auto"/>
              <w:rPr>
                <w:rFonts w:ascii="Arial" w:hAnsi="Arial" w:cs="Arial"/>
                <w:color w:val="000000"/>
                <w:sz w:val="18"/>
                <w:szCs w:val="18"/>
              </w:rPr>
            </w:pPr>
          </w:p>
        </w:tc>
        <w:tc>
          <w:tcPr>
            <w:tcW w:w="1842" w:type="dxa"/>
            <w:shd w:val="clear" w:color="auto" w:fill="auto"/>
          </w:tcPr>
          <w:p w14:paraId="58DA3020"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650 000</w:t>
            </w:r>
          </w:p>
          <w:p w14:paraId="45753097" w14:textId="77777777" w:rsidR="007549AD" w:rsidRPr="00C67480" w:rsidRDefault="007549AD" w:rsidP="008833B4">
            <w:pPr>
              <w:spacing w:after="0" w:line="240" w:lineRule="auto"/>
              <w:rPr>
                <w:rFonts w:ascii="Arial" w:hAnsi="Arial" w:cs="Arial"/>
                <w:color w:val="000000"/>
                <w:sz w:val="18"/>
                <w:szCs w:val="18"/>
              </w:rPr>
            </w:pPr>
          </w:p>
          <w:p w14:paraId="3BD5D916" w14:textId="77777777" w:rsidR="007549AD" w:rsidRPr="00C67480" w:rsidRDefault="007549AD" w:rsidP="008833B4">
            <w:pPr>
              <w:spacing w:after="0" w:line="240" w:lineRule="auto"/>
              <w:rPr>
                <w:rFonts w:ascii="Arial" w:hAnsi="Arial" w:cs="Arial"/>
                <w:color w:val="000000"/>
                <w:sz w:val="18"/>
                <w:szCs w:val="18"/>
              </w:rPr>
            </w:pPr>
          </w:p>
          <w:p w14:paraId="15F5FEBB" w14:textId="77777777" w:rsidR="007549AD" w:rsidRPr="00C67480" w:rsidRDefault="007549AD" w:rsidP="008833B4">
            <w:pPr>
              <w:spacing w:after="0" w:line="240" w:lineRule="auto"/>
              <w:rPr>
                <w:rFonts w:ascii="Arial" w:hAnsi="Arial" w:cs="Arial"/>
                <w:color w:val="000000"/>
                <w:sz w:val="18"/>
                <w:szCs w:val="18"/>
              </w:rPr>
            </w:pPr>
          </w:p>
        </w:tc>
        <w:tc>
          <w:tcPr>
            <w:tcW w:w="1701" w:type="dxa"/>
            <w:shd w:val="clear" w:color="auto" w:fill="auto"/>
          </w:tcPr>
          <w:p w14:paraId="193A0854" w14:textId="77777777" w:rsidR="007549AD" w:rsidRPr="00C67480" w:rsidRDefault="007549AD"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01. 2023</w:t>
            </w:r>
          </w:p>
          <w:p w14:paraId="625E416D" w14:textId="77777777" w:rsidR="007549AD" w:rsidRPr="00C67480" w:rsidRDefault="007549AD" w:rsidP="008833B4">
            <w:pPr>
              <w:spacing w:after="0" w:line="240" w:lineRule="auto"/>
              <w:rPr>
                <w:rFonts w:ascii="Arial" w:hAnsi="Arial" w:cs="Arial"/>
                <w:color w:val="000000"/>
                <w:sz w:val="18"/>
                <w:szCs w:val="18"/>
                <w:lang w:eastAsia="pl-PL"/>
              </w:rPr>
            </w:pPr>
          </w:p>
          <w:p w14:paraId="5500D44E" w14:textId="77777777" w:rsidR="007549AD" w:rsidRPr="00C67480" w:rsidRDefault="007549AD" w:rsidP="008833B4">
            <w:pPr>
              <w:spacing w:after="0" w:line="240" w:lineRule="auto"/>
              <w:rPr>
                <w:rFonts w:ascii="Arial" w:hAnsi="Arial" w:cs="Arial"/>
                <w:color w:val="000000"/>
                <w:sz w:val="18"/>
                <w:szCs w:val="18"/>
                <w:lang w:eastAsia="pl-PL"/>
              </w:rPr>
            </w:pPr>
          </w:p>
          <w:p w14:paraId="1BDD88C8" w14:textId="77777777" w:rsidR="007549AD" w:rsidRPr="00C67480" w:rsidRDefault="007549AD" w:rsidP="008833B4">
            <w:pPr>
              <w:spacing w:after="0" w:line="240" w:lineRule="auto"/>
              <w:rPr>
                <w:rFonts w:ascii="Arial" w:hAnsi="Arial" w:cs="Arial"/>
                <w:color w:val="000000"/>
                <w:sz w:val="18"/>
                <w:szCs w:val="18"/>
                <w:lang w:eastAsia="pl-PL"/>
              </w:rPr>
            </w:pPr>
          </w:p>
        </w:tc>
        <w:tc>
          <w:tcPr>
            <w:tcW w:w="2268" w:type="dxa"/>
            <w:shd w:val="clear" w:color="auto" w:fill="auto"/>
          </w:tcPr>
          <w:p w14:paraId="1CD52F55"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0</w:t>
            </w:r>
          </w:p>
          <w:p w14:paraId="39859F14" w14:textId="77777777" w:rsidR="007549AD" w:rsidRPr="00C67480" w:rsidRDefault="007549AD" w:rsidP="008833B4">
            <w:pPr>
              <w:spacing w:after="0" w:line="240" w:lineRule="auto"/>
              <w:rPr>
                <w:rFonts w:ascii="Arial" w:hAnsi="Arial" w:cs="Arial"/>
                <w:color w:val="000000"/>
                <w:sz w:val="18"/>
                <w:szCs w:val="20"/>
              </w:rPr>
            </w:pPr>
          </w:p>
          <w:p w14:paraId="56349BE1" w14:textId="77777777" w:rsidR="007549AD" w:rsidRPr="00C67480" w:rsidRDefault="007549AD" w:rsidP="008833B4">
            <w:pPr>
              <w:spacing w:after="0" w:line="240" w:lineRule="auto"/>
              <w:rPr>
                <w:rFonts w:ascii="Arial" w:hAnsi="Arial" w:cs="Arial"/>
                <w:color w:val="000000"/>
                <w:sz w:val="18"/>
                <w:szCs w:val="20"/>
              </w:rPr>
            </w:pPr>
          </w:p>
          <w:p w14:paraId="3B4CE9DE" w14:textId="77777777" w:rsidR="007549AD" w:rsidRPr="00C67480" w:rsidRDefault="007549AD" w:rsidP="008833B4">
            <w:pPr>
              <w:spacing w:after="0" w:line="240" w:lineRule="auto"/>
              <w:rPr>
                <w:rFonts w:ascii="Arial" w:hAnsi="Arial" w:cs="Arial"/>
                <w:color w:val="000000"/>
                <w:sz w:val="18"/>
                <w:szCs w:val="20"/>
              </w:rPr>
            </w:pPr>
          </w:p>
        </w:tc>
      </w:tr>
      <w:tr w:rsidR="007549AD" w:rsidRPr="00C67480" w14:paraId="4A29C7C1" w14:textId="77777777" w:rsidTr="007549AD">
        <w:tc>
          <w:tcPr>
            <w:tcW w:w="2545" w:type="dxa"/>
            <w:shd w:val="clear" w:color="auto" w:fill="auto"/>
          </w:tcPr>
          <w:p w14:paraId="03856F86"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Liczba wygenerowanych kluczy API</w:t>
            </w:r>
          </w:p>
        </w:tc>
        <w:tc>
          <w:tcPr>
            <w:tcW w:w="1278" w:type="dxa"/>
            <w:shd w:val="clear" w:color="auto" w:fill="auto"/>
          </w:tcPr>
          <w:p w14:paraId="311417A3"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szt.</w:t>
            </w:r>
          </w:p>
        </w:tc>
        <w:tc>
          <w:tcPr>
            <w:tcW w:w="1842" w:type="dxa"/>
            <w:shd w:val="clear" w:color="auto" w:fill="auto"/>
          </w:tcPr>
          <w:p w14:paraId="6ADB854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17</w:t>
            </w:r>
          </w:p>
        </w:tc>
        <w:tc>
          <w:tcPr>
            <w:tcW w:w="1701" w:type="dxa"/>
            <w:shd w:val="clear" w:color="auto" w:fill="auto"/>
          </w:tcPr>
          <w:p w14:paraId="0294F66C" w14:textId="77777777" w:rsidR="007549AD" w:rsidRPr="00C67480" w:rsidRDefault="007549AD"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01. 2023</w:t>
            </w:r>
          </w:p>
        </w:tc>
        <w:tc>
          <w:tcPr>
            <w:tcW w:w="2268" w:type="dxa"/>
            <w:shd w:val="clear" w:color="auto" w:fill="auto"/>
          </w:tcPr>
          <w:p w14:paraId="27BE4A01"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lastRenderedPageBreak/>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0"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0"/>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517F12">
        <w:tc>
          <w:tcPr>
            <w:tcW w:w="2937" w:type="dxa"/>
          </w:tcPr>
          <w:p w14:paraId="21262D83" w14:textId="67CF2A3E"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p>
        </w:tc>
        <w:tc>
          <w:tcPr>
            <w:tcW w:w="1169" w:type="dxa"/>
          </w:tcPr>
          <w:p w14:paraId="6AACC774" w14:textId="09B6F1F5" w:rsidR="007D38BD" w:rsidRPr="007549AD" w:rsidRDefault="007549AD" w:rsidP="00C1106C">
            <w:pPr>
              <w:ind w:left="44"/>
              <w:rPr>
                <w:rFonts w:ascii="Arial" w:hAnsi="Arial" w:cs="Arial"/>
                <w:color w:val="000000" w:themeColor="text1"/>
                <w:sz w:val="18"/>
                <w:szCs w:val="20"/>
              </w:rPr>
            </w:pPr>
            <w:r>
              <w:rPr>
                <w:rFonts w:ascii="Arial" w:hAnsi="Arial" w:cs="Arial"/>
                <w:color w:val="000000" w:themeColor="text1"/>
                <w:sz w:val="18"/>
                <w:szCs w:val="20"/>
              </w:rPr>
              <w:t>NIE DOTYCZY</w:t>
            </w:r>
          </w:p>
          <w:p w14:paraId="016C9765" w14:textId="77777777" w:rsidR="007D38BD" w:rsidRPr="007549AD" w:rsidRDefault="007D38BD" w:rsidP="00C1106C">
            <w:pPr>
              <w:rPr>
                <w:rFonts w:ascii="Arial" w:hAnsi="Arial" w:cs="Arial"/>
                <w:color w:val="000000" w:themeColor="text1"/>
                <w:sz w:val="18"/>
                <w:szCs w:val="20"/>
              </w:rPr>
            </w:pPr>
          </w:p>
        </w:tc>
        <w:tc>
          <w:tcPr>
            <w:tcW w:w="1134" w:type="dxa"/>
          </w:tcPr>
          <w:p w14:paraId="3DF8A089" w14:textId="522B122C"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p>
        </w:tc>
        <w:tc>
          <w:tcPr>
            <w:tcW w:w="4394" w:type="dxa"/>
          </w:tcPr>
          <w:p w14:paraId="7DE99E5E" w14:textId="14316767"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r w:rsidRPr="007549AD">
              <w:rPr>
                <w:rFonts w:ascii="Arial" w:hAnsi="Arial" w:cs="Arial"/>
                <w:color w:val="000000" w:themeColor="text1"/>
                <w:sz w:val="18"/>
                <w:szCs w:val="20"/>
              </w:rPr>
              <w:t xml:space="preserve"> </w:t>
            </w: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1"/>
        <w:gridCol w:w="1261"/>
        <w:gridCol w:w="1395"/>
        <w:gridCol w:w="4137"/>
      </w:tblGrid>
      <w:tr w:rsidR="007549AD" w:rsidRPr="00C67480" w14:paraId="60E15740" w14:textId="77777777" w:rsidTr="007549AD">
        <w:trPr>
          <w:tblHeader/>
        </w:trPr>
        <w:tc>
          <w:tcPr>
            <w:tcW w:w="2841" w:type="dxa"/>
            <w:shd w:val="clear" w:color="auto" w:fill="D0CECE"/>
            <w:vAlign w:val="center"/>
          </w:tcPr>
          <w:p w14:paraId="78221798"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w:t>
            </w:r>
          </w:p>
        </w:tc>
        <w:tc>
          <w:tcPr>
            <w:tcW w:w="1261" w:type="dxa"/>
            <w:shd w:val="clear" w:color="auto" w:fill="D0CECE"/>
            <w:vAlign w:val="center"/>
          </w:tcPr>
          <w:p w14:paraId="4EF02232"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Planowana data wdrożenia</w:t>
            </w:r>
          </w:p>
        </w:tc>
        <w:tc>
          <w:tcPr>
            <w:tcW w:w="1395" w:type="dxa"/>
            <w:shd w:val="clear" w:color="auto" w:fill="D0CECE"/>
          </w:tcPr>
          <w:p w14:paraId="6D5CBB4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Rzeczywista data wdrożenia</w:t>
            </w:r>
          </w:p>
        </w:tc>
        <w:tc>
          <w:tcPr>
            <w:tcW w:w="4137" w:type="dxa"/>
            <w:shd w:val="clear" w:color="auto" w:fill="D0CECE"/>
            <w:vAlign w:val="center"/>
          </w:tcPr>
          <w:p w14:paraId="198A1200"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Opis zmian</w:t>
            </w:r>
          </w:p>
        </w:tc>
      </w:tr>
      <w:tr w:rsidR="007549AD" w:rsidRPr="00C67480" w14:paraId="72733BF5" w14:textId="77777777" w:rsidTr="007549AD">
        <w:tc>
          <w:tcPr>
            <w:tcW w:w="2841" w:type="dxa"/>
            <w:shd w:val="clear" w:color="auto" w:fill="auto"/>
          </w:tcPr>
          <w:p w14:paraId="3FDD1681"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ewidencji zabytków nieruchomych wraz z metadanymi w ilości 182 329 szt. (w tym: Karty Białe – KB; Karty Zielone – KZ; karty obiektu niewpisanego do ewidencji zabytków – KEZN; karty cmentarzy – KC; karty obiektów z ewidencji parkowej – EP)</w:t>
            </w:r>
          </w:p>
        </w:tc>
        <w:tc>
          <w:tcPr>
            <w:tcW w:w="1261" w:type="dxa"/>
            <w:shd w:val="clear" w:color="auto" w:fill="auto"/>
          </w:tcPr>
          <w:p w14:paraId="1FB52E0E" w14:textId="77777777" w:rsidR="007549AD" w:rsidRPr="00C67480" w:rsidRDefault="007549AD" w:rsidP="008833B4">
            <w:pPr>
              <w:spacing w:after="0" w:line="240" w:lineRule="auto"/>
              <w:rPr>
                <w:rFonts w:ascii="Arial" w:hAnsi="Arial" w:cs="Arial"/>
                <w:color w:val="000000"/>
                <w:sz w:val="18"/>
                <w:szCs w:val="20"/>
              </w:rPr>
            </w:pPr>
            <w:r w:rsidRPr="00C67480">
              <w:rPr>
                <w:rFonts w:cs="Arial"/>
                <w:color w:val="000000"/>
                <w:lang w:eastAsia="pl-PL"/>
              </w:rPr>
              <w:t>01. 2022</w:t>
            </w:r>
          </w:p>
          <w:p w14:paraId="04B484BD" w14:textId="77777777" w:rsidR="007549AD" w:rsidRPr="00C67480" w:rsidRDefault="007549AD" w:rsidP="008833B4">
            <w:pPr>
              <w:spacing w:after="0" w:line="240" w:lineRule="auto"/>
              <w:ind w:left="44"/>
              <w:rPr>
                <w:rFonts w:ascii="Arial" w:hAnsi="Arial" w:cs="Arial"/>
                <w:color w:val="000000"/>
                <w:sz w:val="18"/>
                <w:szCs w:val="20"/>
              </w:rPr>
            </w:pPr>
          </w:p>
          <w:p w14:paraId="1C54FC3D" w14:textId="77777777" w:rsidR="007549AD" w:rsidRPr="00C67480" w:rsidRDefault="007549AD" w:rsidP="008833B4">
            <w:pPr>
              <w:spacing w:after="0" w:line="240" w:lineRule="auto"/>
              <w:rPr>
                <w:rFonts w:ascii="Arial" w:hAnsi="Arial" w:cs="Arial"/>
                <w:color w:val="000000"/>
                <w:sz w:val="18"/>
                <w:szCs w:val="20"/>
              </w:rPr>
            </w:pPr>
          </w:p>
        </w:tc>
        <w:tc>
          <w:tcPr>
            <w:tcW w:w="1395" w:type="dxa"/>
            <w:shd w:val="clear" w:color="auto" w:fill="auto"/>
          </w:tcPr>
          <w:p w14:paraId="035D5EC5" w14:textId="77777777" w:rsidR="007549AD" w:rsidRPr="00C67480" w:rsidRDefault="007549AD" w:rsidP="008833B4">
            <w:pPr>
              <w:spacing w:after="0" w:line="240" w:lineRule="auto"/>
              <w:rPr>
                <w:rFonts w:ascii="Arial" w:hAnsi="Arial" w:cs="Arial"/>
                <w:color w:val="000000"/>
                <w:sz w:val="18"/>
                <w:szCs w:val="20"/>
              </w:rPr>
            </w:pPr>
          </w:p>
        </w:tc>
        <w:tc>
          <w:tcPr>
            <w:tcW w:w="4137" w:type="dxa"/>
            <w:shd w:val="clear" w:color="auto" w:fill="auto"/>
          </w:tcPr>
          <w:p w14:paraId="30095E4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7549AD" w:rsidRPr="00C67480" w14:paraId="532A0EFA" w14:textId="77777777" w:rsidTr="007549AD">
        <w:tc>
          <w:tcPr>
            <w:tcW w:w="2841" w:type="dxa"/>
            <w:shd w:val="clear" w:color="auto" w:fill="auto"/>
          </w:tcPr>
          <w:p w14:paraId="49D0289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ewidencji zabytków archeologicznych wraz z metadanymi w ilości 504 885 szt. (w tym: mapy wielkoformatowe; dokumentacja badań w teczce; karty ewidencyjne zabytków archeologicznych – KEZA)</w:t>
            </w:r>
          </w:p>
        </w:tc>
        <w:tc>
          <w:tcPr>
            <w:tcW w:w="1261" w:type="dxa"/>
            <w:shd w:val="clear" w:color="auto" w:fill="auto"/>
          </w:tcPr>
          <w:p w14:paraId="51B28CDD"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49D2C9DC" w14:textId="77777777" w:rsidR="007549AD" w:rsidRPr="00C67480" w:rsidRDefault="007549AD" w:rsidP="008833B4">
            <w:pPr>
              <w:spacing w:after="0" w:line="240" w:lineRule="auto"/>
              <w:rPr>
                <w:rFonts w:cs="Arial"/>
                <w:color w:val="000000"/>
                <w:lang w:eastAsia="pl-PL"/>
              </w:rPr>
            </w:pPr>
          </w:p>
        </w:tc>
        <w:tc>
          <w:tcPr>
            <w:tcW w:w="4137" w:type="dxa"/>
            <w:shd w:val="clear" w:color="auto" w:fill="auto"/>
          </w:tcPr>
          <w:p w14:paraId="3696D304"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7549AD" w:rsidRPr="00C67480" w14:paraId="7C4DE990" w14:textId="77777777" w:rsidTr="007549AD">
        <w:tc>
          <w:tcPr>
            <w:tcW w:w="2841" w:type="dxa"/>
            <w:shd w:val="clear" w:color="auto" w:fill="auto"/>
          </w:tcPr>
          <w:p w14:paraId="0F8D7473"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cmentarzy i grobów wojennych wraz z metadanymi w ilości 10 770 szt.</w:t>
            </w:r>
          </w:p>
        </w:tc>
        <w:tc>
          <w:tcPr>
            <w:tcW w:w="1261" w:type="dxa"/>
            <w:shd w:val="clear" w:color="auto" w:fill="auto"/>
          </w:tcPr>
          <w:p w14:paraId="40B91B45"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18580873" w14:textId="77777777" w:rsidR="007549AD" w:rsidRPr="00C67480" w:rsidRDefault="007549AD" w:rsidP="008833B4">
            <w:pPr>
              <w:spacing w:after="0" w:line="240" w:lineRule="auto"/>
              <w:rPr>
                <w:rFonts w:cs="Arial"/>
                <w:color w:val="000000"/>
                <w:lang w:eastAsia="pl-PL"/>
              </w:rPr>
            </w:pPr>
          </w:p>
        </w:tc>
        <w:tc>
          <w:tcPr>
            <w:tcW w:w="4137" w:type="dxa"/>
            <w:shd w:val="clear" w:color="auto" w:fill="auto"/>
          </w:tcPr>
          <w:p w14:paraId="0448EA37"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7549AD" w:rsidRPr="00C67480" w14:paraId="10B46514" w14:textId="77777777" w:rsidTr="007549AD">
        <w:tc>
          <w:tcPr>
            <w:tcW w:w="2841" w:type="dxa"/>
            <w:shd w:val="clear" w:color="auto" w:fill="auto"/>
          </w:tcPr>
          <w:p w14:paraId="5406323F"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Cyfrowe obiekty przestrzenne (zabytków nieruchomych, zabytków archeologicznych oraz grobów i cmentarzy wojennych) wraz z atrybutami opisowymi w ilości 697 984 szt.</w:t>
            </w:r>
          </w:p>
        </w:tc>
        <w:tc>
          <w:tcPr>
            <w:tcW w:w="1261" w:type="dxa"/>
            <w:shd w:val="clear" w:color="auto" w:fill="auto"/>
          </w:tcPr>
          <w:p w14:paraId="0CC27B53"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1C01C9DD" w14:textId="77777777" w:rsidR="007549AD" w:rsidRPr="00C67480" w:rsidRDefault="007549AD" w:rsidP="008833B4">
            <w:pPr>
              <w:spacing w:after="0" w:line="240" w:lineRule="auto"/>
              <w:rPr>
                <w:rFonts w:cs="Arial"/>
                <w:color w:val="000000"/>
                <w:lang w:eastAsia="pl-PL"/>
              </w:rPr>
            </w:pPr>
          </w:p>
        </w:tc>
        <w:tc>
          <w:tcPr>
            <w:tcW w:w="4137" w:type="dxa"/>
            <w:shd w:val="clear" w:color="auto" w:fill="auto"/>
          </w:tcPr>
          <w:p w14:paraId="0BA9EB4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D9367E" w:rsidRPr="00C67480" w14:paraId="24201014" w14:textId="77777777" w:rsidTr="007549AD">
        <w:tc>
          <w:tcPr>
            <w:tcW w:w="2841" w:type="dxa"/>
            <w:shd w:val="clear" w:color="auto" w:fill="auto"/>
          </w:tcPr>
          <w:p w14:paraId="1ED92682" w14:textId="09A7A91C"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Dokumenty dotyczące zabytków nieruchomych tzw. fiszki adresowe 600 000 szt.</w:t>
            </w:r>
          </w:p>
        </w:tc>
        <w:tc>
          <w:tcPr>
            <w:tcW w:w="1261" w:type="dxa"/>
            <w:shd w:val="clear" w:color="auto" w:fill="auto"/>
          </w:tcPr>
          <w:p w14:paraId="0BA71C1A" w14:textId="000F4E2C" w:rsidR="00D9367E" w:rsidRPr="00C67480" w:rsidRDefault="00D9367E"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24EDC0E0"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500D2A64" w14:textId="6636ADE5"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r w:rsidR="00D9367E" w:rsidRPr="00C67480" w14:paraId="5E788DE3" w14:textId="77777777" w:rsidTr="007549AD">
        <w:tc>
          <w:tcPr>
            <w:tcW w:w="2841" w:type="dxa"/>
            <w:shd w:val="clear" w:color="auto" w:fill="auto"/>
          </w:tcPr>
          <w:p w14:paraId="1FB5E947" w14:textId="674024AB"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Dokumentacja archiwalna, spuścizna naukowa – 10 400 szt.</w:t>
            </w:r>
          </w:p>
        </w:tc>
        <w:tc>
          <w:tcPr>
            <w:tcW w:w="1261" w:type="dxa"/>
            <w:shd w:val="clear" w:color="auto" w:fill="auto"/>
          </w:tcPr>
          <w:p w14:paraId="20C31E97" w14:textId="266A2E03" w:rsidR="00D9367E" w:rsidRPr="00C67480" w:rsidRDefault="00D9367E"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78793981"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5DA001F9" w14:textId="7051258F"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r w:rsidR="00D9367E" w:rsidRPr="00C67480" w14:paraId="3DD4F05C" w14:textId="77777777" w:rsidTr="007549AD">
        <w:tc>
          <w:tcPr>
            <w:tcW w:w="2841" w:type="dxa"/>
            <w:shd w:val="clear" w:color="auto" w:fill="auto"/>
          </w:tcPr>
          <w:p w14:paraId="3AB4428B" w14:textId="569DBBA8" w:rsidR="00D9367E" w:rsidRPr="00C67480" w:rsidRDefault="00356FAD" w:rsidP="00D9367E">
            <w:pPr>
              <w:spacing w:after="0" w:line="240" w:lineRule="auto"/>
              <w:rPr>
                <w:rFonts w:ascii="Arial" w:hAnsi="Arial" w:cs="Arial"/>
                <w:color w:val="000000"/>
                <w:sz w:val="18"/>
                <w:szCs w:val="20"/>
              </w:rPr>
            </w:pPr>
            <w:r>
              <w:rPr>
                <w:rFonts w:ascii="Arial" w:hAnsi="Arial" w:cs="Arial"/>
                <w:color w:val="000000"/>
                <w:sz w:val="18"/>
                <w:szCs w:val="20"/>
              </w:rPr>
              <w:t>Dokumentacja 3D obiektów zabytkowych – 25 szt.</w:t>
            </w:r>
          </w:p>
        </w:tc>
        <w:tc>
          <w:tcPr>
            <w:tcW w:w="1261" w:type="dxa"/>
            <w:shd w:val="clear" w:color="auto" w:fill="auto"/>
          </w:tcPr>
          <w:p w14:paraId="306994C8" w14:textId="4351C4F5" w:rsidR="00D9367E" w:rsidRPr="00C67480" w:rsidRDefault="00356FAD"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5D7D7EAB"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327140EF" w14:textId="43077D9D" w:rsidR="00D9367E" w:rsidRPr="00C67480" w:rsidRDefault="00356FAD"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701"/>
        <w:gridCol w:w="1843"/>
        <w:gridCol w:w="3543"/>
      </w:tblGrid>
      <w:tr w:rsidR="007549AD" w:rsidRPr="00C67480" w14:paraId="2E2B4B9C" w14:textId="77777777" w:rsidTr="007549AD">
        <w:trPr>
          <w:tblHeader/>
        </w:trPr>
        <w:tc>
          <w:tcPr>
            <w:tcW w:w="2547" w:type="dxa"/>
            <w:shd w:val="clear" w:color="auto" w:fill="D0CECE"/>
          </w:tcPr>
          <w:p w14:paraId="3BF8568D" w14:textId="77777777" w:rsidR="007549AD" w:rsidRPr="00C67480" w:rsidRDefault="007549AD" w:rsidP="008833B4">
            <w:pPr>
              <w:spacing w:after="0" w:line="240" w:lineRule="auto"/>
              <w:rPr>
                <w:rFonts w:ascii="Arial" w:hAnsi="Arial" w:cs="Arial"/>
                <w:b/>
                <w:sz w:val="20"/>
                <w:szCs w:val="20"/>
              </w:rPr>
            </w:pPr>
          </w:p>
          <w:p w14:paraId="411D3C6F"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 produktu</w:t>
            </w:r>
          </w:p>
        </w:tc>
        <w:tc>
          <w:tcPr>
            <w:tcW w:w="1701" w:type="dxa"/>
            <w:shd w:val="clear" w:color="auto" w:fill="D0CECE"/>
          </w:tcPr>
          <w:p w14:paraId="19A446A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Planowana data wdrożenia</w:t>
            </w:r>
          </w:p>
        </w:tc>
        <w:tc>
          <w:tcPr>
            <w:tcW w:w="1843" w:type="dxa"/>
            <w:shd w:val="clear" w:color="auto" w:fill="D0CECE"/>
          </w:tcPr>
          <w:p w14:paraId="4E37C784"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Rzeczywista data wdrożenia</w:t>
            </w:r>
          </w:p>
        </w:tc>
        <w:tc>
          <w:tcPr>
            <w:tcW w:w="3543" w:type="dxa"/>
            <w:shd w:val="clear" w:color="auto" w:fill="D0CECE"/>
          </w:tcPr>
          <w:p w14:paraId="4CEDF209"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 xml:space="preserve">Komplementarność względem produktów innych projektów </w:t>
            </w:r>
          </w:p>
          <w:p w14:paraId="5F6B305D" w14:textId="77777777" w:rsidR="007549AD" w:rsidRPr="00C67480" w:rsidRDefault="007549AD" w:rsidP="008833B4">
            <w:pPr>
              <w:spacing w:after="0" w:line="240" w:lineRule="auto"/>
              <w:rPr>
                <w:rFonts w:ascii="Arial" w:hAnsi="Arial" w:cs="Arial"/>
                <w:b/>
                <w:sz w:val="20"/>
                <w:szCs w:val="20"/>
              </w:rPr>
            </w:pPr>
          </w:p>
        </w:tc>
      </w:tr>
      <w:tr w:rsidR="007549AD" w:rsidRPr="00C67480" w14:paraId="59F8CA4E" w14:textId="77777777" w:rsidTr="007549AD">
        <w:tc>
          <w:tcPr>
            <w:tcW w:w="2547" w:type="dxa"/>
            <w:shd w:val="clear" w:color="auto" w:fill="auto"/>
          </w:tcPr>
          <w:p w14:paraId="4E0061C2"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Zmodernizowane i rozbudowane oprogramowanie systemu</w:t>
            </w:r>
          </w:p>
        </w:tc>
        <w:tc>
          <w:tcPr>
            <w:tcW w:w="1701" w:type="dxa"/>
            <w:shd w:val="clear" w:color="auto" w:fill="auto"/>
          </w:tcPr>
          <w:p w14:paraId="7FB3314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03. 2021</w:t>
            </w:r>
          </w:p>
        </w:tc>
        <w:tc>
          <w:tcPr>
            <w:tcW w:w="1843" w:type="dxa"/>
            <w:shd w:val="clear" w:color="auto" w:fill="auto"/>
          </w:tcPr>
          <w:p w14:paraId="18758C64" w14:textId="77777777" w:rsidR="007549AD" w:rsidRPr="00C67480" w:rsidRDefault="007549AD" w:rsidP="008833B4">
            <w:pPr>
              <w:spacing w:after="0" w:line="240" w:lineRule="auto"/>
              <w:rPr>
                <w:rFonts w:ascii="Arial" w:hAnsi="Arial" w:cs="Arial"/>
                <w:color w:val="000000"/>
                <w:sz w:val="18"/>
                <w:szCs w:val="18"/>
              </w:rPr>
            </w:pPr>
          </w:p>
        </w:tc>
        <w:tc>
          <w:tcPr>
            <w:tcW w:w="3543" w:type="dxa"/>
            <w:shd w:val="clear" w:color="auto" w:fill="auto"/>
          </w:tcPr>
          <w:p w14:paraId="7097A2E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Nazwa systemu lub rejestru: </w:t>
            </w:r>
            <w:hyperlink r:id="rId8" w:history="1">
              <w:r w:rsidRPr="00C67480">
                <w:rPr>
                  <w:rStyle w:val="Hipercze"/>
                  <w:rFonts w:ascii="Arial" w:hAnsi="Arial" w:cs="Arial"/>
                  <w:sz w:val="18"/>
                  <w:szCs w:val="18"/>
                </w:rPr>
                <w:t>www.zbytek.pl</w:t>
              </w:r>
            </w:hyperlink>
            <w:r w:rsidRPr="00C67480">
              <w:rPr>
                <w:rFonts w:ascii="Arial" w:hAnsi="Arial" w:cs="Arial"/>
                <w:color w:val="000000"/>
                <w:sz w:val="18"/>
                <w:szCs w:val="18"/>
              </w:rPr>
              <w:t xml:space="preserve"> oraz </w:t>
            </w:r>
            <w:hyperlink r:id="rId9" w:history="1">
              <w:r w:rsidRPr="00C67480">
                <w:rPr>
                  <w:rStyle w:val="Hipercze"/>
                  <w:rFonts w:ascii="Arial" w:hAnsi="Arial" w:cs="Arial"/>
                  <w:sz w:val="18"/>
                  <w:szCs w:val="18"/>
                </w:rPr>
                <w:t>www.mapy.zabytek.gov.pl</w:t>
              </w:r>
            </w:hyperlink>
          </w:p>
          <w:p w14:paraId="045087AE" w14:textId="77777777" w:rsidR="007549AD" w:rsidRPr="00C67480" w:rsidRDefault="007549AD" w:rsidP="008833B4">
            <w:pPr>
              <w:spacing w:after="0" w:line="240" w:lineRule="auto"/>
              <w:rPr>
                <w:rFonts w:ascii="Arial" w:hAnsi="Arial" w:cs="Arial"/>
                <w:color w:val="000000"/>
                <w:sz w:val="18"/>
                <w:szCs w:val="18"/>
              </w:rPr>
            </w:pPr>
          </w:p>
          <w:p w14:paraId="2071CE1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Opis zależności: Narodowy Instytut Dziedzictwa dysponuje narzędziami dotyczącymi udostępniania informacji nt. obiektów zabytkowych: </w:t>
            </w:r>
            <w:hyperlink r:id="rId10" w:history="1">
              <w:r w:rsidRPr="00C67480">
                <w:rPr>
                  <w:rStyle w:val="Hipercze"/>
                  <w:rFonts w:ascii="Arial" w:hAnsi="Arial" w:cs="Arial"/>
                  <w:color w:val="000000"/>
                  <w:sz w:val="18"/>
                  <w:szCs w:val="18"/>
                </w:rPr>
                <w:t>www.zabytek.pl</w:t>
              </w:r>
            </w:hyperlink>
            <w:r w:rsidRPr="00C67480">
              <w:rPr>
                <w:rFonts w:ascii="Arial" w:hAnsi="Arial" w:cs="Arial"/>
                <w:color w:val="000000"/>
                <w:sz w:val="18"/>
                <w:szCs w:val="18"/>
              </w:rPr>
              <w:t xml:space="preserve"> oraz </w:t>
            </w:r>
            <w:hyperlink r:id="rId11" w:history="1">
              <w:r w:rsidRPr="00C67480">
                <w:rPr>
                  <w:rStyle w:val="Hipercze"/>
                  <w:rFonts w:ascii="Arial" w:hAnsi="Arial" w:cs="Arial"/>
                  <w:color w:val="000000"/>
                  <w:sz w:val="18"/>
                  <w:szCs w:val="18"/>
                </w:rPr>
                <w:t>www.mapy.zabytek.gov.pl</w:t>
              </w:r>
            </w:hyperlink>
            <w:r w:rsidRPr="00C67480">
              <w:rPr>
                <w:rFonts w:ascii="Arial" w:hAnsi="Arial" w:cs="Arial"/>
                <w:color w:val="000000"/>
                <w:sz w:val="18"/>
                <w:szCs w:val="18"/>
              </w:rPr>
              <w:t xml:space="preserve">. Na potrzeby </w:t>
            </w:r>
            <w:r w:rsidRPr="00C67480">
              <w:rPr>
                <w:rFonts w:ascii="Arial" w:hAnsi="Arial" w:cs="Arial"/>
                <w:color w:val="000000"/>
                <w:sz w:val="18"/>
                <w:szCs w:val="18"/>
              </w:rPr>
              <w:lastRenderedPageBreak/>
              <w:t>realizacji projektu system prezentacji i udostępniania danych dotyczących zabytków zostanie rozbudowany w celu orientacji na nowych użytkowników, zwiększenia wydajności, woluminu zgromadzonych danych oraz z uwagi na specyfikę nowego zasobu będącego przedmiotem digitalizacji. W wyniku realizacji projektu system będzie działać w oparciu o moduły: wprowadzania, modyfikowania i zarządzania danymi cyfrowymi obiektów zabytkowych; prezentowania postaci cyfrowych dokumentów; generowania raportów i zestawień; API do pobierania metadanych.</w:t>
            </w:r>
          </w:p>
          <w:p w14:paraId="48FC24D1" w14:textId="77777777" w:rsidR="007549AD" w:rsidRPr="00C67480" w:rsidRDefault="007549AD" w:rsidP="008833B4">
            <w:pPr>
              <w:spacing w:after="0" w:line="240" w:lineRule="auto"/>
              <w:rPr>
                <w:rFonts w:ascii="Arial" w:hAnsi="Arial" w:cs="Arial"/>
                <w:color w:val="000000"/>
                <w:sz w:val="18"/>
                <w:szCs w:val="18"/>
              </w:rPr>
            </w:pPr>
          </w:p>
          <w:p w14:paraId="0C1D4550" w14:textId="498C4EBC"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Aktualny status integracji danych/implementacji rozwiązania: Zakończono realizację zamówienia w zakresie dostawy sprzętu niezbędnego do gromadzenia danych oraz usługę doradczą w zakresie rozbudowy systemu danych o zabytkach. W wyniku tejże usługi opracowano szczegółowe wymagania dotyczące rozwoju systemu, w tym dokumentacje niezbędną do wszczęcia postępowania zamówieniowego. Wyłoniono wykonawcę prac programistycznych związanych z rozbudową istniejącego systemu gromadzenia i udostępniania danych o zabytkach – umowa została podpisana w dn. 08. 01. 2020 r.</w:t>
            </w:r>
            <w:r w:rsidR="00F40A3C">
              <w:rPr>
                <w:rFonts w:ascii="Arial" w:hAnsi="Arial" w:cs="Arial"/>
                <w:color w:val="000000"/>
                <w:sz w:val="18"/>
                <w:szCs w:val="18"/>
              </w:rPr>
              <w:t xml:space="preserve"> W ramach zawartej umowy zakończono </w:t>
            </w:r>
            <w:r w:rsidR="00F00387">
              <w:rPr>
                <w:rFonts w:ascii="Arial" w:hAnsi="Arial" w:cs="Arial"/>
                <w:color w:val="000000"/>
                <w:sz w:val="18"/>
                <w:szCs w:val="18"/>
              </w:rPr>
              <w:t>pięć etapów</w:t>
            </w:r>
            <w:r w:rsidR="00F40A3C">
              <w:rPr>
                <w:rFonts w:ascii="Arial" w:hAnsi="Arial" w:cs="Arial"/>
                <w:color w:val="000000"/>
                <w:sz w:val="18"/>
                <w:szCs w:val="18"/>
              </w:rPr>
              <w:t xml:space="preserve"> prac wynikających z harmonogramu zamówienia</w:t>
            </w:r>
            <w:r w:rsidR="00F00387">
              <w:rPr>
                <w:rFonts w:ascii="Arial" w:hAnsi="Arial" w:cs="Arial"/>
                <w:color w:val="000000"/>
                <w:sz w:val="18"/>
                <w:szCs w:val="18"/>
              </w:rPr>
              <w:t>. Trwają prace związane z wdrożeniem rozbudowanego systemu</w:t>
            </w:r>
            <w:r w:rsidR="00F40A3C">
              <w:rPr>
                <w:rFonts w:ascii="Arial" w:hAnsi="Arial" w:cs="Arial"/>
                <w:color w:val="000000"/>
                <w:sz w:val="18"/>
                <w:szCs w:val="18"/>
              </w:rPr>
              <w:t xml:space="preserve"> </w:t>
            </w:r>
            <w:r w:rsidR="000E1F10">
              <w:rPr>
                <w:rFonts w:ascii="Arial" w:hAnsi="Arial" w:cs="Arial"/>
                <w:color w:val="000000"/>
                <w:sz w:val="18"/>
                <w:szCs w:val="18"/>
              </w:rPr>
              <w:t xml:space="preserve">oraz prace związane z rozbudową o dodatkowe moduły niezbędne do gromadzenia i prezentacji nowego rodzaju danych pochodzących z procesu digitalizacji dokumentacji w ramach rozszerzonego zakresu rzeczowego projektu </w:t>
            </w:r>
            <w:r w:rsidR="00F40A3C">
              <w:rPr>
                <w:rFonts w:ascii="Arial" w:hAnsi="Arial" w:cs="Arial"/>
                <w:color w:val="000000"/>
                <w:sz w:val="18"/>
                <w:szCs w:val="18"/>
              </w:rPr>
              <w:t>– prace postępują zgodnie z założeniami.</w:t>
            </w:r>
          </w:p>
        </w:tc>
      </w:tr>
      <w:tr w:rsidR="00275EDE" w:rsidRPr="00C67480" w14:paraId="71CBEE5D" w14:textId="77777777" w:rsidTr="007549AD">
        <w:tc>
          <w:tcPr>
            <w:tcW w:w="2547" w:type="dxa"/>
            <w:shd w:val="clear" w:color="auto" w:fill="auto"/>
          </w:tcPr>
          <w:p w14:paraId="3D556BF4" w14:textId="426B21AC" w:rsidR="00275EDE" w:rsidRPr="00275EDE" w:rsidRDefault="00275EDE" w:rsidP="008833B4">
            <w:pPr>
              <w:spacing w:after="0" w:line="240" w:lineRule="auto"/>
              <w:rPr>
                <w:rFonts w:ascii="Arial" w:hAnsi="Arial" w:cs="Arial"/>
                <w:color w:val="000000"/>
                <w:sz w:val="18"/>
                <w:szCs w:val="18"/>
              </w:rPr>
            </w:pPr>
            <w:r w:rsidRPr="00275EDE">
              <w:rPr>
                <w:rFonts w:ascii="Arial" w:hAnsi="Arial" w:cs="Arial"/>
                <w:sz w:val="18"/>
                <w:szCs w:val="18"/>
              </w:rPr>
              <w:lastRenderedPageBreak/>
              <w:t>Dostosowana do nowych wymagań systemu i rozbudowana infrastruktura serwerowni</w:t>
            </w:r>
          </w:p>
        </w:tc>
        <w:tc>
          <w:tcPr>
            <w:tcW w:w="1701" w:type="dxa"/>
            <w:shd w:val="clear" w:color="auto" w:fill="auto"/>
          </w:tcPr>
          <w:p w14:paraId="111B375A" w14:textId="549F1987" w:rsidR="00275EDE" w:rsidRPr="00C67480" w:rsidRDefault="00275EDE" w:rsidP="008833B4">
            <w:pPr>
              <w:spacing w:after="0" w:line="240" w:lineRule="auto"/>
              <w:rPr>
                <w:rFonts w:ascii="Arial" w:hAnsi="Arial" w:cs="Arial"/>
                <w:color w:val="000000"/>
                <w:sz w:val="18"/>
                <w:szCs w:val="18"/>
              </w:rPr>
            </w:pPr>
            <w:r>
              <w:rPr>
                <w:rFonts w:ascii="Arial" w:hAnsi="Arial" w:cs="Arial"/>
                <w:color w:val="000000"/>
                <w:sz w:val="18"/>
                <w:szCs w:val="18"/>
              </w:rPr>
              <w:t>07.2021</w:t>
            </w:r>
          </w:p>
        </w:tc>
        <w:tc>
          <w:tcPr>
            <w:tcW w:w="1843" w:type="dxa"/>
            <w:shd w:val="clear" w:color="auto" w:fill="auto"/>
          </w:tcPr>
          <w:p w14:paraId="5C273BA7" w14:textId="77777777" w:rsidR="00275EDE" w:rsidRPr="00C67480" w:rsidRDefault="00275EDE" w:rsidP="008833B4">
            <w:pPr>
              <w:spacing w:after="0" w:line="240" w:lineRule="auto"/>
              <w:rPr>
                <w:rFonts w:ascii="Arial" w:hAnsi="Arial" w:cs="Arial"/>
                <w:color w:val="000000"/>
                <w:sz w:val="18"/>
                <w:szCs w:val="18"/>
              </w:rPr>
            </w:pPr>
          </w:p>
        </w:tc>
        <w:tc>
          <w:tcPr>
            <w:tcW w:w="3543" w:type="dxa"/>
            <w:shd w:val="clear" w:color="auto" w:fill="auto"/>
          </w:tcPr>
          <w:p w14:paraId="65D19985" w14:textId="77777777" w:rsidR="00275EDE" w:rsidRDefault="00275EDE" w:rsidP="008833B4">
            <w:pPr>
              <w:spacing w:after="0" w:line="240" w:lineRule="auto"/>
              <w:rPr>
                <w:rStyle w:val="Hipercze"/>
                <w:rFonts w:ascii="Arial" w:hAnsi="Arial" w:cs="Arial"/>
                <w:sz w:val="18"/>
                <w:szCs w:val="18"/>
              </w:rPr>
            </w:pPr>
            <w:r w:rsidRPr="00C67480">
              <w:rPr>
                <w:rFonts w:ascii="Arial" w:hAnsi="Arial" w:cs="Arial"/>
                <w:color w:val="000000"/>
                <w:sz w:val="18"/>
                <w:szCs w:val="18"/>
              </w:rPr>
              <w:t xml:space="preserve">Nazwa systemu lub rejestru: </w:t>
            </w:r>
            <w:hyperlink r:id="rId12" w:history="1">
              <w:r w:rsidRPr="00C67480">
                <w:rPr>
                  <w:rStyle w:val="Hipercze"/>
                  <w:rFonts w:ascii="Arial" w:hAnsi="Arial" w:cs="Arial"/>
                  <w:sz w:val="18"/>
                  <w:szCs w:val="18"/>
                </w:rPr>
                <w:t>www.zbytek.pl</w:t>
              </w:r>
            </w:hyperlink>
            <w:r w:rsidRPr="00C67480">
              <w:rPr>
                <w:rFonts w:ascii="Arial" w:hAnsi="Arial" w:cs="Arial"/>
                <w:color w:val="000000"/>
                <w:sz w:val="18"/>
                <w:szCs w:val="18"/>
              </w:rPr>
              <w:t xml:space="preserve"> oraz </w:t>
            </w:r>
            <w:hyperlink r:id="rId13" w:history="1">
              <w:r w:rsidRPr="00C67480">
                <w:rPr>
                  <w:rStyle w:val="Hipercze"/>
                  <w:rFonts w:ascii="Arial" w:hAnsi="Arial" w:cs="Arial"/>
                  <w:sz w:val="18"/>
                  <w:szCs w:val="18"/>
                </w:rPr>
                <w:t>www.mapy.zabytek.gov.pl</w:t>
              </w:r>
            </w:hyperlink>
          </w:p>
          <w:p w14:paraId="2B4E2C67" w14:textId="77777777" w:rsidR="00275EDE" w:rsidRDefault="00275EDE" w:rsidP="008833B4">
            <w:pPr>
              <w:spacing w:after="0" w:line="240" w:lineRule="auto"/>
              <w:rPr>
                <w:rStyle w:val="Hipercze"/>
                <w:rFonts w:ascii="Arial" w:hAnsi="Arial" w:cs="Arial"/>
                <w:sz w:val="18"/>
                <w:szCs w:val="18"/>
              </w:rPr>
            </w:pPr>
          </w:p>
          <w:p w14:paraId="710A2C74" w14:textId="484A3D13" w:rsidR="00275EDE" w:rsidRDefault="00275EDE" w:rsidP="00275EDE">
            <w:pPr>
              <w:spacing w:after="0" w:line="240" w:lineRule="auto"/>
              <w:rPr>
                <w:rFonts w:ascii="Arial" w:hAnsi="Arial" w:cs="Arial"/>
                <w:color w:val="000000"/>
                <w:sz w:val="18"/>
                <w:szCs w:val="18"/>
              </w:rPr>
            </w:pPr>
            <w:r w:rsidRPr="00C67480">
              <w:rPr>
                <w:rFonts w:ascii="Arial" w:hAnsi="Arial" w:cs="Arial"/>
                <w:color w:val="000000"/>
                <w:sz w:val="18"/>
                <w:szCs w:val="18"/>
              </w:rPr>
              <w:t xml:space="preserve">Opis zależności: Narodowy Instytut Dziedzictwa dysponuje narzędziami dotyczącymi udostępniania informacji nt. obiektów zabytkowych: </w:t>
            </w:r>
            <w:hyperlink r:id="rId14" w:history="1">
              <w:r w:rsidRPr="00C67480">
                <w:rPr>
                  <w:rStyle w:val="Hipercze"/>
                  <w:rFonts w:ascii="Arial" w:hAnsi="Arial" w:cs="Arial"/>
                  <w:color w:val="000000"/>
                  <w:sz w:val="18"/>
                  <w:szCs w:val="18"/>
                </w:rPr>
                <w:t>www.zabytek.pl</w:t>
              </w:r>
            </w:hyperlink>
            <w:r w:rsidRPr="00C67480">
              <w:rPr>
                <w:rFonts w:ascii="Arial" w:hAnsi="Arial" w:cs="Arial"/>
                <w:color w:val="000000"/>
                <w:sz w:val="18"/>
                <w:szCs w:val="18"/>
              </w:rPr>
              <w:t xml:space="preserve"> oraz </w:t>
            </w:r>
            <w:hyperlink r:id="rId15" w:history="1">
              <w:r w:rsidRPr="00C67480">
                <w:rPr>
                  <w:rStyle w:val="Hipercze"/>
                  <w:rFonts w:ascii="Arial" w:hAnsi="Arial" w:cs="Arial"/>
                  <w:color w:val="000000"/>
                  <w:sz w:val="18"/>
                  <w:szCs w:val="18"/>
                </w:rPr>
                <w:t>www.mapy.zabytek.gov.pl</w:t>
              </w:r>
            </w:hyperlink>
            <w:r w:rsidRPr="00C67480">
              <w:rPr>
                <w:rFonts w:ascii="Arial" w:hAnsi="Arial" w:cs="Arial"/>
                <w:color w:val="000000"/>
                <w:sz w:val="18"/>
                <w:szCs w:val="18"/>
              </w:rPr>
              <w:t xml:space="preserve">. Na potrzeby realizacji projektu </w:t>
            </w:r>
            <w:r>
              <w:rPr>
                <w:rFonts w:ascii="Arial" w:hAnsi="Arial" w:cs="Arial"/>
                <w:color w:val="000000"/>
                <w:sz w:val="18"/>
                <w:szCs w:val="18"/>
              </w:rPr>
              <w:t xml:space="preserve">konieczne jest zapewnienie wydajnej i bezpiecznej infrastruktury serwerowej dającej możliwości skutecznej prezentacji </w:t>
            </w:r>
            <w:proofErr w:type="spellStart"/>
            <w:r>
              <w:rPr>
                <w:rFonts w:ascii="Arial" w:hAnsi="Arial" w:cs="Arial"/>
                <w:color w:val="000000"/>
                <w:sz w:val="18"/>
                <w:szCs w:val="18"/>
              </w:rPr>
              <w:t>zdigitalizowanego</w:t>
            </w:r>
            <w:proofErr w:type="spellEnd"/>
            <w:r>
              <w:rPr>
                <w:rFonts w:ascii="Arial" w:hAnsi="Arial" w:cs="Arial"/>
                <w:color w:val="000000"/>
                <w:sz w:val="18"/>
                <w:szCs w:val="18"/>
              </w:rPr>
              <w:t xml:space="preserve"> zasobu pozostającego w zasobie NID. W celu zapewnienia optymalnych warunków gromadzenia, archiwizacji oraz </w:t>
            </w:r>
            <w:proofErr w:type="spellStart"/>
            <w:r>
              <w:rPr>
                <w:rFonts w:ascii="Arial" w:hAnsi="Arial" w:cs="Arial"/>
                <w:color w:val="000000"/>
                <w:sz w:val="18"/>
                <w:szCs w:val="18"/>
              </w:rPr>
              <w:t>back</w:t>
            </w:r>
            <w:proofErr w:type="spellEnd"/>
            <w:r>
              <w:rPr>
                <w:rFonts w:ascii="Arial" w:hAnsi="Arial" w:cs="Arial"/>
                <w:color w:val="000000"/>
                <w:sz w:val="18"/>
                <w:szCs w:val="18"/>
              </w:rPr>
              <w:t xml:space="preserve"> </w:t>
            </w:r>
            <w:proofErr w:type="spellStart"/>
            <w:r>
              <w:rPr>
                <w:rFonts w:ascii="Arial" w:hAnsi="Arial" w:cs="Arial"/>
                <w:color w:val="000000"/>
                <w:sz w:val="18"/>
                <w:szCs w:val="18"/>
              </w:rPr>
              <w:t>up’u</w:t>
            </w:r>
            <w:proofErr w:type="spellEnd"/>
            <w:r>
              <w:rPr>
                <w:rFonts w:ascii="Arial" w:hAnsi="Arial" w:cs="Arial"/>
                <w:color w:val="000000"/>
                <w:sz w:val="18"/>
                <w:szCs w:val="18"/>
              </w:rPr>
              <w:t xml:space="preserve"> projekt zakłada modernizację (rozbudowę) systemu infrastruktury serwerowni o elementy umożliwiające zapewnienie tych warunków.</w:t>
            </w:r>
          </w:p>
          <w:p w14:paraId="6315D67F" w14:textId="57D2A2BF" w:rsidR="00275EDE" w:rsidRDefault="00275EDE" w:rsidP="00275EDE">
            <w:pPr>
              <w:spacing w:after="0" w:line="240" w:lineRule="auto"/>
              <w:rPr>
                <w:rFonts w:ascii="Arial" w:hAnsi="Arial" w:cs="Arial"/>
                <w:color w:val="000000"/>
                <w:sz w:val="18"/>
                <w:szCs w:val="18"/>
              </w:rPr>
            </w:pPr>
          </w:p>
          <w:p w14:paraId="46BA66B5" w14:textId="40A4B369" w:rsidR="00275EDE" w:rsidRPr="00C67480" w:rsidRDefault="00275EDE" w:rsidP="00275EDE">
            <w:pPr>
              <w:spacing w:after="0" w:line="240" w:lineRule="auto"/>
              <w:rPr>
                <w:rFonts w:ascii="Arial" w:hAnsi="Arial" w:cs="Arial"/>
                <w:color w:val="000000"/>
                <w:sz w:val="18"/>
                <w:szCs w:val="18"/>
              </w:rPr>
            </w:pPr>
            <w:r w:rsidRPr="00C67480">
              <w:rPr>
                <w:rFonts w:ascii="Arial" w:hAnsi="Arial" w:cs="Arial"/>
                <w:color w:val="000000"/>
                <w:sz w:val="18"/>
                <w:szCs w:val="18"/>
              </w:rPr>
              <w:lastRenderedPageBreak/>
              <w:t>Aktualny status integracji danych/implementacji rozwiązania:</w:t>
            </w:r>
            <w:r>
              <w:rPr>
                <w:rFonts w:ascii="Arial" w:hAnsi="Arial" w:cs="Arial"/>
                <w:color w:val="000000"/>
                <w:sz w:val="18"/>
                <w:szCs w:val="18"/>
              </w:rPr>
              <w:t xml:space="preserve"> W 2019 r. zrealizowane zostało zamówienie wynikające z potrzeb odpowiadających założeniom podstawowego zakresu przedsięwzięcia opisanego w Projekcie. W związku z rozszerzeniem zakresu rzeczowego poprzez zawarcie w dn. 23. 12. 2020 r. aneksu do </w:t>
            </w:r>
            <w:proofErr w:type="spellStart"/>
            <w:r>
              <w:rPr>
                <w:rFonts w:ascii="Arial" w:hAnsi="Arial" w:cs="Arial"/>
                <w:color w:val="000000"/>
                <w:sz w:val="18"/>
                <w:szCs w:val="18"/>
              </w:rPr>
              <w:t>UoD</w:t>
            </w:r>
            <w:proofErr w:type="spellEnd"/>
            <w:r>
              <w:rPr>
                <w:rFonts w:ascii="Arial" w:hAnsi="Arial" w:cs="Arial"/>
                <w:color w:val="000000"/>
                <w:sz w:val="18"/>
                <w:szCs w:val="18"/>
              </w:rPr>
              <w:t xml:space="preserve"> zachodzi potrzeba rozbudowy posiadanej infrastruktury o kolejne elementy dające gwarancję skutecznego funkcjonowania systemu gromadzenia i powszechnego udostępniania </w:t>
            </w:r>
            <w:proofErr w:type="spellStart"/>
            <w:r>
              <w:rPr>
                <w:rFonts w:ascii="Arial" w:hAnsi="Arial" w:cs="Arial"/>
                <w:color w:val="000000"/>
                <w:sz w:val="18"/>
                <w:szCs w:val="18"/>
              </w:rPr>
              <w:t>zdigitalizowanych</w:t>
            </w:r>
            <w:proofErr w:type="spellEnd"/>
            <w:r>
              <w:rPr>
                <w:rFonts w:ascii="Arial" w:hAnsi="Arial" w:cs="Arial"/>
                <w:color w:val="000000"/>
                <w:sz w:val="18"/>
                <w:szCs w:val="18"/>
              </w:rPr>
              <w:t xml:space="preserve"> danych. W okresie sprawozdawczym została przygotowana dokumentacja przetargowa dot. wyposażenia i instalacji sprzętu w serwerowni zamawiającego.</w:t>
            </w:r>
          </w:p>
          <w:p w14:paraId="68286C34" w14:textId="34FB6493" w:rsidR="00275EDE" w:rsidRPr="00C67480" w:rsidRDefault="00275EDE" w:rsidP="008833B4">
            <w:pPr>
              <w:spacing w:after="0" w:line="240" w:lineRule="auto"/>
              <w:rPr>
                <w:rFonts w:ascii="Arial" w:hAnsi="Arial" w:cs="Arial"/>
                <w:color w:val="000000"/>
                <w:sz w:val="18"/>
                <w:szCs w:val="18"/>
              </w:rPr>
            </w:pP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W w:w="949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3"/>
        <w:gridCol w:w="1688"/>
        <w:gridCol w:w="2294"/>
        <w:gridCol w:w="2373"/>
      </w:tblGrid>
      <w:tr w:rsidR="007549AD" w:rsidRPr="00C67480" w14:paraId="5C08EFD8" w14:textId="77777777" w:rsidTr="007549AD">
        <w:trPr>
          <w:tblHeader/>
        </w:trPr>
        <w:tc>
          <w:tcPr>
            <w:tcW w:w="3143" w:type="dxa"/>
            <w:shd w:val="clear" w:color="auto" w:fill="D0CECE"/>
            <w:vAlign w:val="center"/>
          </w:tcPr>
          <w:p w14:paraId="0898E3A3"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Nazwa ryzyka</w:t>
            </w:r>
          </w:p>
        </w:tc>
        <w:tc>
          <w:tcPr>
            <w:tcW w:w="1688" w:type="dxa"/>
            <w:shd w:val="clear" w:color="auto" w:fill="D0CECE"/>
            <w:vAlign w:val="center"/>
          </w:tcPr>
          <w:p w14:paraId="6C618E06"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 xml:space="preserve">Siła oddziaływania </w:t>
            </w:r>
          </w:p>
        </w:tc>
        <w:tc>
          <w:tcPr>
            <w:tcW w:w="2294" w:type="dxa"/>
            <w:shd w:val="clear" w:color="auto" w:fill="D0CECE"/>
          </w:tcPr>
          <w:p w14:paraId="759263A7"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Prawdopodobieństwo wystąpienia ryzyka</w:t>
            </w:r>
          </w:p>
        </w:tc>
        <w:tc>
          <w:tcPr>
            <w:tcW w:w="2373" w:type="dxa"/>
            <w:shd w:val="clear" w:color="auto" w:fill="D0CECE"/>
            <w:vAlign w:val="center"/>
          </w:tcPr>
          <w:p w14:paraId="0C05F808"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Sposób zarzadzania ryzykiem</w:t>
            </w:r>
          </w:p>
        </w:tc>
      </w:tr>
      <w:tr w:rsidR="007549AD" w:rsidRPr="00C67480" w14:paraId="1C92A842" w14:textId="77777777" w:rsidTr="007549AD">
        <w:tc>
          <w:tcPr>
            <w:tcW w:w="3143" w:type="dxa"/>
            <w:shd w:val="clear" w:color="auto" w:fill="auto"/>
            <w:vAlign w:val="center"/>
          </w:tcPr>
          <w:p w14:paraId="5DE6205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Opóźnienie realizacji prac w stosunku do założonego harmonogramu</w:t>
            </w:r>
          </w:p>
        </w:tc>
        <w:tc>
          <w:tcPr>
            <w:tcW w:w="1688" w:type="dxa"/>
            <w:shd w:val="clear" w:color="auto" w:fill="auto"/>
            <w:vAlign w:val="center"/>
          </w:tcPr>
          <w:p w14:paraId="60746307" w14:textId="700C120F" w:rsidR="007549AD"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Duża</w:t>
            </w:r>
          </w:p>
        </w:tc>
        <w:tc>
          <w:tcPr>
            <w:tcW w:w="2294" w:type="dxa"/>
            <w:shd w:val="clear" w:color="auto" w:fill="auto"/>
            <w:vAlign w:val="center"/>
          </w:tcPr>
          <w:p w14:paraId="6C07FC2D"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09623520"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Uzgadnianie szczegółowych harmonogramów; motywowanie personelu; optymalizacja procesów; wykorzystywanie narzędzi wspierających działania; identyfikowanie „wąskich gardeł”; organizowanie doraźnego wsparcia.</w:t>
            </w:r>
          </w:p>
          <w:p w14:paraId="179CB9F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jest eliminacja bądź ograniczenie występowania opóźnień.</w:t>
            </w:r>
          </w:p>
          <w:p w14:paraId="7296C1B8" w14:textId="15352C8E" w:rsidR="007549AD"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 xml:space="preserve">Na zmianę wpływ ma przede wszystkim sytuacja epidemiczna, której możliwymi skutkami są nieprzewidziane utrudnienia w realizacji poszczególnych działań, w efekcie mogących skutkować zmianami w harmonogramie. </w:t>
            </w:r>
            <w:r w:rsidR="001F4959">
              <w:rPr>
                <w:rFonts w:ascii="Arial" w:hAnsi="Arial" w:cs="Arial"/>
                <w:color w:val="000000"/>
                <w:sz w:val="18"/>
                <w:szCs w:val="18"/>
              </w:rPr>
              <w:t xml:space="preserve">Brak zmiany w stosunku do raportu nr </w:t>
            </w:r>
            <w:r w:rsidR="000E1F10">
              <w:rPr>
                <w:rFonts w:ascii="Arial" w:hAnsi="Arial" w:cs="Arial"/>
                <w:color w:val="000000"/>
                <w:sz w:val="18"/>
                <w:szCs w:val="18"/>
              </w:rPr>
              <w:t>9</w:t>
            </w:r>
          </w:p>
        </w:tc>
      </w:tr>
      <w:tr w:rsidR="007549AD" w:rsidRPr="00C67480" w14:paraId="6505B269" w14:textId="77777777" w:rsidTr="007549AD">
        <w:tc>
          <w:tcPr>
            <w:tcW w:w="3143" w:type="dxa"/>
            <w:shd w:val="clear" w:color="auto" w:fill="auto"/>
            <w:vAlign w:val="center"/>
          </w:tcPr>
          <w:p w14:paraId="414D9B8E"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Rotacja kadrowa wśród pracowników odpowiedzialnych za realizację projektu</w:t>
            </w:r>
          </w:p>
        </w:tc>
        <w:tc>
          <w:tcPr>
            <w:tcW w:w="1688" w:type="dxa"/>
            <w:shd w:val="clear" w:color="auto" w:fill="auto"/>
            <w:vAlign w:val="center"/>
          </w:tcPr>
          <w:p w14:paraId="59557D89"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Mała</w:t>
            </w:r>
          </w:p>
        </w:tc>
        <w:tc>
          <w:tcPr>
            <w:tcW w:w="2294" w:type="dxa"/>
            <w:shd w:val="clear" w:color="auto" w:fill="auto"/>
            <w:vAlign w:val="center"/>
          </w:tcPr>
          <w:p w14:paraId="3FBDE0A3"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725FAE52"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Staranny dobór pracowników; zapewnienie wynagrodzenia na satysfakcjonującym poziomie; motywowanie personelu.</w:t>
            </w:r>
          </w:p>
          <w:p w14:paraId="5BAF693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jest eliminacją bądź ograniczenie zjawiska rotacji personelu.</w:t>
            </w:r>
          </w:p>
          <w:p w14:paraId="73642C55" w14:textId="404936F0"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0E1F10">
              <w:rPr>
                <w:rFonts w:ascii="Arial" w:hAnsi="Arial" w:cs="Arial"/>
                <w:color w:val="000000"/>
                <w:sz w:val="18"/>
                <w:szCs w:val="18"/>
              </w:rPr>
              <w:t>9</w:t>
            </w:r>
            <w:r w:rsidRPr="00C67480">
              <w:rPr>
                <w:rFonts w:ascii="Arial" w:hAnsi="Arial" w:cs="Arial"/>
                <w:color w:val="000000"/>
                <w:sz w:val="18"/>
                <w:szCs w:val="18"/>
              </w:rPr>
              <w:t>.</w:t>
            </w:r>
          </w:p>
        </w:tc>
      </w:tr>
      <w:tr w:rsidR="007549AD" w:rsidRPr="00C67480" w14:paraId="2CBC3948" w14:textId="77777777" w:rsidTr="007549AD">
        <w:tc>
          <w:tcPr>
            <w:tcW w:w="3143" w:type="dxa"/>
            <w:shd w:val="clear" w:color="auto" w:fill="auto"/>
            <w:vAlign w:val="center"/>
          </w:tcPr>
          <w:p w14:paraId="269A57F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lastRenderedPageBreak/>
              <w:t>Opóźnienie we wpływie kolejnych transz płatności w ramach dofinansowania</w:t>
            </w:r>
          </w:p>
        </w:tc>
        <w:tc>
          <w:tcPr>
            <w:tcW w:w="1688" w:type="dxa"/>
            <w:shd w:val="clear" w:color="auto" w:fill="auto"/>
            <w:vAlign w:val="center"/>
          </w:tcPr>
          <w:p w14:paraId="0A2D4ED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Mała</w:t>
            </w:r>
          </w:p>
        </w:tc>
        <w:tc>
          <w:tcPr>
            <w:tcW w:w="2294" w:type="dxa"/>
            <w:shd w:val="clear" w:color="auto" w:fill="auto"/>
            <w:vAlign w:val="center"/>
          </w:tcPr>
          <w:p w14:paraId="073632C0"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45459C6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Sporządzanie kompletnych formalnie i merytorycznie wniosków o płatność w terminach wynikających z założonego harmonogramu.</w:t>
            </w:r>
          </w:p>
          <w:p w14:paraId="1A8E2583"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podejmowanych działań jest ograniczenie ryzyka zapytań bądź uwag do składanych wniosków o płatność co powinno zmniejszyć ryzyko opóźnień w wypłatach kolejnych transz.</w:t>
            </w:r>
          </w:p>
          <w:p w14:paraId="5A41E35C" w14:textId="0BC74A1B"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0E1F10">
              <w:rPr>
                <w:rFonts w:ascii="Arial" w:hAnsi="Arial" w:cs="Arial"/>
                <w:color w:val="000000"/>
                <w:sz w:val="18"/>
                <w:szCs w:val="18"/>
              </w:rPr>
              <w:t>9</w:t>
            </w:r>
            <w:r w:rsidRPr="00C67480">
              <w:rPr>
                <w:rFonts w:ascii="Arial" w:hAnsi="Arial" w:cs="Arial"/>
                <w:color w:val="000000"/>
                <w:sz w:val="18"/>
                <w:szCs w:val="18"/>
              </w:rPr>
              <w:t>.</w:t>
            </w:r>
          </w:p>
        </w:tc>
      </w:tr>
      <w:tr w:rsidR="007549AD" w:rsidRPr="00C67480" w14:paraId="712A5BF3" w14:textId="77777777" w:rsidTr="007549AD">
        <w:tc>
          <w:tcPr>
            <w:tcW w:w="3143" w:type="dxa"/>
            <w:shd w:val="clear" w:color="auto" w:fill="auto"/>
            <w:vAlign w:val="center"/>
          </w:tcPr>
          <w:p w14:paraId="4BEE587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Koszty zbudowania systemu przekroczą zakładany budżet</w:t>
            </w:r>
          </w:p>
        </w:tc>
        <w:tc>
          <w:tcPr>
            <w:tcW w:w="1688" w:type="dxa"/>
            <w:shd w:val="clear" w:color="auto" w:fill="auto"/>
            <w:vAlign w:val="center"/>
          </w:tcPr>
          <w:p w14:paraId="11C4E13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Duża</w:t>
            </w:r>
          </w:p>
        </w:tc>
        <w:tc>
          <w:tcPr>
            <w:tcW w:w="2294" w:type="dxa"/>
            <w:shd w:val="clear" w:color="auto" w:fill="auto"/>
            <w:vAlign w:val="center"/>
          </w:tcPr>
          <w:p w14:paraId="4900CADB" w14:textId="73824971" w:rsidR="007549AD" w:rsidRPr="00C67480" w:rsidRDefault="00777883" w:rsidP="008833B4">
            <w:pPr>
              <w:spacing w:after="0" w:line="240" w:lineRule="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Średnie</w:t>
            </w:r>
          </w:p>
        </w:tc>
        <w:tc>
          <w:tcPr>
            <w:tcW w:w="2373" w:type="dxa"/>
            <w:shd w:val="clear" w:color="auto" w:fill="auto"/>
            <w:vAlign w:val="center"/>
          </w:tcPr>
          <w:p w14:paraId="3E72FF29" w14:textId="684877C6" w:rsidR="007549AD" w:rsidRPr="00C67480" w:rsidRDefault="00777883" w:rsidP="008833B4">
            <w:pPr>
              <w:spacing w:after="0" w:line="240" w:lineRule="auto"/>
              <w:rPr>
                <w:rFonts w:ascii="Arial" w:hAnsi="Arial" w:cs="Arial"/>
                <w:color w:val="000000"/>
                <w:sz w:val="18"/>
                <w:szCs w:val="18"/>
              </w:rPr>
            </w:pPr>
            <w:r>
              <w:rPr>
                <w:rFonts w:ascii="Arial" w:hAnsi="Arial" w:cs="Arial"/>
                <w:color w:val="000000"/>
                <w:sz w:val="18"/>
                <w:szCs w:val="18"/>
              </w:rPr>
              <w:t>Pierwotnie z</w:t>
            </w:r>
            <w:r w:rsidR="007549AD" w:rsidRPr="00C67480">
              <w:rPr>
                <w:rFonts w:ascii="Arial" w:hAnsi="Arial" w:cs="Arial"/>
                <w:color w:val="000000"/>
                <w:sz w:val="18"/>
                <w:szCs w:val="18"/>
              </w:rPr>
              <w:t xml:space="preserve">większono prawdopodobieństwo wystąpienia ryzyka ze względu na arbitralne obniżenie budżetu przez ekspertów oceniających wniosek o dofinansowanie w obszarze doradztwa IT oraz usługi programistycznej dokonane na etapie oceny wniosku o dofinansowanie. </w:t>
            </w:r>
          </w:p>
          <w:p w14:paraId="5CB3AC4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Wyniki przetargu potwierdziły, że kwota przeznaczona na realizację zakładanego zakresu rzeczowego była niewystarczająca.</w:t>
            </w:r>
          </w:p>
          <w:p w14:paraId="73E5C8BB"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Reakcja na ryzyko: zastosowano przesunięcie środków na ten cel z </w:t>
            </w:r>
            <w:proofErr w:type="spellStart"/>
            <w:r w:rsidRPr="00C67480">
              <w:rPr>
                <w:rFonts w:ascii="Arial" w:hAnsi="Arial" w:cs="Arial"/>
                <w:color w:val="000000"/>
                <w:sz w:val="18"/>
                <w:szCs w:val="18"/>
              </w:rPr>
              <w:t>z</w:t>
            </w:r>
            <w:proofErr w:type="spellEnd"/>
            <w:r w:rsidRPr="00C67480">
              <w:rPr>
                <w:rFonts w:ascii="Arial" w:hAnsi="Arial" w:cs="Arial"/>
                <w:color w:val="000000"/>
                <w:sz w:val="18"/>
                <w:szCs w:val="18"/>
              </w:rPr>
              <w:t xml:space="preserve"> oszczędności w innych pozycjach.</w:t>
            </w:r>
          </w:p>
          <w:p w14:paraId="5152A81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będzie zabezpieczenie właściwych kwot na realizacje zadania w pełnym zakresie.</w:t>
            </w:r>
          </w:p>
          <w:p w14:paraId="6B067102" w14:textId="041819E5" w:rsidR="007549AD" w:rsidRPr="00C67480" w:rsidRDefault="00777883" w:rsidP="008833B4">
            <w:pPr>
              <w:spacing w:after="0" w:line="240" w:lineRule="auto"/>
              <w:rPr>
                <w:rFonts w:ascii="Arial" w:hAnsi="Arial" w:cs="Arial"/>
                <w:color w:val="000000"/>
                <w:sz w:val="18"/>
                <w:szCs w:val="18"/>
              </w:rPr>
            </w:pPr>
            <w:r>
              <w:rPr>
                <w:rFonts w:ascii="Arial" w:hAnsi="Arial" w:cs="Arial"/>
                <w:color w:val="000000"/>
                <w:sz w:val="18"/>
                <w:szCs w:val="18"/>
              </w:rPr>
              <w:t xml:space="preserve">Ze względu na możliwość wykorzystania nadwyżki budżetowej wynikającej z niższej niż szacowano wartości zamówienia na usługi digitalizacyjne dokonano odpowiedniej relokacji środków w budżecie oraz zmniejszono prawdopodobieństwo wystąpienia ryzyka do średniego poziomu. </w:t>
            </w:r>
            <w:r w:rsidR="008E4E76">
              <w:rPr>
                <w:rFonts w:ascii="Arial" w:hAnsi="Arial" w:cs="Arial"/>
                <w:color w:val="000000"/>
                <w:sz w:val="18"/>
                <w:szCs w:val="18"/>
              </w:rPr>
              <w:t xml:space="preserve">Brak zmiany w stosunku do raportu nr </w:t>
            </w:r>
            <w:r w:rsidR="000E1F10">
              <w:rPr>
                <w:rFonts w:ascii="Arial" w:hAnsi="Arial" w:cs="Arial"/>
                <w:color w:val="000000"/>
                <w:sz w:val="18"/>
                <w:szCs w:val="18"/>
              </w:rPr>
              <w:t>9</w:t>
            </w:r>
            <w:r w:rsidR="008E4E76">
              <w:rPr>
                <w:rFonts w:ascii="Arial" w:hAnsi="Arial" w:cs="Arial"/>
                <w:color w:val="000000"/>
                <w:sz w:val="18"/>
                <w:szCs w:val="18"/>
              </w:rPr>
              <w:t>.</w:t>
            </w:r>
          </w:p>
        </w:tc>
      </w:tr>
      <w:tr w:rsidR="007549AD" w:rsidRPr="00C67480" w14:paraId="6AFCEF17" w14:textId="77777777" w:rsidTr="007549AD">
        <w:tc>
          <w:tcPr>
            <w:tcW w:w="3143" w:type="dxa"/>
            <w:shd w:val="clear" w:color="auto" w:fill="auto"/>
            <w:vAlign w:val="center"/>
          </w:tcPr>
          <w:p w14:paraId="01166DC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Opóźnienia w postępowaniach przetargowych wynikające z konieczności stosowania złożonych procedur wynikających z przepisów ustawy </w:t>
            </w:r>
            <w:proofErr w:type="spellStart"/>
            <w:r w:rsidRPr="00C67480">
              <w:rPr>
                <w:rFonts w:ascii="Arial" w:hAnsi="Arial" w:cs="Arial"/>
                <w:color w:val="000000"/>
                <w:sz w:val="18"/>
                <w:szCs w:val="18"/>
              </w:rPr>
              <w:t>Pzp</w:t>
            </w:r>
            <w:proofErr w:type="spellEnd"/>
          </w:p>
        </w:tc>
        <w:tc>
          <w:tcPr>
            <w:tcW w:w="1688" w:type="dxa"/>
            <w:shd w:val="clear" w:color="auto" w:fill="auto"/>
            <w:vAlign w:val="center"/>
          </w:tcPr>
          <w:p w14:paraId="547EC99B"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Średnia</w:t>
            </w:r>
          </w:p>
        </w:tc>
        <w:tc>
          <w:tcPr>
            <w:tcW w:w="2294" w:type="dxa"/>
            <w:shd w:val="clear" w:color="auto" w:fill="auto"/>
            <w:vAlign w:val="center"/>
          </w:tcPr>
          <w:p w14:paraId="1F091661"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3AAC48BA"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Reakcja na ryzyko: przeniesienie. Zwiększanie intensywności prac po stronie wykonawcy (wykonanie usługi w krótszym czasie).</w:t>
            </w:r>
          </w:p>
          <w:p w14:paraId="7E6ED7F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lastRenderedPageBreak/>
              <w:t>Spodziewanym efektem działań będzie niwelacja opóźnień powstałych w czasie realizacji procedur zamówieniowych.</w:t>
            </w:r>
          </w:p>
          <w:p w14:paraId="7D601B1C" w14:textId="1BD22236"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0E1F10">
              <w:rPr>
                <w:rFonts w:ascii="Arial" w:hAnsi="Arial" w:cs="Arial"/>
                <w:color w:val="000000"/>
                <w:sz w:val="18"/>
                <w:szCs w:val="18"/>
              </w:rPr>
              <w:t>9</w:t>
            </w:r>
            <w:r w:rsidRPr="00C67480">
              <w:rPr>
                <w:rFonts w:ascii="Arial" w:hAnsi="Arial" w:cs="Arial"/>
                <w:color w:val="000000"/>
                <w:sz w:val="18"/>
                <w:szCs w:val="18"/>
              </w:rPr>
              <w:t>.</w:t>
            </w:r>
          </w:p>
        </w:tc>
      </w:tr>
      <w:tr w:rsidR="008E4E76" w:rsidRPr="00C67480" w14:paraId="30C17596" w14:textId="77777777" w:rsidTr="007549AD">
        <w:tc>
          <w:tcPr>
            <w:tcW w:w="3143" w:type="dxa"/>
            <w:shd w:val="clear" w:color="auto" w:fill="auto"/>
            <w:vAlign w:val="center"/>
          </w:tcPr>
          <w:p w14:paraId="09CC3651" w14:textId="767EDD6A" w:rsidR="008E4E76"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lastRenderedPageBreak/>
              <w:t>Destabilizacja harmonogramu realizacji Projektu spowodowana pandemia koronawirusa</w:t>
            </w:r>
          </w:p>
        </w:tc>
        <w:tc>
          <w:tcPr>
            <w:tcW w:w="1688" w:type="dxa"/>
            <w:shd w:val="clear" w:color="auto" w:fill="auto"/>
            <w:vAlign w:val="center"/>
          </w:tcPr>
          <w:p w14:paraId="7A4C66A9" w14:textId="0FD5F38A" w:rsidR="008E4E76"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Średnia</w:t>
            </w:r>
          </w:p>
        </w:tc>
        <w:tc>
          <w:tcPr>
            <w:tcW w:w="2294" w:type="dxa"/>
            <w:shd w:val="clear" w:color="auto" w:fill="auto"/>
            <w:vAlign w:val="center"/>
          </w:tcPr>
          <w:p w14:paraId="600B6C29" w14:textId="5884F6FC" w:rsidR="008E4E76" w:rsidRPr="00C67480" w:rsidRDefault="008E4E76" w:rsidP="008833B4">
            <w:pPr>
              <w:spacing w:after="0" w:line="240" w:lineRule="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Średnie</w:t>
            </w:r>
          </w:p>
        </w:tc>
        <w:tc>
          <w:tcPr>
            <w:tcW w:w="2373" w:type="dxa"/>
            <w:shd w:val="clear" w:color="auto" w:fill="auto"/>
            <w:vAlign w:val="center"/>
          </w:tcPr>
          <w:p w14:paraId="31414A05" w14:textId="6537E8F4" w:rsidR="008E4E76" w:rsidRPr="00C67480" w:rsidRDefault="008E4E76" w:rsidP="008833B4">
            <w:pPr>
              <w:spacing w:after="0" w:line="240" w:lineRule="auto"/>
              <w:rPr>
                <w:rFonts w:ascii="Arial" w:hAnsi="Arial" w:cs="Arial"/>
                <w:color w:val="000000"/>
                <w:sz w:val="18"/>
                <w:szCs w:val="18"/>
              </w:rPr>
            </w:pPr>
            <w:r w:rsidRPr="008E4E76">
              <w:rPr>
                <w:rFonts w:ascii="Arial" w:hAnsi="Arial" w:cs="Arial"/>
                <w:color w:val="000000"/>
                <w:sz w:val="18"/>
                <w:szCs w:val="18"/>
              </w:rPr>
              <w:t>Uzgodnienie z wykonawcą prac digitalizacyjnych nowego harmonogramu</w:t>
            </w:r>
            <w:r>
              <w:rPr>
                <w:rFonts w:ascii="Arial" w:hAnsi="Arial" w:cs="Arial"/>
                <w:color w:val="000000"/>
                <w:sz w:val="18"/>
                <w:szCs w:val="18"/>
              </w:rPr>
              <w:t xml:space="preserve">. </w:t>
            </w:r>
            <w:r w:rsidRPr="008E4E76">
              <w:rPr>
                <w:rFonts w:ascii="Arial" w:hAnsi="Arial" w:cs="Arial"/>
                <w:color w:val="000000"/>
                <w:sz w:val="18"/>
                <w:szCs w:val="18"/>
              </w:rPr>
              <w:t>Ścisłe monitorowanie przebiegu realizacji Zadań projektowych oraz reagowanie na pojawiające się trudności.</w:t>
            </w:r>
            <w:r w:rsidR="001F4959">
              <w:rPr>
                <w:rFonts w:ascii="Arial" w:hAnsi="Arial" w:cs="Arial"/>
                <w:color w:val="000000"/>
                <w:sz w:val="18"/>
                <w:szCs w:val="18"/>
              </w:rPr>
              <w:t xml:space="preserve"> Brak zmiany w stosunku do raportu nr </w:t>
            </w:r>
            <w:r w:rsidR="000E1F10">
              <w:rPr>
                <w:rFonts w:ascii="Arial" w:hAnsi="Arial" w:cs="Arial"/>
                <w:color w:val="000000"/>
                <w:sz w:val="18"/>
                <w:szCs w:val="18"/>
              </w:rPr>
              <w:t>9</w:t>
            </w:r>
            <w:r w:rsidR="001F4959">
              <w:rPr>
                <w:rFonts w:ascii="Arial" w:hAnsi="Arial" w:cs="Arial"/>
                <w:color w:val="000000"/>
                <w:sz w:val="18"/>
                <w:szCs w:val="18"/>
              </w:rPr>
              <w:t>.</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7549AD" w:rsidRPr="00C67480" w14:paraId="10324E11" w14:textId="77777777" w:rsidTr="007549AD">
        <w:trPr>
          <w:trHeight w:val="724"/>
        </w:trPr>
        <w:tc>
          <w:tcPr>
            <w:tcW w:w="3261" w:type="dxa"/>
            <w:shd w:val="clear" w:color="auto" w:fill="D9D9D9"/>
            <w:vAlign w:val="center"/>
          </w:tcPr>
          <w:p w14:paraId="54B9CCBC" w14:textId="77777777" w:rsidR="007549AD" w:rsidRPr="00C67480" w:rsidRDefault="007549AD" w:rsidP="008833B4">
            <w:pPr>
              <w:jc w:val="center"/>
              <w:rPr>
                <w:rFonts w:ascii="Arial" w:eastAsia="MS MinNew Roman" w:hAnsi="Arial" w:cs="Arial"/>
                <w:b/>
                <w:bCs/>
                <w:color w:val="000000"/>
                <w:sz w:val="20"/>
              </w:rPr>
            </w:pPr>
            <w:r w:rsidRPr="00C67480">
              <w:rPr>
                <w:rFonts w:ascii="Arial" w:eastAsia="MS MinNew Roman" w:hAnsi="Arial" w:cs="Arial"/>
                <w:b/>
                <w:bCs/>
                <w:color w:val="000000"/>
                <w:sz w:val="20"/>
              </w:rPr>
              <w:t>Nazwa ryzyka</w:t>
            </w:r>
          </w:p>
        </w:tc>
        <w:tc>
          <w:tcPr>
            <w:tcW w:w="1701" w:type="dxa"/>
            <w:shd w:val="clear" w:color="auto" w:fill="D9D9D9"/>
            <w:vAlign w:val="center"/>
          </w:tcPr>
          <w:p w14:paraId="76F02DE6" w14:textId="77777777" w:rsidR="007549AD" w:rsidRPr="00C67480" w:rsidRDefault="007549AD" w:rsidP="008833B4">
            <w:pPr>
              <w:pStyle w:val="Legenda"/>
              <w:jc w:val="center"/>
              <w:rPr>
                <w:rFonts w:ascii="Arial" w:hAnsi="Arial" w:cs="Arial"/>
                <w:color w:val="000000"/>
                <w:sz w:val="20"/>
                <w:lang w:eastAsia="pl-PL"/>
              </w:rPr>
            </w:pPr>
            <w:r w:rsidRPr="00C67480">
              <w:rPr>
                <w:rFonts w:ascii="Arial" w:hAnsi="Arial" w:cs="Arial"/>
                <w:color w:val="000000"/>
                <w:sz w:val="20"/>
                <w:szCs w:val="20"/>
              </w:rPr>
              <w:t>Siła oddziaływania</w:t>
            </w:r>
          </w:p>
        </w:tc>
        <w:tc>
          <w:tcPr>
            <w:tcW w:w="2125" w:type="dxa"/>
            <w:shd w:val="clear" w:color="auto" w:fill="D9D9D9"/>
          </w:tcPr>
          <w:p w14:paraId="771DB614" w14:textId="77777777" w:rsidR="007549AD" w:rsidRPr="00C67480" w:rsidRDefault="007549AD" w:rsidP="008833B4">
            <w:pPr>
              <w:pStyle w:val="Legenda"/>
              <w:jc w:val="center"/>
              <w:rPr>
                <w:rFonts w:ascii="Arial" w:hAnsi="Arial" w:cs="Arial"/>
                <w:color w:val="000000"/>
                <w:sz w:val="20"/>
                <w:szCs w:val="20"/>
              </w:rPr>
            </w:pPr>
            <w:r w:rsidRPr="00C67480">
              <w:rPr>
                <w:rFonts w:ascii="Arial" w:hAnsi="Arial" w:cs="Arial"/>
                <w:color w:val="000000"/>
                <w:sz w:val="20"/>
                <w:szCs w:val="20"/>
              </w:rPr>
              <w:t>Prawdopodobieństwo wystąpienia ryzyka</w:t>
            </w:r>
          </w:p>
        </w:tc>
        <w:tc>
          <w:tcPr>
            <w:tcW w:w="2693" w:type="dxa"/>
            <w:shd w:val="clear" w:color="auto" w:fill="D9D9D9"/>
            <w:vAlign w:val="center"/>
          </w:tcPr>
          <w:p w14:paraId="49DF2243" w14:textId="77777777" w:rsidR="007549AD" w:rsidRPr="00C67480" w:rsidRDefault="007549AD" w:rsidP="008833B4">
            <w:pPr>
              <w:pStyle w:val="Legenda"/>
              <w:jc w:val="center"/>
              <w:rPr>
                <w:rFonts w:ascii="Arial" w:hAnsi="Arial" w:cs="Arial"/>
                <w:color w:val="000000"/>
                <w:sz w:val="20"/>
                <w:lang w:eastAsia="pl-PL"/>
              </w:rPr>
            </w:pPr>
            <w:r w:rsidRPr="00C67480">
              <w:rPr>
                <w:rFonts w:ascii="Arial" w:hAnsi="Arial" w:cs="Arial"/>
                <w:color w:val="000000"/>
                <w:sz w:val="20"/>
                <w:szCs w:val="20"/>
              </w:rPr>
              <w:t>Sposób zarzadzania ryzykiem</w:t>
            </w:r>
          </w:p>
        </w:tc>
      </w:tr>
      <w:tr w:rsidR="007549AD" w:rsidRPr="00C67480" w14:paraId="53DB843F" w14:textId="77777777" w:rsidTr="007549AD">
        <w:trPr>
          <w:trHeight w:val="724"/>
        </w:trPr>
        <w:tc>
          <w:tcPr>
            <w:tcW w:w="3261" w:type="dxa"/>
            <w:shd w:val="clear" w:color="auto" w:fill="auto"/>
            <w:vAlign w:val="center"/>
          </w:tcPr>
          <w:p w14:paraId="74E9A0F6" w14:textId="77777777" w:rsidR="007549AD" w:rsidRPr="00C67480" w:rsidRDefault="007549AD" w:rsidP="008833B4">
            <w:pPr>
              <w:ind w:left="360"/>
              <w:rPr>
                <w:rFonts w:ascii="Arial" w:hAnsi="Arial" w:cs="Arial"/>
                <w:color w:val="000000"/>
                <w:sz w:val="18"/>
                <w:szCs w:val="18"/>
                <w:lang w:eastAsia="pl-PL"/>
              </w:rPr>
            </w:pPr>
            <w:r w:rsidRPr="00C67480">
              <w:rPr>
                <w:rFonts w:ascii="Arial" w:hAnsi="Arial" w:cs="Arial"/>
                <w:color w:val="000000"/>
                <w:sz w:val="18"/>
                <w:szCs w:val="18"/>
                <w:lang w:eastAsia="pl-PL"/>
              </w:rPr>
              <w:t>Niskie zainteresowanie korzystaniem z systemu</w:t>
            </w:r>
          </w:p>
        </w:tc>
        <w:tc>
          <w:tcPr>
            <w:tcW w:w="1701" w:type="dxa"/>
            <w:shd w:val="clear" w:color="auto" w:fill="FFFFFF"/>
            <w:vAlign w:val="center"/>
          </w:tcPr>
          <w:p w14:paraId="41D105D0"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Duża</w:t>
            </w:r>
          </w:p>
        </w:tc>
        <w:tc>
          <w:tcPr>
            <w:tcW w:w="2125" w:type="dxa"/>
            <w:shd w:val="clear" w:color="auto" w:fill="FFFFFF"/>
            <w:vAlign w:val="center"/>
          </w:tcPr>
          <w:p w14:paraId="0AD8CD90"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Niskie</w:t>
            </w:r>
          </w:p>
        </w:tc>
        <w:tc>
          <w:tcPr>
            <w:tcW w:w="2693" w:type="dxa"/>
            <w:shd w:val="clear" w:color="auto" w:fill="FFFFFF"/>
            <w:vAlign w:val="center"/>
          </w:tcPr>
          <w:p w14:paraId="3A52CE5A" w14:textId="77777777" w:rsidR="007549AD" w:rsidRPr="00C67480" w:rsidRDefault="007549AD" w:rsidP="008833B4">
            <w:pPr>
              <w:pStyle w:val="Legenda"/>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Przygotowanie produktów projektu w sposób atrakcyjny dla użytkowników. Skutecznie prowadzona polityka informacyjna.</w:t>
            </w:r>
          </w:p>
          <w:p w14:paraId="15C31FA6"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lang w:eastAsia="pl-PL"/>
              </w:rPr>
              <w:t>Spodziewanym efektem podejmowanych działań będzie wzrost zainteresowania potencjalnych użytkowników systemu.</w:t>
            </w:r>
          </w:p>
          <w:p w14:paraId="79A1EBAF" w14:textId="2985E426" w:rsidR="007549AD" w:rsidRPr="00C67480" w:rsidRDefault="007549AD" w:rsidP="008833B4">
            <w:pPr>
              <w:spacing w:after="0" w:line="240" w:lineRule="auto"/>
              <w:rPr>
                <w:b/>
                <w:bCs/>
                <w:lang w:eastAsia="pl-PL"/>
              </w:rPr>
            </w:pPr>
            <w:r w:rsidRPr="00C67480">
              <w:rPr>
                <w:rFonts w:ascii="Arial" w:hAnsi="Arial" w:cs="Arial"/>
                <w:sz w:val="18"/>
                <w:szCs w:val="18"/>
                <w:lang w:eastAsia="pl-PL"/>
              </w:rPr>
              <w:t xml:space="preserve">Brak zmiany w stosunku do raportu nr </w:t>
            </w:r>
            <w:r w:rsidR="000E1F10">
              <w:rPr>
                <w:rFonts w:ascii="Arial" w:hAnsi="Arial" w:cs="Arial"/>
                <w:sz w:val="18"/>
                <w:szCs w:val="18"/>
                <w:lang w:eastAsia="pl-PL"/>
              </w:rPr>
              <w:t>9</w:t>
            </w:r>
            <w:r w:rsidRPr="00C67480">
              <w:rPr>
                <w:rFonts w:ascii="Arial" w:hAnsi="Arial" w:cs="Arial"/>
                <w:sz w:val="18"/>
                <w:szCs w:val="18"/>
                <w:lang w:eastAsia="pl-PL"/>
              </w:rPr>
              <w:t>.</w:t>
            </w:r>
          </w:p>
        </w:tc>
      </w:tr>
      <w:tr w:rsidR="007549AD" w:rsidRPr="00C67480" w14:paraId="65E6D574" w14:textId="77777777" w:rsidTr="007549AD">
        <w:trPr>
          <w:trHeight w:val="724"/>
        </w:trPr>
        <w:tc>
          <w:tcPr>
            <w:tcW w:w="3261" w:type="dxa"/>
            <w:shd w:val="clear" w:color="auto" w:fill="auto"/>
            <w:vAlign w:val="center"/>
          </w:tcPr>
          <w:p w14:paraId="276D3F7A" w14:textId="77777777" w:rsidR="007549AD" w:rsidRPr="00C67480" w:rsidRDefault="007549AD" w:rsidP="008833B4">
            <w:pPr>
              <w:ind w:left="360"/>
              <w:rPr>
                <w:rFonts w:ascii="Arial" w:hAnsi="Arial" w:cs="Arial"/>
                <w:color w:val="000000"/>
                <w:sz w:val="18"/>
                <w:szCs w:val="18"/>
                <w:lang w:eastAsia="pl-PL"/>
              </w:rPr>
            </w:pPr>
            <w:r w:rsidRPr="00C67480">
              <w:rPr>
                <w:rFonts w:ascii="Arial" w:hAnsi="Arial" w:cs="Arial"/>
                <w:color w:val="000000"/>
                <w:sz w:val="18"/>
                <w:szCs w:val="18"/>
                <w:lang w:eastAsia="pl-PL"/>
              </w:rPr>
              <w:t>Zwiększone koszty eksploatacyjne systemu</w:t>
            </w:r>
          </w:p>
        </w:tc>
        <w:tc>
          <w:tcPr>
            <w:tcW w:w="1701" w:type="dxa"/>
            <w:shd w:val="clear" w:color="auto" w:fill="FFFFFF"/>
            <w:vAlign w:val="center"/>
          </w:tcPr>
          <w:p w14:paraId="2528F5F3" w14:textId="77777777" w:rsidR="007549AD" w:rsidRPr="00C67480" w:rsidRDefault="007549AD" w:rsidP="008833B4">
            <w:pPr>
              <w:pStyle w:val="Legenda"/>
              <w:jc w:val="center"/>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Mała</w:t>
            </w:r>
          </w:p>
        </w:tc>
        <w:tc>
          <w:tcPr>
            <w:tcW w:w="2125" w:type="dxa"/>
            <w:shd w:val="clear" w:color="auto" w:fill="FFFFFF"/>
            <w:vAlign w:val="center"/>
          </w:tcPr>
          <w:p w14:paraId="2F7041D2"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hAnsi="Arial" w:cs="Arial"/>
                <w:b w:val="0"/>
                <w:color w:val="000000"/>
                <w:sz w:val="18"/>
                <w:szCs w:val="18"/>
                <w:lang w:eastAsia="pl-PL"/>
              </w:rPr>
              <w:t>Niskie</w:t>
            </w:r>
          </w:p>
        </w:tc>
        <w:tc>
          <w:tcPr>
            <w:tcW w:w="2693" w:type="dxa"/>
            <w:shd w:val="clear" w:color="auto" w:fill="FFFFFF"/>
            <w:vAlign w:val="center"/>
          </w:tcPr>
          <w:p w14:paraId="0099E744" w14:textId="77777777" w:rsidR="007549AD" w:rsidRPr="00C67480" w:rsidRDefault="007549AD" w:rsidP="008833B4">
            <w:pPr>
              <w:pStyle w:val="Legenda"/>
              <w:rPr>
                <w:rFonts w:ascii="Arial" w:hAnsi="Arial" w:cs="Arial"/>
                <w:b w:val="0"/>
                <w:color w:val="000000"/>
                <w:sz w:val="18"/>
                <w:szCs w:val="18"/>
                <w:lang w:eastAsia="pl-PL"/>
              </w:rPr>
            </w:pPr>
            <w:r w:rsidRPr="00C67480">
              <w:rPr>
                <w:rFonts w:ascii="Arial" w:hAnsi="Arial" w:cs="Arial"/>
                <w:b w:val="0"/>
                <w:color w:val="000000"/>
                <w:sz w:val="18"/>
                <w:szCs w:val="18"/>
                <w:lang w:eastAsia="pl-PL"/>
              </w:rPr>
              <w:t>Bieżący monitoring funkcjonowania systemu wraz z perspektywą rozwoju pozwalający na rzetelne planowanie wydatków na utrzymanie efektów projektu.</w:t>
            </w:r>
          </w:p>
          <w:p w14:paraId="2B49C43E"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lang w:eastAsia="pl-PL"/>
              </w:rPr>
              <w:t>Spodziewanym efektem działań będzie wzrost gotowości na zwiększone koszty eksploatacyjne pozwalający na przygotowanie do ich ponoszenia w celu zagwarantowania trwałości efektów projektu.</w:t>
            </w:r>
          </w:p>
          <w:p w14:paraId="47FA3C44" w14:textId="4000D9BC" w:rsidR="007549AD" w:rsidRPr="00C67480" w:rsidRDefault="007549AD" w:rsidP="008833B4">
            <w:pPr>
              <w:spacing w:after="0" w:line="240" w:lineRule="auto"/>
              <w:rPr>
                <w:b/>
                <w:bCs/>
                <w:lang w:eastAsia="pl-PL"/>
              </w:rPr>
            </w:pPr>
            <w:r w:rsidRPr="00C67480">
              <w:rPr>
                <w:rFonts w:ascii="Arial" w:hAnsi="Arial" w:cs="Arial"/>
                <w:sz w:val="18"/>
                <w:szCs w:val="18"/>
                <w:lang w:eastAsia="pl-PL"/>
              </w:rPr>
              <w:t xml:space="preserve">Brak zmiany w stosunku do raportu nr </w:t>
            </w:r>
            <w:r w:rsidR="000E1F10">
              <w:rPr>
                <w:rFonts w:ascii="Arial" w:hAnsi="Arial" w:cs="Arial"/>
                <w:sz w:val="18"/>
                <w:szCs w:val="18"/>
                <w:lang w:eastAsia="pl-PL"/>
              </w:rPr>
              <w:t>9</w:t>
            </w:r>
            <w:r w:rsidRPr="00C67480">
              <w:rPr>
                <w:rFonts w:ascii="Arial" w:hAnsi="Arial" w:cs="Arial"/>
                <w:sz w:val="18"/>
                <w:szCs w:val="18"/>
                <w:lang w:eastAsia="pl-PL"/>
              </w:rPr>
              <w:t>.</w:t>
            </w:r>
          </w:p>
        </w:tc>
      </w:tr>
    </w:tbl>
    <w:p w14:paraId="33071B39" w14:textId="6E490E74"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5F53AA75" w14:textId="1ACBC4DC" w:rsidR="00805178" w:rsidRPr="007549AD" w:rsidRDefault="007549AD" w:rsidP="00805178">
      <w:pPr>
        <w:spacing w:after="0" w:line="240" w:lineRule="auto"/>
        <w:jc w:val="both"/>
        <w:rPr>
          <w:rStyle w:val="Nagwek2Znak"/>
          <w:rFonts w:ascii="Arial" w:eastAsia="Times New Roman" w:hAnsi="Arial" w:cs="Arial"/>
          <w:color w:val="000000" w:themeColor="text1"/>
          <w:sz w:val="18"/>
          <w:szCs w:val="18"/>
          <w:lang w:eastAsia="pl-PL"/>
        </w:rPr>
      </w:pPr>
      <w:r>
        <w:rPr>
          <w:rFonts w:ascii="Arial" w:hAnsi="Arial" w:cs="Arial"/>
          <w:color w:val="000000" w:themeColor="text1"/>
          <w:sz w:val="18"/>
          <w:szCs w:val="18"/>
        </w:rPr>
        <w:t>NIE DOTYCZY</w:t>
      </w:r>
    </w:p>
    <w:p w14:paraId="0FA2F07F" w14:textId="4B6EB655" w:rsidR="00BB059E" w:rsidRPr="00A92887"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r w:rsidR="007549AD" w:rsidRPr="00C67480">
        <w:rPr>
          <w:rFonts w:ascii="Arial" w:hAnsi="Arial" w:cs="Arial"/>
          <w:color w:val="000000"/>
          <w:sz w:val="18"/>
          <w:szCs w:val="18"/>
        </w:rPr>
        <w:t xml:space="preserve">Adam Adamczyk; Zespół Projektowy do realizacji projektu „Digitalizacja i udostępnianie cyfrowych dóbr kultury – zabytków oraz grobów i cmentarzy wojennych” w Narodowym Instytucie Dziedzictwa; e-mail: </w:t>
      </w:r>
      <w:hyperlink r:id="rId16" w:history="1">
        <w:r w:rsidR="007549AD" w:rsidRPr="00C67480">
          <w:rPr>
            <w:rStyle w:val="Hipercze"/>
            <w:rFonts w:ascii="Arial" w:hAnsi="Arial" w:cs="Arial"/>
            <w:color w:val="000000"/>
            <w:sz w:val="18"/>
            <w:szCs w:val="18"/>
          </w:rPr>
          <w:t>aadamczyk@nid.pl</w:t>
        </w:r>
      </w:hyperlink>
      <w:r w:rsidR="007549AD" w:rsidRPr="00C67480">
        <w:rPr>
          <w:rFonts w:ascii="Arial" w:hAnsi="Arial" w:cs="Arial"/>
          <w:color w:val="000000"/>
          <w:sz w:val="18"/>
          <w:szCs w:val="18"/>
        </w:rPr>
        <w:t>; tel. (22) 826 02 39 wew. 145.</w:t>
      </w:r>
    </w:p>
    <w:p w14:paraId="5ACC80B6" w14:textId="00DEADF1" w:rsidR="00A92887" w:rsidRPr="00A92887" w:rsidRDefault="00A92887" w:rsidP="00A92887">
      <w:pPr>
        <w:spacing w:after="0"/>
        <w:jc w:val="both"/>
        <w:rPr>
          <w:rFonts w:ascii="Arial" w:hAnsi="Arial" w:cs="Arial"/>
        </w:rPr>
      </w:pPr>
    </w:p>
    <w:sectPr w:rsidR="00A92887" w:rsidRPr="00A92887" w:rsidSect="00DD422D">
      <w:footerReference w:type="default" r:id="rId17"/>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C4A79" w14:textId="77777777" w:rsidR="00BE5AEE" w:rsidRDefault="00BE5AEE" w:rsidP="00BB2420">
      <w:pPr>
        <w:spacing w:after="0" w:line="240" w:lineRule="auto"/>
      </w:pPr>
      <w:r>
        <w:separator/>
      </w:r>
    </w:p>
  </w:endnote>
  <w:endnote w:type="continuationSeparator" w:id="0">
    <w:p w14:paraId="55AC1594" w14:textId="77777777" w:rsidR="00BE5AEE" w:rsidRDefault="00BE5AEE"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1A061DE7"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A3E04">
              <w:rPr>
                <w:b/>
                <w:bCs/>
                <w:noProof/>
              </w:rPr>
              <w:t>1</w:t>
            </w:r>
            <w:r>
              <w:rPr>
                <w:b/>
                <w:bCs/>
                <w:sz w:val="24"/>
                <w:szCs w:val="24"/>
              </w:rPr>
              <w:fldChar w:fldCharType="end"/>
            </w:r>
            <w:r>
              <w:t xml:space="preserve"> z </w:t>
            </w:r>
            <w:r w:rsidR="000E1F10">
              <w:rPr>
                <w:b/>
                <w:bCs/>
                <w:noProof/>
              </w:rPr>
              <w:t>9</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BB448" w14:textId="77777777" w:rsidR="00BE5AEE" w:rsidRDefault="00BE5AEE" w:rsidP="00BB2420">
      <w:pPr>
        <w:spacing w:after="0" w:line="240" w:lineRule="auto"/>
      </w:pPr>
      <w:r>
        <w:separator/>
      </w:r>
    </w:p>
  </w:footnote>
  <w:footnote w:type="continuationSeparator" w:id="0">
    <w:p w14:paraId="15A1C70B" w14:textId="77777777" w:rsidR="00BE5AEE" w:rsidRDefault="00BE5AEE" w:rsidP="00BB2420">
      <w:pPr>
        <w:spacing w:after="0" w:line="240" w:lineRule="auto"/>
      </w:pPr>
      <w:r>
        <w:continuationSeparator/>
      </w:r>
    </w:p>
  </w:footnote>
  <w:footnote w:id="1">
    <w:p w14:paraId="0F0AF0DE" w14:textId="77777777" w:rsidR="00120F79" w:rsidRDefault="00120F79" w:rsidP="00120F79">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9044FB"/>
    <w:multiLevelType w:val="hybridMultilevel"/>
    <w:tmpl w:val="25847D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D94A38"/>
    <w:multiLevelType w:val="hybridMultilevel"/>
    <w:tmpl w:val="408825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4"/>
  </w:num>
  <w:num w:numId="2">
    <w:abstractNumId w:val="2"/>
  </w:num>
  <w:num w:numId="3">
    <w:abstractNumId w:val="21"/>
  </w:num>
  <w:num w:numId="4">
    <w:abstractNumId w:val="11"/>
  </w:num>
  <w:num w:numId="5">
    <w:abstractNumId w:val="18"/>
  </w:num>
  <w:num w:numId="6">
    <w:abstractNumId w:val="3"/>
  </w:num>
  <w:num w:numId="7">
    <w:abstractNumId w:val="16"/>
  </w:num>
  <w:num w:numId="8">
    <w:abstractNumId w:val="0"/>
  </w:num>
  <w:num w:numId="9">
    <w:abstractNumId w:val="7"/>
  </w:num>
  <w:num w:numId="10">
    <w:abstractNumId w:val="4"/>
  </w:num>
  <w:num w:numId="11">
    <w:abstractNumId w:val="5"/>
  </w:num>
  <w:num w:numId="12">
    <w:abstractNumId w:val="17"/>
  </w:num>
  <w:num w:numId="13">
    <w:abstractNumId w:val="15"/>
  </w:num>
  <w:num w:numId="14">
    <w:abstractNumId w:val="1"/>
  </w:num>
  <w:num w:numId="15">
    <w:abstractNumId w:val="19"/>
  </w:num>
  <w:num w:numId="16">
    <w:abstractNumId w:val="9"/>
  </w:num>
  <w:num w:numId="17">
    <w:abstractNumId w:val="13"/>
  </w:num>
  <w:num w:numId="18">
    <w:abstractNumId w:val="12"/>
  </w:num>
  <w:num w:numId="19">
    <w:abstractNumId w:val="10"/>
  </w:num>
  <w:num w:numId="20">
    <w:abstractNumId w:val="20"/>
  </w:num>
  <w:num w:numId="21">
    <w:abstractNumId w:val="6"/>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B059E"/>
    <w:rsid w:val="000B3E49"/>
    <w:rsid w:val="000C5E00"/>
    <w:rsid w:val="000E0060"/>
    <w:rsid w:val="000E1828"/>
    <w:rsid w:val="000E1F10"/>
    <w:rsid w:val="000E4BF8"/>
    <w:rsid w:val="000F0F9C"/>
    <w:rsid w:val="000F20A9"/>
    <w:rsid w:val="000F307B"/>
    <w:rsid w:val="000F30B9"/>
    <w:rsid w:val="0011693F"/>
    <w:rsid w:val="00120F79"/>
    <w:rsid w:val="00122388"/>
    <w:rsid w:val="00124C3D"/>
    <w:rsid w:val="001309CA"/>
    <w:rsid w:val="00141A92"/>
    <w:rsid w:val="001441D4"/>
    <w:rsid w:val="00145E84"/>
    <w:rsid w:val="0015102C"/>
    <w:rsid w:val="00153381"/>
    <w:rsid w:val="00157512"/>
    <w:rsid w:val="00176FBB"/>
    <w:rsid w:val="00181E97"/>
    <w:rsid w:val="00182A08"/>
    <w:rsid w:val="001A2EF2"/>
    <w:rsid w:val="001C2D74"/>
    <w:rsid w:val="001C7FAC"/>
    <w:rsid w:val="001E0CAC"/>
    <w:rsid w:val="001E16A3"/>
    <w:rsid w:val="001E1DEA"/>
    <w:rsid w:val="001E7199"/>
    <w:rsid w:val="001F24A0"/>
    <w:rsid w:val="001F4959"/>
    <w:rsid w:val="001F67EC"/>
    <w:rsid w:val="001F777C"/>
    <w:rsid w:val="0020330A"/>
    <w:rsid w:val="00237279"/>
    <w:rsid w:val="00240D69"/>
    <w:rsid w:val="00241B5E"/>
    <w:rsid w:val="00252087"/>
    <w:rsid w:val="00263392"/>
    <w:rsid w:val="00265194"/>
    <w:rsid w:val="00275EDE"/>
    <w:rsid w:val="00276C00"/>
    <w:rsid w:val="002825F1"/>
    <w:rsid w:val="00293351"/>
    <w:rsid w:val="00294349"/>
    <w:rsid w:val="002A3C02"/>
    <w:rsid w:val="002A3E04"/>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34A24"/>
    <w:rsid w:val="003410FE"/>
    <w:rsid w:val="003508E7"/>
    <w:rsid w:val="003542F1"/>
    <w:rsid w:val="00356A3E"/>
    <w:rsid w:val="00356FAD"/>
    <w:rsid w:val="003642B8"/>
    <w:rsid w:val="00392919"/>
    <w:rsid w:val="003A4115"/>
    <w:rsid w:val="003A71BA"/>
    <w:rsid w:val="003B5B7A"/>
    <w:rsid w:val="003C7325"/>
    <w:rsid w:val="003D7DD0"/>
    <w:rsid w:val="003E3144"/>
    <w:rsid w:val="003F45EE"/>
    <w:rsid w:val="00405EA4"/>
    <w:rsid w:val="0041034F"/>
    <w:rsid w:val="004118A3"/>
    <w:rsid w:val="00423A26"/>
    <w:rsid w:val="00425046"/>
    <w:rsid w:val="004350B8"/>
    <w:rsid w:val="00444AAB"/>
    <w:rsid w:val="00450089"/>
    <w:rsid w:val="004729D1"/>
    <w:rsid w:val="004C1D48"/>
    <w:rsid w:val="004D65CA"/>
    <w:rsid w:val="004F6E89"/>
    <w:rsid w:val="00504B06"/>
    <w:rsid w:val="005076A1"/>
    <w:rsid w:val="00513213"/>
    <w:rsid w:val="00517F12"/>
    <w:rsid w:val="0052102C"/>
    <w:rsid w:val="005212C8"/>
    <w:rsid w:val="00524E6C"/>
    <w:rsid w:val="005332D6"/>
    <w:rsid w:val="00544DFE"/>
    <w:rsid w:val="005548F2"/>
    <w:rsid w:val="005734CE"/>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61A62"/>
    <w:rsid w:val="006731D9"/>
    <w:rsid w:val="006822BC"/>
    <w:rsid w:val="006948D3"/>
    <w:rsid w:val="006A60AA"/>
    <w:rsid w:val="006B034F"/>
    <w:rsid w:val="006B5117"/>
    <w:rsid w:val="006C78AE"/>
    <w:rsid w:val="006E0CFA"/>
    <w:rsid w:val="006E6205"/>
    <w:rsid w:val="00701800"/>
    <w:rsid w:val="00725708"/>
    <w:rsid w:val="00740A47"/>
    <w:rsid w:val="00746ABD"/>
    <w:rsid w:val="007549AD"/>
    <w:rsid w:val="0077418F"/>
    <w:rsid w:val="00775C44"/>
    <w:rsid w:val="00776802"/>
    <w:rsid w:val="00777883"/>
    <w:rsid w:val="007924CE"/>
    <w:rsid w:val="00795AFA"/>
    <w:rsid w:val="007A4742"/>
    <w:rsid w:val="007B0251"/>
    <w:rsid w:val="007C2F7E"/>
    <w:rsid w:val="007C6235"/>
    <w:rsid w:val="007C70D1"/>
    <w:rsid w:val="007D1990"/>
    <w:rsid w:val="007D2C34"/>
    <w:rsid w:val="007D38BD"/>
    <w:rsid w:val="007D3F21"/>
    <w:rsid w:val="007E341A"/>
    <w:rsid w:val="007F126F"/>
    <w:rsid w:val="007F320C"/>
    <w:rsid w:val="00803FBE"/>
    <w:rsid w:val="00805178"/>
    <w:rsid w:val="00806134"/>
    <w:rsid w:val="00830306"/>
    <w:rsid w:val="00830B70"/>
    <w:rsid w:val="00840749"/>
    <w:rsid w:val="00845C28"/>
    <w:rsid w:val="0087452F"/>
    <w:rsid w:val="00875528"/>
    <w:rsid w:val="00884686"/>
    <w:rsid w:val="008A332F"/>
    <w:rsid w:val="008A52F6"/>
    <w:rsid w:val="008B1633"/>
    <w:rsid w:val="008C4BCD"/>
    <w:rsid w:val="008C6721"/>
    <w:rsid w:val="008D3826"/>
    <w:rsid w:val="008E4E76"/>
    <w:rsid w:val="008F2D9B"/>
    <w:rsid w:val="008F67EE"/>
    <w:rsid w:val="00907F6D"/>
    <w:rsid w:val="00911190"/>
    <w:rsid w:val="0091332C"/>
    <w:rsid w:val="009256F2"/>
    <w:rsid w:val="00933BEC"/>
    <w:rsid w:val="009347B8"/>
    <w:rsid w:val="00936729"/>
    <w:rsid w:val="0095183B"/>
    <w:rsid w:val="00952126"/>
    <w:rsid w:val="00952617"/>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11788"/>
    <w:rsid w:val="00A30847"/>
    <w:rsid w:val="00A36AE2"/>
    <w:rsid w:val="00A43E49"/>
    <w:rsid w:val="00A44EA2"/>
    <w:rsid w:val="00A56D63"/>
    <w:rsid w:val="00A67685"/>
    <w:rsid w:val="00A728AE"/>
    <w:rsid w:val="00A804AE"/>
    <w:rsid w:val="00A86449"/>
    <w:rsid w:val="00A87C1C"/>
    <w:rsid w:val="00A92887"/>
    <w:rsid w:val="00AA4CAB"/>
    <w:rsid w:val="00AA51AD"/>
    <w:rsid w:val="00AA730D"/>
    <w:rsid w:val="00AB2E01"/>
    <w:rsid w:val="00AC7E26"/>
    <w:rsid w:val="00AD45BB"/>
    <w:rsid w:val="00AE1643"/>
    <w:rsid w:val="00AE3A6C"/>
    <w:rsid w:val="00AF09B8"/>
    <w:rsid w:val="00AF567D"/>
    <w:rsid w:val="00B10058"/>
    <w:rsid w:val="00B17709"/>
    <w:rsid w:val="00B23828"/>
    <w:rsid w:val="00B27EE9"/>
    <w:rsid w:val="00B41415"/>
    <w:rsid w:val="00B440C3"/>
    <w:rsid w:val="00B46B7D"/>
    <w:rsid w:val="00B50560"/>
    <w:rsid w:val="00B5532F"/>
    <w:rsid w:val="00B64B3C"/>
    <w:rsid w:val="00B673C6"/>
    <w:rsid w:val="00B74859"/>
    <w:rsid w:val="00B87D3D"/>
    <w:rsid w:val="00B91243"/>
    <w:rsid w:val="00B91FA5"/>
    <w:rsid w:val="00BA481C"/>
    <w:rsid w:val="00BA58A3"/>
    <w:rsid w:val="00BB059E"/>
    <w:rsid w:val="00BB18FD"/>
    <w:rsid w:val="00BB2420"/>
    <w:rsid w:val="00BB49AC"/>
    <w:rsid w:val="00BB57DA"/>
    <w:rsid w:val="00BB5ACE"/>
    <w:rsid w:val="00BC1BD2"/>
    <w:rsid w:val="00BC6BE4"/>
    <w:rsid w:val="00BE47CD"/>
    <w:rsid w:val="00BE5AEE"/>
    <w:rsid w:val="00BE5BF9"/>
    <w:rsid w:val="00C1106C"/>
    <w:rsid w:val="00C26361"/>
    <w:rsid w:val="00C302F1"/>
    <w:rsid w:val="00C3575F"/>
    <w:rsid w:val="00C42AEA"/>
    <w:rsid w:val="00C45166"/>
    <w:rsid w:val="00C57985"/>
    <w:rsid w:val="00C6751B"/>
    <w:rsid w:val="00CA516B"/>
    <w:rsid w:val="00CC7E21"/>
    <w:rsid w:val="00CE74F9"/>
    <w:rsid w:val="00CE7777"/>
    <w:rsid w:val="00CF2E64"/>
    <w:rsid w:val="00D02F6D"/>
    <w:rsid w:val="00D22C21"/>
    <w:rsid w:val="00D25CFE"/>
    <w:rsid w:val="00D4607F"/>
    <w:rsid w:val="00D57025"/>
    <w:rsid w:val="00D57765"/>
    <w:rsid w:val="00D77F50"/>
    <w:rsid w:val="00D859F4"/>
    <w:rsid w:val="00D85A52"/>
    <w:rsid w:val="00D86FEC"/>
    <w:rsid w:val="00D9367E"/>
    <w:rsid w:val="00DA34DF"/>
    <w:rsid w:val="00DB47E8"/>
    <w:rsid w:val="00DB69FD"/>
    <w:rsid w:val="00DC0A8A"/>
    <w:rsid w:val="00DC1705"/>
    <w:rsid w:val="00DC39A9"/>
    <w:rsid w:val="00DC4C79"/>
    <w:rsid w:val="00DD422D"/>
    <w:rsid w:val="00DE6249"/>
    <w:rsid w:val="00DE731D"/>
    <w:rsid w:val="00E0076D"/>
    <w:rsid w:val="00E11B44"/>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97E5A"/>
    <w:rsid w:val="00EA0B4F"/>
    <w:rsid w:val="00EB00AB"/>
    <w:rsid w:val="00EC2AFC"/>
    <w:rsid w:val="00ED3CE4"/>
    <w:rsid w:val="00F00387"/>
    <w:rsid w:val="00F138F7"/>
    <w:rsid w:val="00F2008A"/>
    <w:rsid w:val="00F21D9E"/>
    <w:rsid w:val="00F25348"/>
    <w:rsid w:val="00F40A3C"/>
    <w:rsid w:val="00F45506"/>
    <w:rsid w:val="00F60062"/>
    <w:rsid w:val="00F613CC"/>
    <w:rsid w:val="00F74B28"/>
    <w:rsid w:val="00F76777"/>
    <w:rsid w:val="00F83F2F"/>
    <w:rsid w:val="00F86555"/>
    <w:rsid w:val="00F86C58"/>
    <w:rsid w:val="00FC30C7"/>
    <w:rsid w:val="00FC3B03"/>
    <w:rsid w:val="00FE4D07"/>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uiPriority w:val="99"/>
    <w:unhideWhenUsed/>
    <w:rsid w:val="007549A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47691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bytek.pl" TargetMode="External"/><Relationship Id="rId13" Type="http://schemas.openxmlformats.org/officeDocument/2006/relationships/hyperlink" Target="http://www.mapy.zabytek.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bytek.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aadamczyk@nid.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py.zabytek.gov.pl" TargetMode="External"/><Relationship Id="rId5" Type="http://schemas.openxmlformats.org/officeDocument/2006/relationships/webSettings" Target="webSettings.xml"/><Relationship Id="rId15" Type="http://schemas.openxmlformats.org/officeDocument/2006/relationships/hyperlink" Target="http://www.mapy.zabytek.gov.pl" TargetMode="External"/><Relationship Id="rId10" Type="http://schemas.openxmlformats.org/officeDocument/2006/relationships/hyperlink" Target="http://www.zabytek.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py.zabytek.gov.pl" TargetMode="External"/><Relationship Id="rId14" Type="http://schemas.openxmlformats.org/officeDocument/2006/relationships/hyperlink" Target="http://www.zabyte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11949-EDF6-4F08-9461-44A962741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2242</Words>
  <Characters>13453</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2021-08-30T05:01:00Z</dcterms:created>
  <dcterms:modified xsi:type="dcterms:W3CDTF">2021-08-30T05:01:00Z</dcterms:modified>
</cp:coreProperties>
</file>