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B8E8" w14:textId="107D54C1" w:rsidR="00DD209D" w:rsidRDefault="00C16C26">
      <w:pPr>
        <w:spacing w:after="225" w:line="240" w:lineRule="auto"/>
        <w:outlineLvl w:val="2"/>
      </w:pPr>
      <w:bookmarkStart w:id="0" w:name="_GoBack"/>
      <w:bookmarkEnd w:id="0"/>
      <w:r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 xml:space="preserve">OGŁOSZENIE O PISEMNYM PRZETARGU NIEOGRANICZONYM NA </w:t>
      </w:r>
      <w:r w:rsidR="00035746"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>SPRZEDAŻ</w:t>
      </w:r>
      <w:r>
        <w:rPr>
          <w:rFonts w:ascii="Arial" w:eastAsia="Times New Roman" w:hAnsi="Arial" w:cs="Helvetica"/>
          <w:i/>
          <w:iCs/>
          <w:color w:val="000000"/>
          <w:sz w:val="28"/>
          <w:szCs w:val="28"/>
          <w:lang w:eastAsia="pl-PL"/>
        </w:rPr>
        <w:t xml:space="preserve"> NIERUCHOMOŚCI (ZNAK SPRAWY: ZA/01/05/2022)</w:t>
      </w:r>
    </w:p>
    <w:p w14:paraId="0CFB7BD1" w14:textId="77777777" w:rsidR="00DD209D" w:rsidRDefault="00C16C2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AF9D5F6" wp14:editId="3D9220D3">
            <wp:extent cx="1898650" cy="62738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CB1B" w14:textId="77777777" w:rsidR="00DD209D" w:rsidRDefault="00C16C26">
      <w:pPr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Helvetica"/>
          <w:b/>
          <w:bCs/>
          <w:color w:val="000000"/>
          <w:sz w:val="21"/>
          <w:szCs w:val="21"/>
          <w:lang w:eastAsia="pl-PL"/>
        </w:rPr>
        <w:t>Termin:</w:t>
      </w:r>
    </w:p>
    <w:tbl>
      <w:tblPr>
        <w:tblW w:w="5612" w:type="dxa"/>
        <w:tblCellMar>
          <w:top w:w="120" w:type="dxa"/>
          <w:left w:w="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22"/>
        <w:gridCol w:w="3090"/>
      </w:tblGrid>
      <w:tr w:rsidR="00DD209D" w14:paraId="1946270E" w14:textId="77777777">
        <w:tc>
          <w:tcPr>
            <w:tcW w:w="2522" w:type="dxa"/>
            <w:tcBorders>
              <w:top w:val="single" w:sz="2" w:space="0" w:color="DDDDDD"/>
            </w:tcBorders>
            <w:shd w:val="clear" w:color="auto" w:fill="auto"/>
          </w:tcPr>
          <w:p w14:paraId="26819DE8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Zamieszczenia Data opublikowania na platformazakupowa.pl:</w:t>
            </w:r>
          </w:p>
        </w:tc>
        <w:tc>
          <w:tcPr>
            <w:tcW w:w="3089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5593919D" w14:textId="77777777" w:rsidR="00DD209D" w:rsidRDefault="00C16C26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highlight w:val="yellow"/>
                <w:lang w:eastAsia="pl-PL"/>
              </w:rPr>
              <w:t>09.05.2022</w:t>
            </w:r>
          </w:p>
        </w:tc>
      </w:tr>
      <w:tr w:rsidR="00DD209D" w14:paraId="532BC51B" w14:textId="77777777">
        <w:tc>
          <w:tcPr>
            <w:tcW w:w="2522" w:type="dxa"/>
            <w:tcBorders>
              <w:top w:val="single" w:sz="2" w:space="0" w:color="DDDDDD"/>
            </w:tcBorders>
            <w:shd w:val="clear" w:color="auto" w:fill="auto"/>
          </w:tcPr>
          <w:p w14:paraId="3354F098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Składania:</w:t>
            </w:r>
          </w:p>
        </w:tc>
        <w:tc>
          <w:tcPr>
            <w:tcW w:w="3089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5C9ECD03" w14:textId="77777777" w:rsidR="00DD209D" w:rsidRDefault="00C16C26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highlight w:val="yellow"/>
                <w:lang w:eastAsia="pl-PL"/>
              </w:rPr>
              <w:t>30.05.2022 12:00:00</w:t>
            </w:r>
          </w:p>
        </w:tc>
      </w:tr>
      <w:tr w:rsidR="00DD209D" w14:paraId="4F8C9704" w14:textId="77777777">
        <w:tc>
          <w:tcPr>
            <w:tcW w:w="2522" w:type="dxa"/>
            <w:tcBorders>
              <w:top w:val="single" w:sz="2" w:space="0" w:color="DDDDDD"/>
            </w:tcBorders>
            <w:shd w:val="clear" w:color="auto" w:fill="auto"/>
          </w:tcPr>
          <w:p w14:paraId="51356E8E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Tryb:</w:t>
            </w:r>
          </w:p>
        </w:tc>
        <w:tc>
          <w:tcPr>
            <w:tcW w:w="3089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09DF1DF3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Ogłoszenie bez przyjmowania ofert/wniosków</w:t>
            </w:r>
          </w:p>
        </w:tc>
      </w:tr>
      <w:tr w:rsidR="00DD209D" w14:paraId="0EAC7ACB" w14:textId="77777777">
        <w:tc>
          <w:tcPr>
            <w:tcW w:w="2522" w:type="dxa"/>
            <w:tcBorders>
              <w:top w:val="single" w:sz="2" w:space="0" w:color="DDDDDD"/>
            </w:tcBorders>
            <w:shd w:val="clear" w:color="auto" w:fill="auto"/>
          </w:tcPr>
          <w:p w14:paraId="5F8A66F1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Rodzaj:</w:t>
            </w:r>
          </w:p>
        </w:tc>
        <w:tc>
          <w:tcPr>
            <w:tcW w:w="3089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5B9C1A5E" w14:textId="77777777" w:rsidR="00DD209D" w:rsidRDefault="00C1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l-PL"/>
              </w:rPr>
              <w:t>Usługa</w:t>
            </w:r>
          </w:p>
        </w:tc>
      </w:tr>
    </w:tbl>
    <w:p w14:paraId="09EF6DC7" w14:textId="77777777" w:rsidR="00DD209D" w:rsidRDefault="00DD209D">
      <w:pPr>
        <w:spacing w:after="150" w:line="31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41532F54" w14:textId="2461B7B8" w:rsidR="00DD209D" w:rsidRDefault="00C16C26">
      <w:pPr>
        <w:spacing w:after="150" w:line="315" w:lineRule="atLeast"/>
        <w:jc w:val="center"/>
        <w:rPr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OGŁOSZENIE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br/>
        <w:t xml:space="preserve">O PISEMNYM PRZETARGU NIEOGRANICZONYM NA </w:t>
      </w:r>
      <w:r w:rsidR="0003574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SPRZEDAŻ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 xml:space="preserve"> NIERUCHOMOŚCI (ZNAK SPRAWY: ZA/02/04/2022)</w:t>
      </w:r>
    </w:p>
    <w:p w14:paraId="2F4B80A9" w14:textId="77777777" w:rsidR="00DD209D" w:rsidRDefault="00C16C26">
      <w:pPr>
        <w:spacing w:after="150" w:line="276" w:lineRule="auto"/>
        <w:jc w:val="center"/>
        <w:rPr>
          <w:rFonts w:ascii="Arial" w:eastAsia="Times New Roman" w:hAnsi="Arial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</w:t>
      </w:r>
    </w:p>
    <w:p w14:paraId="7E939062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Sprzedającego</w:t>
      </w:r>
    </w:p>
    <w:p w14:paraId="7E16FA41" w14:textId="77777777" w:rsidR="00DD209D" w:rsidRDefault="00C16C26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Sprzedającym jest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Geovita Spółka Akcyjna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siedzibą w Jadwisinie, przy ul. Ogrodowej 31 (05–140 Jadwisin, gm. Serock), (dalej także jako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,,Sprzedający”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,,Spółka”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zarejestrowana w rejestrze przedsiębiorców prowadzonym przez Sąd Rejonowy dla m. st. Warszawy w Warszawie, XIV Wydział Gospodarczy Krajowego Rejestru Sądowego pod numerem KRS 0000425914, NIP 5262734680, REGON 015529186, kapitał zakładowy: 113.407.782,00 PLN (wniesiony w całości).</w:t>
      </w:r>
    </w:p>
    <w:p w14:paraId="528B9D27" w14:textId="77777777" w:rsidR="00DD209D" w:rsidRDefault="00C16C26">
      <w:pPr>
        <w:spacing w:after="150" w:line="276" w:lineRule="auto"/>
        <w:ind w:left="135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5118BFA7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prawne</w:t>
      </w:r>
    </w:p>
    <w:p w14:paraId="3D7D4561" w14:textId="77777777" w:rsidR="00DD209D" w:rsidRDefault="00C16C26">
      <w:p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</w:t>
      </w:r>
      <w:r>
        <w:rPr>
          <w:rFonts w:ascii="Arial" w:eastAsia="Times New Roman" w:hAnsi="Arial" w:cs="Times New Roman"/>
          <w:b/>
          <w:bCs/>
          <w:color w:val="000000"/>
          <w:sz w:val="14"/>
          <w:szCs w:val="14"/>
          <w:lang w:eastAsia="pl-PL"/>
        </w:rPr>
        <w:t> 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Geovita S.A.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jest podmiotem prawa prywatnego. Przedmiotowe postępowanie nie podlega ustawie z dnia 11 września 2019 roku  Prawo zamówień publicznych (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Dz. U. 221, poz. 1129 ze zm.)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(dalej: PZP)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ustawie z dnia 21 sierpnia 1997 roku o gospodarce nieruchomościami (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Dz. U. 221, poz. 1899 ze zm.)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(dalej: UGN)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oraz Rozporządzeniu Rady Ministrów z dnia 14 września 2004 r. w sprawie sposobu i trybu przeprowadzania przetargów oraz rokowań na zbycie nieruchomości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(Dz. U. 2004, poz. 2108).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Jednakże celem zagwarantowania przejrzystości i poprawności prawej postępowania, niektóre przepisy w/w aktów prawnych stosuje się wprost. Oferent przed przystąpieniem do przetargu zobowiązany jest do zapoznania się i akceptacji treści „Regulaminu zbywania składników aktywów trwałych Spółki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GEOVITA S.A. z/s w Jadwisinie " (dalej także jako ,,REGULAMIN”, dostępne w siedzibie Spółki oraz na stronie internetowej Spółki.</w:t>
      </w:r>
    </w:p>
    <w:p w14:paraId="09DB80AB" w14:textId="77777777" w:rsidR="00DD209D" w:rsidRDefault="00C16C26">
      <w:pPr>
        <w:tabs>
          <w:tab w:val="left" w:pos="516"/>
        </w:tabs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Niniejsze postępowanie prowadzi się w języku polskim wyłącznie w formie pisemnej.</w:t>
      </w:r>
    </w:p>
    <w:p w14:paraId="44E3DF36" w14:textId="77777777" w:rsidR="00DD209D" w:rsidRDefault="00C16C26">
      <w:pPr>
        <w:tabs>
          <w:tab w:val="left" w:pos="516"/>
        </w:tabs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3.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 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oświadcza, iż czynności związane z przygotowaniem oraz przeprowadzeniem postępowania wykonują osoby zapewniające bezstronność i obiektywizm.</w:t>
      </w:r>
    </w:p>
    <w:p w14:paraId="74F6F235" w14:textId="77777777" w:rsidR="00DD209D" w:rsidRDefault="00C16C26">
      <w:pPr>
        <w:tabs>
          <w:tab w:val="left" w:pos="516"/>
        </w:tabs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Sprzedający może unieważnić lub odwołać postępowanie w w każdym czasie bez podawania przyczyn. Oferenci nie mają prawa do dochodzenia z tego tytułu odszkodowania. </w:t>
      </w:r>
    </w:p>
    <w:p w14:paraId="40B6C20E" w14:textId="77777777" w:rsidR="00DD209D" w:rsidRDefault="00C16C26">
      <w:pPr>
        <w:tabs>
          <w:tab w:val="left" w:pos="516"/>
        </w:tabs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Sprzedaż nieruchomości objętych niniejszym postępowaniem uzależniona jest od przyszłego uprzedniego pozyskania przez Sprzedającego stosownych zgód korporacyjnych udzielanych przez organy Statutowe Spółki.</w:t>
      </w:r>
    </w:p>
    <w:p w14:paraId="3E3F7505" w14:textId="77777777" w:rsidR="00DD209D" w:rsidRDefault="00C16C26">
      <w:pPr>
        <w:tabs>
          <w:tab w:val="left" w:pos="516"/>
        </w:tabs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Kupujący ponosi wszystkie koszty związane z zakupem nieruchomości, w tym koszty opłat za czynności notarialne.. W przypadku konieczności zawarcia umowy w formie aktu notarialnego wyboru kancelarii notarialnej, która sporządzi umowę dokonuje Spółka. </w:t>
      </w:r>
    </w:p>
    <w:p w14:paraId="237903CE" w14:textId="77777777" w:rsidR="00DD209D" w:rsidRDefault="00C16C26">
      <w:pPr>
        <w:spacing w:after="150" w:line="276" w:lineRule="auto"/>
        <w:ind w:left="135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7493B825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Etapy postępowania</w:t>
      </w:r>
    </w:p>
    <w:p w14:paraId="620C5A20" w14:textId="77777777" w:rsidR="00DD209D" w:rsidRDefault="00C16C26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Postępowanie prowadzone jest w formie pisemnego przetargu nieograniczonego przez Komisję o której mowa w § 8. Regulaminu  i podzielone jest na etapy.</w:t>
      </w:r>
    </w:p>
    <w:p w14:paraId="0EEA730A" w14:textId="77777777" w:rsidR="00DD209D" w:rsidRDefault="00C16C26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- część jawna przetargu z udziałem oferentów - tj. otwarcie ofert, odczytanie nazwisk (nazw) i adresów oferentów oraz proponowane ceny zakupu nieruchomości.</w:t>
      </w:r>
    </w:p>
    <w:p w14:paraId="534C124F" w14:textId="77777777" w:rsidR="00DD209D" w:rsidRDefault="00C16C26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analiza ofert pod kątem zgodności z warunkami zawartymi w ogłoszeniu o przetargu oraz zgodność z obowiązującymi przepisami i ocena ofert w oparciu o wskazane w warunkach przetargu kryteria oraz oferenta, który zaoferował cenę najwyższą, .</w:t>
      </w:r>
    </w:p>
    <w:p w14:paraId="28674C13" w14:textId="77777777" w:rsidR="00DD209D" w:rsidRDefault="00C16C26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Etap III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w razie ustalenia, że kilku oferentów zaoferowało tę samą cenę, prowadzący przetarg informuje oferentów o terminie i miejscu kontynuacji postępowania w formie aukcji, z zachowaniem § 14 Regulaminu, przy czym w przypadku obecności wszystkich oferentów, którzy będą brali udział w aukcji, za zgodą wszystkich oferentów, prowadzący przetarg może kontynuować postępowanie w formie aukcji w tym samym dniu. </w:t>
      </w:r>
    </w:p>
    <w:p w14:paraId="1DDE338B" w14:textId="77777777" w:rsidR="00DD209D" w:rsidRDefault="00C16C26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</w:p>
    <w:p w14:paraId="706C2FA3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IV.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przedmiotu postępowania</w:t>
      </w:r>
    </w:p>
    <w:p w14:paraId="016C7FBF" w14:textId="77777777" w:rsidR="00DD209D" w:rsidRDefault="00C16C26">
      <w:pPr>
        <w:spacing w:after="150" w:line="315" w:lineRule="atLeast"/>
        <w:ind w:left="397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Przedmiotem niniejszego postępowania jest łączna sprzedaż: </w:t>
      </w:r>
    </w:p>
    <w:p w14:paraId="3A6D7BDB" w14:textId="77777777" w:rsidR="00DD209D" w:rsidRDefault="00C16C26">
      <w:pPr>
        <w:spacing w:after="150" w:line="315" w:lineRule="atLeast"/>
        <w:ind w:left="1215" w:hanging="36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prawa wieczystego użytkowania nieruchomości gruntowej zabudowanej, stanowiącej działkę ewidencyjną nr: 38/2 (obręb: 0010) o powierzchni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1,6995 ha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dla której Sąd Rejonowy w Pile, VI Wydział Ksiąg Wieczystych prowadzi księgę wieczystą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KW: PO1I/00007254/1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1535669D" w14:textId="77777777" w:rsidR="00DD209D" w:rsidRDefault="00C16C26">
      <w:pPr>
        <w:spacing w:after="150" w:line="315" w:lineRule="atLeast"/>
        <w:ind w:left="1215" w:hanging="36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nieruchomości gruntowej zabudowanej  stanowiącej działki ewidencyjne nr: 42/5 i 42/6 (obręb: 0010) o powierzchni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0,2049 ha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dla której Sąd Rejonowy w Pile, VI Wydział Ksiąg Wieczystych prowadzi księgę wieczystą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KW: PO1I/00007755/3.</w:t>
      </w:r>
    </w:p>
    <w:p w14:paraId="3CAE631C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Nieruchomość znajduje się w miejscowości Piła w części Płotki, gmina Piła, powiat pilski, województwo wielkopolskie. Położona jest w odległości ok. 7 km od centrum Piły, ok. 88 km od Bydgoszczy i ok. 100 km od Poznania. Otoczenie nieruchomości stanowią przede wszystkim obszary leśne, brak innych zabudowań. Nieruchomość oddalona jest o 500 m od plaży przy jeziorze Płotki i 700 m od jeziora Jeleniowego. Najbliższy budynek inny niż obiekty przy plaży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znajduje się 2,7 km od nieruchomości, zaś najbliższa restauracja położona jest w odległości 3,5 km.</w:t>
      </w:r>
    </w:p>
    <w:p w14:paraId="091D0D5B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posiada dostęp do drogi publicznej od ul. Płotki. Droga krajowa nr 10 łącząca Piłę z Bydgoszczą i Szczecinem znajduje się w odległości ok. 3 km.</w:t>
      </w:r>
    </w:p>
    <w:p w14:paraId="3A9609EA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jest objęta miejscowym planem zagospodarowania przestrzennego, zgodnie z którym teren nieruchomości przeznaczony jest pod usługi turystyki (UT1), tereny infrastruktury technicznej: gazu (G), kanalizacji (K1) oraz wody (W1).</w:t>
      </w:r>
    </w:p>
    <w:p w14:paraId="29073624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terenie przedmiotowej nieruchomości znajduje się Centrum Konferencji i Rekreacji Geovita w Pile – Płotkach wraz z infrastrukturą i zapleczem noclegowym i gastronomicznym. Powierzchnia użytkowa kompleksu wynosi 2.911 m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Składają się na nią 3 kondygnacje oraz 1 kondygnacja (budynek administracyjny oraz wypoczynkowy, wiata z częścią mieszkalną). Nadto w Hotelu znajdują się:</w:t>
      </w:r>
    </w:p>
    <w:p w14:paraId="14B4DEA5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55 pokoi o łącznej liczbie miejsc noclegowych wynoszących 105.</w:t>
      </w:r>
    </w:p>
    <w:p w14:paraId="79CE1211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Restauracja z barem, sala bankietowo – konferencyjna;</w:t>
      </w:r>
    </w:p>
    <w:p w14:paraId="719803DE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 sal konferencyjnych.</w:t>
      </w:r>
    </w:p>
    <w:p w14:paraId="6FD958DA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Sauna.</w:t>
      </w:r>
    </w:p>
    <w:p w14:paraId="0032911F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Siłownia.</w:t>
      </w:r>
    </w:p>
    <w:p w14:paraId="2EF5F15C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Infrastruktura sportowa (boiska).</w:t>
      </w:r>
    </w:p>
    <w:p w14:paraId="2C391883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Chata grillowa.</w:t>
      </w:r>
    </w:p>
    <w:p w14:paraId="256E2365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Park linowy.</w:t>
      </w:r>
    </w:p>
    <w:p w14:paraId="0D50B050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Specyfika działek przedstawia się następująco:</w:t>
      </w:r>
    </w:p>
    <w:p w14:paraId="6B889FA3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Działka 42/6 o powierzchni 174 m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całości porośnięta jest lasem.</w:t>
      </w:r>
    </w:p>
    <w:p w14:paraId="7361215B" w14:textId="77777777" w:rsidR="00DD209D" w:rsidRDefault="00C16C26">
      <w:pPr>
        <w:spacing w:after="150" w:line="315" w:lineRule="atLeast"/>
        <w:ind w:left="1215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Działki 38/2 i 42/5 posiadają nieregularny kształt zbliżony do prostokąta. Działka 38/2 posiada bezpośredni dostęp do asfaltowej drogi publicznej.</w:t>
      </w:r>
    </w:p>
    <w:p w14:paraId="704984AF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posiada dostęp do podstawowych mediów, tj. energii elektrycznej, sieci wodociągowej i kanalizacyjnej.</w:t>
      </w:r>
    </w:p>
    <w:p w14:paraId="4F742BAE" w14:textId="77777777" w:rsidR="00DD209D" w:rsidRDefault="00C16C26">
      <w:pPr>
        <w:spacing w:after="150" w:line="315" w:lineRule="atLeast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terenie nieruchomości znajduje się sieć chodników i dróg wewnętrznych oraz szereg budowli takich jak: sieć oświetleniowa, linie kablowe średniego i niskiego napięcia, studnie głębinowe, drogi i place.</w:t>
      </w:r>
    </w:p>
    <w:p w14:paraId="36BC80A9" w14:textId="77777777" w:rsidR="00DD209D" w:rsidRDefault="00C16C26">
      <w:pPr>
        <w:spacing w:after="150" w:line="315" w:lineRule="atLeast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Nieruchomość otoczona jest ogrodzeniem z przęseł z prętów stalowych.</w:t>
      </w:r>
    </w:p>
    <w:p w14:paraId="78A0B40D" w14:textId="355DCCF9" w:rsidR="00DD209D" w:rsidRDefault="00C16C26">
      <w:pPr>
        <w:spacing w:after="150" w:line="315" w:lineRule="atLeast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10. Nieruchomość objęta przedmiotowym postępowania może być przedmiotem oględzin w terminie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do dnia 24-go maja 2022 roku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 uprzednim ustaleniu ze Sprzedającym daty i godziny oględzin.</w:t>
      </w:r>
    </w:p>
    <w:p w14:paraId="48283CB3" w14:textId="77777777" w:rsidR="00DD209D" w:rsidRDefault="00DD209D">
      <w:pPr>
        <w:spacing w:after="150" w:line="276" w:lineRule="auto"/>
        <w:ind w:left="495" w:hanging="360"/>
        <w:jc w:val="both"/>
        <w:rPr>
          <w:rFonts w:eastAsia="Times New Roman" w:cs="Helvetica"/>
          <w:color w:val="000000"/>
          <w:sz w:val="21"/>
          <w:szCs w:val="21"/>
          <w:lang w:eastAsia="pl-PL"/>
        </w:rPr>
      </w:pPr>
    </w:p>
    <w:p w14:paraId="4AAD811C" w14:textId="77777777" w:rsidR="00DD209D" w:rsidRDefault="00C16C26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Wadium</w:t>
      </w:r>
    </w:p>
    <w:p w14:paraId="7D3EE017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Warunkiem udziału w postępowaniu jest wniesienie wadium w wysokości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151.000,00 PLN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 terminie 2 dni roboczych przed terminem składania ofert.</w:t>
      </w:r>
    </w:p>
    <w:p w14:paraId="7027D926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Wadium wpłaca się w pieniądzu przelewem na rachunek bankowy Sprzedającego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55 1240 6292 1111 0010 6683 8880.</w:t>
      </w:r>
    </w:p>
    <w:p w14:paraId="43C27E51" w14:textId="4741F521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należy wnieść najpóźniej do dnia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 xml:space="preserve">25-go maja 2022 roku </w:t>
      </w:r>
      <w:r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l-PL"/>
        </w:rPr>
        <w:t xml:space="preserve">do godziny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16:00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 datę wpłaty wadium uznaje się dzień wpływu środków pieniężnych na wskazany rachunek bankowy Sprzedającego. Na dowodzie wpłaty należy umieścić informację wskazującą oznaczenie składnika aktywów trwałych, którego wadium dotyczy.</w:t>
      </w:r>
    </w:p>
    <w:p w14:paraId="1774B87A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Niedopuszczalna jest zapłata wadium poprzez kompensatę wierzytelności przysługujących Nabywcy wobec Spółki.</w:t>
      </w:r>
    </w:p>
    <w:p w14:paraId="73D5EBFF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wniesione przez uczestnika postępowania, którego oferta zostanie wybrana jako najkorzystniejsza, zostanie zaliczone na poczet  ceny sprzedaży.</w:t>
      </w:r>
    </w:p>
    <w:p w14:paraId="70CB8102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Wadium wniesione przez uczestnika postępowania, którego oferta nie zostanie wybrana jako najkorzystniejsza, podlega zwrotowi w kwocie nominalnej bez odsetek w terminie 7 dni od dnia ogłoszenia wyników etapu II postępowania.</w:t>
      </w:r>
    </w:p>
    <w:p w14:paraId="4A210ECE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 zatrzymuje wadium, jeżeli oferent, którego oferta została wybrana nie przystąpi do zawarcia umowy sprzedaży </w:t>
      </w:r>
    </w:p>
    <w:p w14:paraId="7141D005" w14:textId="77777777" w:rsidR="00DD209D" w:rsidRDefault="00C16C26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O przepadku wadium na rzecz Spółki, w sytuacji zaistnienia przesłanek przepadku określonych w Regulaminie, Spółka niezwłocznie po zatwierdzeniu wyników postępowania przez Zarząd Spółki - zawiadomi pisemnie podmiot, który dokonał wpłaty wadium</w:t>
      </w:r>
    </w:p>
    <w:p w14:paraId="04D65232" w14:textId="77777777" w:rsidR="00DD209D" w:rsidRDefault="00C16C26">
      <w:pPr>
        <w:spacing w:after="150" w:line="276" w:lineRule="auto"/>
        <w:jc w:val="both"/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VI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WYSOKOŚĆ POSTĄPIENIA</w:t>
      </w:r>
    </w:p>
    <w:p w14:paraId="2D1BFDBD" w14:textId="77777777" w:rsidR="00DD209D" w:rsidRDefault="00C16C26">
      <w:pPr>
        <w:spacing w:after="150" w:line="276" w:lineRule="auto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Wysokość postąpienia wynosi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15.250,00 zł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(słownie: piętnaście tysięcy dwieście pięćdziesiąt złotych), tj. ok 0,5% ceny wywoławczej. W przypadku kontynuowania postępowania w trybie licytacji warunkiem ważności postępowania jest zaoferowanie przynajmniej przez jednego oferenta jednego postąpienia ponad cenę wywoławczą.</w:t>
      </w:r>
    </w:p>
    <w:p w14:paraId="25E210A1" w14:textId="77777777" w:rsidR="00DD209D" w:rsidRDefault="00DD209D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14:paraId="6CA4C993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Minimalna cena nieruchomości</w:t>
      </w:r>
    </w:p>
    <w:p w14:paraId="08D60B7C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Sprzedający oświadcza, iż minimalna kwota zakupu nieruchomości nie może być niższa niż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3.050.000,00 PLN netto</w:t>
      </w:r>
      <w:r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highlight w:val="yellow"/>
          <w:lang w:eastAsia="pl-PL"/>
        </w:rPr>
        <w:t>(słownie: trzy miliony pięćdziesiąt tysięcy złotych 00/100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)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 –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Cena Wywoławcza.</w:t>
      </w:r>
    </w:p>
    <w:p w14:paraId="168349EC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Uczestnik postępowania powinien złożyć ofertę na Formularzu ofertowym, stanowiącym załącznik nr 1 do niniejszego ogłoszenia.</w:t>
      </w:r>
    </w:p>
    <w:p w14:paraId="45B7AD37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uczestnika niebędącego osobą fizyczną, wraz z ofertą należy przedłożyć wypis z Centralnej Ewidencji i Informacji o Działalności Gospodarczej albo odpis aktualny z Krajowego Rejestru Sądowego.</w:t>
      </w:r>
    </w:p>
    <w:p w14:paraId="327CDF96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pełnomocnika podmiotu, o którym mowa w ust. 3 powyżej, wraz z ofertą należy przedłożyć aktualny dokument umocowania, uprawniający pełnomocnika do złożenia oferty w postępowaniu.</w:t>
      </w:r>
    </w:p>
    <w:p w14:paraId="7B9A57B4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Wszelkie dokumenty sporządzone w języku obcym winny być przetłumaczone na język polski przez tłumacza przysięgłego.</w:t>
      </w:r>
    </w:p>
    <w:p w14:paraId="6B2388E7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Kopie dokumentów, składane wraz ofertą, winny posiadać potwierdzenie za zgodność z oryginałem.</w:t>
      </w:r>
    </w:p>
    <w:p w14:paraId="4D47F124" w14:textId="77777777" w:rsidR="00DD209D" w:rsidRDefault="00C16C26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Oferta oraz wszelkie dokumenty wraz z nią przedkładane winny być opatrzone podpisem uczestnika postępowania lub osoby przez niego umocowanej.</w:t>
      </w:r>
    </w:p>
    <w:p w14:paraId="5BFAC938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VIII.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 i miejsce składania ofert</w:t>
      </w:r>
    </w:p>
    <w:p w14:paraId="3F064CB3" w14:textId="77777777" w:rsidR="00DD209D" w:rsidRDefault="00C16C26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Uczestnik postępowania składa ofertę w terminie do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 xml:space="preserve">30 maja </w:t>
      </w:r>
      <w:bookmarkStart w:id="1" w:name="_Hlk98783579"/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highlight w:val="yellow"/>
          <w:lang w:eastAsia="pl-PL"/>
        </w:rPr>
        <w:t>2022 roku</w:t>
      </w:r>
      <w:r>
        <w:rPr>
          <w:rFonts w:ascii="Arial" w:eastAsia="Times New Roman" w:hAnsi="Arial" w:cs="Times New Roman"/>
          <w:color w:val="000000"/>
          <w:sz w:val="21"/>
          <w:szCs w:val="21"/>
          <w:highlight w:val="yellow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l-PL"/>
        </w:rPr>
        <w:t xml:space="preserve">do godziny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12:00</w:t>
      </w:r>
      <w:bookmarkEnd w:id="1"/>
      <w:r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pl-PL"/>
        </w:rPr>
        <w:t>.</w:t>
      </w:r>
    </w:p>
    <w:p w14:paraId="6FB94352" w14:textId="77777777" w:rsidR="00DD209D" w:rsidRDefault="00C16C26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Oferta wraz z załącznikami powinna zostać złożona w formie pisemnej, w zaklejonej kopercie z dopiskiem: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pl-PL"/>
        </w:rPr>
        <w:t xml:space="preserve">„OFERTA W POSTĘPOWANIU NA ZAKUP NIERUCHOMOŚCI (ZNAK SPRAWY: ZA/01/04/2022) – NIE OTWIERAĆ PRZED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highlight w:val="yellow"/>
          <w:u w:val="single"/>
          <w:lang w:eastAsia="pl-PL"/>
        </w:rPr>
        <w:t>30.05.</w:t>
      </w:r>
      <w:bookmarkStart w:id="2" w:name="_Hlk98783601"/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highlight w:val="yellow"/>
          <w:u w:val="single"/>
          <w:lang w:eastAsia="pl-PL"/>
        </w:rPr>
        <w:t xml:space="preserve">2022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highlight w:val="yellow"/>
          <w:u w:val="single"/>
          <w:lang w:eastAsia="pl-PL"/>
        </w:rPr>
        <w:t>do godziny 12</w:t>
      </w:r>
      <w:bookmarkEnd w:id="2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highlight w:val="yellow"/>
          <w:u w:val="single"/>
          <w:lang w:eastAsia="pl-PL"/>
        </w:rPr>
        <w:t>:15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highlight w:val="yellow"/>
          <w:lang w:eastAsia="pl-PL"/>
        </w:rPr>
        <w:t>.</w:t>
      </w:r>
    </w:p>
    <w:p w14:paraId="315887E4" w14:textId="77777777" w:rsidR="00DD209D" w:rsidRDefault="00C16C26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Miejscem składania ofert jest recepcja Centrum Szkoleń i Konferencji Geovita w Jadwisinie, przy ul. Ogrodowej 31, 05–140 Jadwisin gm. Serock.</w:t>
      </w:r>
    </w:p>
    <w:p w14:paraId="2C620D45" w14:textId="77777777" w:rsidR="00DD209D" w:rsidRDefault="00C16C26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Otwarcie ofert nastąpi w Centrum Szkoleń i Konferencji Geovita w Jadwisinie, przy ulicy Ogrodowej 31, 05–140 Jadwisin gm. Serock, </w:t>
      </w:r>
      <w:bookmarkStart w:id="3" w:name="_Hlk98783625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dnia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 xml:space="preserve">30 maja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highlight w:val="yellow"/>
          <w:lang w:eastAsia="pl-PL"/>
        </w:rPr>
        <w:t xml:space="preserve">2022 roku o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godzinie 12:</w:t>
      </w:r>
      <w:bookmarkEnd w:id="3"/>
      <w:r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l-PL"/>
        </w:rPr>
        <w:t>15.</w:t>
      </w:r>
    </w:p>
    <w:p w14:paraId="48A3E8EE" w14:textId="77777777" w:rsidR="00DD209D" w:rsidRDefault="00C16C26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Otwarcie ofert jest jawne. Wyniki otwarcia zostaną opublikowane na internetowej platformie zakupowej Sprzedającego.</w:t>
      </w:r>
    </w:p>
    <w:p w14:paraId="532BDCA2" w14:textId="77777777" w:rsidR="00DD209D" w:rsidRDefault="00C16C26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54BC1B73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IX.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Kryteria oceny ofert – możliwość prowadzenia aukcji.</w:t>
      </w:r>
    </w:p>
    <w:p w14:paraId="4F75FA7F" w14:textId="77777777" w:rsidR="00DD209D" w:rsidRDefault="00C16C26">
      <w:pPr>
        <w:spacing w:after="150" w:line="276" w:lineRule="auto"/>
        <w:ind w:left="340" w:hanging="34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</w:t>
      </w:r>
      <w:r>
        <w:rPr>
          <w:rFonts w:ascii="Arial" w:eastAsia="Times New Roman" w:hAnsi="Arial" w:cs="Times New Roman"/>
          <w:color w:val="000000"/>
          <w:sz w:val="14"/>
          <w:szCs w:val="14"/>
          <w:lang w:eastAsia="pl-PL"/>
        </w:rPr>
        <w:t>   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Sprzedający oświadcza, iż uczestnik postępowania może zdobyć maksymalnie 100 pkt w ramach oceny oferty.</w:t>
      </w:r>
    </w:p>
    <w:p w14:paraId="7C17AD4E" w14:textId="77777777" w:rsidR="00DD209D" w:rsidRDefault="00C16C26">
      <w:pPr>
        <w:spacing w:after="150" w:line="276" w:lineRule="auto"/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  Zaoferowana kwota 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akupu stanowi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100 % kryterium oceny ofert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3607B01" w14:textId="77777777" w:rsidR="00DD209D" w:rsidRDefault="00C16C26">
      <w:pPr>
        <w:spacing w:after="150" w:line="276" w:lineRule="auto"/>
        <w:ind w:left="340" w:hanging="340"/>
        <w:jc w:val="both"/>
        <w:rPr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pl-PL"/>
        </w:rPr>
        <w:t>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gdy</w:t>
      </w:r>
      <w:r>
        <w:rPr>
          <w:rFonts w:ascii="Arial" w:eastAsia="Times New Roman" w:hAnsi="Arial" w:cs="Helvetica"/>
          <w:color w:val="666666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kilku oferentów zaoferowało tę samą cenę, prowadzący przetarg będzie  kontynuował postępowanie w formie aukcji, przy czym w przypadku obecności wszystkich oferentów, którzy będą brali udział w aukcji, za zgodą wszystkich oferentów, prowadzący przetarg może kontynuować postępowanie w formie aukcji w tym samym dniu.</w:t>
      </w:r>
    </w:p>
    <w:p w14:paraId="175B9DF9" w14:textId="77777777" w:rsidR="00DD209D" w:rsidRDefault="00C16C26">
      <w:pPr>
        <w:spacing w:after="150" w:line="276" w:lineRule="auto"/>
        <w:ind w:left="340" w:hanging="340"/>
        <w:jc w:val="both"/>
        <w:rPr>
          <w:color w:val="000000"/>
          <w:highlight w:val="yellow"/>
        </w:rPr>
      </w:pPr>
      <w:bookmarkStart w:id="4" w:name="__DdeLink__14997_3534942074"/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4. Do udziału w aukcji, o której mowa powyżej mogą zostać dopuszczone wyłącznie osoby, które:</w:t>
      </w:r>
      <w:bookmarkEnd w:id="4"/>
    </w:p>
    <w:p w14:paraId="30C80D4F" w14:textId="77777777" w:rsidR="00DD209D" w:rsidRDefault="00C16C26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okazały dowód tożsamości,</w:t>
      </w:r>
    </w:p>
    <w:p w14:paraId="05B35DDA" w14:textId="77777777" w:rsidR="00DD209D" w:rsidRDefault="00C16C26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okazały dokument wykazujący ich prawidłowe umocowanie do składania oświadczeń woli w imieniu i na rzecz podmiotów, które wniosły wadium w trakcie aukcji;</w:t>
      </w:r>
    </w:p>
    <w:p w14:paraId="4D2438FB" w14:textId="77777777" w:rsidR="00DD209D" w:rsidRDefault="00C16C26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podpisały Oświadczenie, że:</w:t>
      </w:r>
    </w:p>
    <w:p w14:paraId="01AAC549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się, akceptują i nie wnoszą zastrzeżeń do stanu prawnego i faktycznego przedmiotu postępowania; </w:t>
      </w:r>
    </w:p>
    <w:p w14:paraId="0F5F3BAB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się, akceptują  bez zastrzeżeń „Regulamin zbywania składników aktywów trwałych Spółki Geovita S.A. z siedzibą w Jadwisinie”; </w:t>
      </w:r>
    </w:p>
    <w:p w14:paraId="5380C0CD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przyjmują bez zastrzeżeń warunki przetargu/aukcji; </w:t>
      </w:r>
    </w:p>
    <w:p w14:paraId="0D71535D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zapoznały się z treścią ogłoszenia; </w:t>
      </w:r>
    </w:p>
    <w:p w14:paraId="4F97D6EC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w przypadku niewyrażenia przez organy statutowe  Sprzedającego zgód korporacyjnych niezbędnych do przeprowadzenia transakcji, nie będą wnosiły żadnych roszczeń do Spółki związanych z nie zawarciem umowy sprzedaży. </w:t>
      </w:r>
    </w:p>
    <w:p w14:paraId="0F1D0829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złożyły informację, że w przypadku przystąpienia do przetargu lub aukcji osoby fizycznej, ma ona obowiązek złożenia pisemnego oświadczenia o wyrażeniu zgody na przetwarzanie jej danych osobowych dla potrzeb prowadzonego przetargu lub aukcji, </w:t>
      </w:r>
    </w:p>
    <w:p w14:paraId="67CEBA00" w14:textId="77777777" w:rsidR="00DD209D" w:rsidRDefault="00C16C26">
      <w:pPr>
        <w:numPr>
          <w:ilvl w:val="0"/>
          <w:numId w:val="7"/>
        </w:numPr>
        <w:spacing w:after="150" w:line="276" w:lineRule="auto"/>
        <w:ind w:left="737" w:hanging="340"/>
        <w:jc w:val="both"/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złożyły oświadczenie, iż w przypadku zamknięcia przetargu lub aukcji i wyboru jego oferty, a następnie niewyrażenia zgody, o której mowa powyżej nie będzie wnosił żadnych roszczeń do Spółki związanych z nie zawarciem umowy sprzedaży.</w:t>
      </w:r>
    </w:p>
    <w:p w14:paraId="00C2792E" w14:textId="77777777" w:rsidR="00DD209D" w:rsidRDefault="00C16C26">
      <w:pPr>
        <w:spacing w:after="15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5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 xml:space="preserve">. Postąpienie w aukcji, wynosi </w:t>
      </w:r>
      <w:r>
        <w:rPr>
          <w:rFonts w:ascii="Arial" w:eastAsia="Times New Roman" w:hAnsi="Arial" w:cs="Helvetica"/>
          <w:b/>
          <w:bCs/>
          <w:color w:val="000000"/>
          <w:sz w:val="21"/>
          <w:szCs w:val="21"/>
          <w:lang w:eastAsia="pl-PL"/>
        </w:rPr>
        <w:t xml:space="preserve">0,5% 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Ceny Wywoławczej (</w:t>
      </w:r>
      <w:r>
        <w:rPr>
          <w:rFonts w:ascii="Arial" w:eastAsia="Times New Roman" w:hAnsi="Arial" w:cs="Helvetica"/>
          <w:b/>
          <w:bCs/>
          <w:color w:val="000000"/>
          <w:sz w:val="21"/>
          <w:szCs w:val="21"/>
          <w:lang w:eastAsia="pl-PL"/>
        </w:rPr>
        <w:t>15.250,00 zł</w:t>
      </w: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).</w:t>
      </w:r>
    </w:p>
    <w:p w14:paraId="3FAF91C2" w14:textId="77777777" w:rsidR="00DD209D" w:rsidRDefault="00DD209D">
      <w:pPr>
        <w:spacing w:after="150" w:line="276" w:lineRule="auto"/>
        <w:jc w:val="both"/>
        <w:rPr>
          <w:rFonts w:eastAsia="Times New Roman" w:cs="Helvetica"/>
          <w:color w:val="000000"/>
          <w:sz w:val="21"/>
          <w:szCs w:val="21"/>
          <w:lang w:eastAsia="pl-PL"/>
        </w:rPr>
      </w:pPr>
    </w:p>
    <w:p w14:paraId="4D779439" w14:textId="77777777" w:rsidR="00DD209D" w:rsidRDefault="00C16C26">
      <w:pPr>
        <w:spacing w:after="150" w:line="276" w:lineRule="auto"/>
        <w:ind w:left="737" w:hanging="73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X.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dodatkowe</w:t>
      </w:r>
    </w:p>
    <w:p w14:paraId="7F7E1E5A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Uczestnicy postępowania mogą (w zakresie pytań dotyczących treści niniejszego ogłoszenia) kontaktować się z wyznaczonym pracownikiem Sprzedającego za pomocą poczty elektronicznej lub pod wskazanym numerem telefonu.</w:t>
      </w:r>
    </w:p>
    <w:p w14:paraId="245F661F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Osobami kontaktowymi po stronie Sprzedającego są:</w:t>
      </w:r>
    </w:p>
    <w:p w14:paraId="7ADD7DD0" w14:textId="77777777" w:rsidR="00DD209D" w:rsidRDefault="00C16C26">
      <w:pPr>
        <w:pStyle w:val="Akapitzlist"/>
        <w:numPr>
          <w:ilvl w:val="1"/>
          <w:numId w:val="3"/>
        </w:numPr>
        <w:spacing w:after="150" w:line="276" w:lineRule="auto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Pan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Marek Dronszczyk – Dyrektor Operacyjny Geovita S.A.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(mail: </w:t>
      </w:r>
      <w:hyperlink r:id="rId8">
        <w:r>
          <w:rPr>
            <w:rStyle w:val="ListLabel16"/>
            <w:rFonts w:eastAsiaTheme="minorHAnsi"/>
            <w:color w:val="000000"/>
          </w:rPr>
          <w:t>m</w:t>
        </w:r>
      </w:hyperlink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arek.dronszczyk@geovita.pl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; tel. 691 914 474).</w:t>
      </w:r>
    </w:p>
    <w:p w14:paraId="1E308A81" w14:textId="77777777" w:rsidR="00DD209D" w:rsidRDefault="00C16C26">
      <w:pPr>
        <w:pStyle w:val="Akapitzlist"/>
        <w:numPr>
          <w:ilvl w:val="1"/>
          <w:numId w:val="3"/>
        </w:num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Pan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Piotr Walisiewicz – Radca Prawny Geovita S.A.</w:t>
      </w:r>
    </w:p>
    <w:p w14:paraId="473E26BE" w14:textId="77777777" w:rsidR="00DD209D" w:rsidRDefault="00C16C26">
      <w:pPr>
        <w:pStyle w:val="Akapitzlist"/>
        <w:spacing w:after="150" w:line="276" w:lineRule="auto"/>
        <w:ind w:left="1212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(mail: </w:t>
      </w:r>
      <w:hyperlink r:id="rId9">
        <w:r>
          <w:rPr>
            <w:rStyle w:val="czeinternetowe"/>
            <w:rFonts w:ascii="Arial" w:eastAsia="Times New Roman" w:hAnsi="Arial" w:cs="Arial"/>
            <w:color w:val="000000"/>
            <w:sz w:val="21"/>
            <w:szCs w:val="21"/>
            <w:lang w:eastAsia="pl-PL"/>
          </w:rPr>
          <w:t>biurozarzadu@geovita.pl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tel. 601 372 489).</w:t>
      </w:r>
    </w:p>
    <w:p w14:paraId="3661237C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 kontaktowa po stronie Sprzedającego odpowie na wszelkie pytania uczestników postępowania lub osób zainteresowanych z zastrzeżeniem, iż zarówno przedmiot pytania jak i odpowiedź nie będą stanowiły czynu naruszającego rzetelność oraz obiektywność prowadzenia postępowania.</w:t>
      </w:r>
    </w:p>
    <w:p w14:paraId="479B2B6E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color w:val="000000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Spółka zastrzega możliwość wykonania przez uprawniony podmiot lub podmioty prawa pierwokupu nieruchomości objętych niniejszym ogłoszeniem, o ile właściwe przepisy prawa to przewidują na dzień zawarcia stosownej umowy.</w:t>
      </w:r>
    </w:p>
    <w:p w14:paraId="26DDFD92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Helvetica"/>
          <w:color w:val="000000"/>
          <w:sz w:val="21"/>
          <w:szCs w:val="21"/>
          <w:lang w:eastAsia="pl-PL"/>
        </w:rPr>
        <w:t>Protokół z przebiegu przetargu, a następnie aukcji – może zostać sporządzony przez notariusza, wybranego przez Spółkę.</w:t>
      </w:r>
    </w:p>
    <w:p w14:paraId="2D557F04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Nabycie nieruchomości będącej przedmiotem licytacji przez cudzoziemca w rozumieniu przepisów Ustawy z dnia 20 marca 1920 roku o nabywaniu nieruchomości przez cudzoziemców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(Dz.U.2017.2278 t.j. z dnia 2017.12.07)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wymagać będzie uprzedniego zezwolenia, które jest wydawane w drodze decyzji administracyjnej przez ministra właściwego do spraw wewnętrznych, jeżeli sprzeciwu nie wniesie Minister Obrony Narodowej, a w przypadku nieruchomości rolnych, jeżeli sprzeciwu również nie wniesie minister właściwy do spraw rozwoju wsi.</w:t>
      </w:r>
    </w:p>
    <w:p w14:paraId="43F6800A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Działka gruntu o nr ewidencyjnym 42/6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wchodząca wraz z działką gruntu o nr ewidencyjnym: 42/5 w skład nieruchomości, dla której Sąd Rejonowy w Pile, VI Wydział Ksiąg Wieczystych prowadzi księgę wieczystą o numerze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KW: PO1I/00007755/3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podlegać będzie opodatkowaniu 23% stawką podatku VAT.</w:t>
      </w:r>
    </w:p>
    <w:p w14:paraId="629AD353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Strony transakcji sprzedaży nieruchomości - z zastrzeżeniem przypadku, o którym mowa w pkt 7 powyżej - mogą zrezygnować ze zwolnienia o którym mowa w ustawie o VAT i wybrać opodatkowanie dostawy budynków, budowli lub ich części, pod warunkiem, że dokonujący dostawy i nabywca budynku, budowli lub ich części:</w:t>
      </w:r>
    </w:p>
    <w:p w14:paraId="68AA133B" w14:textId="77777777" w:rsidR="00DD209D" w:rsidRDefault="00C16C26">
      <w:pPr>
        <w:numPr>
          <w:ilvl w:val="0"/>
          <w:numId w:val="8"/>
        </w:numPr>
        <w:spacing w:after="150" w:line="276" w:lineRule="auto"/>
        <w:ind w:left="1215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są zarejestrowani jako podatnicy VAT czynni;</w:t>
      </w:r>
    </w:p>
    <w:p w14:paraId="5FB0B6D7" w14:textId="77777777" w:rsidR="00DD209D" w:rsidRDefault="00C16C26">
      <w:pPr>
        <w:numPr>
          <w:ilvl w:val="0"/>
          <w:numId w:val="8"/>
        </w:numPr>
        <w:spacing w:after="150" w:line="276" w:lineRule="auto"/>
        <w:ind w:left="1215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złożą, przed dniem dokonania dostawy tych obiektów właściwemu dla ich nabywcy naczelnikowi urzędu skarbowego, zgodne oświadczenie, że wybierają opodatkowanie dostawy budynku, budowli lub ich części.</w:t>
      </w:r>
    </w:p>
    <w:p w14:paraId="19635257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Spółka informuję, iż w przypadku kontynuowania przetargu w trybie aukcji, po ustaniu postąpień, z chwilą przybicia dochodzi do zawarcia umowy sprzedaży, chyba że przedmiotem sprzedaży jest aktywo trwałe, którego zbycie wymaga zachowania szczególnej formy. W takim przypadku uznaje się, że z chwilą przybicia strony zobowiązane są do zawarcia umowy sprzedaży i każda ze stron jest uprawniona do sądowego dochodzenia jej zawarcia, chyba że co innego wynika z warunków aukcji. W przypadku gdy przedmiotem sprzedaży jest Składnik aktywów trwałych, którego zbycie nie wymaga zachowania szczególnej formy umowa zostaje zawarta z przyznaniem sprzedającemu prawa odstąpienia od umowy w przypadku, gdy cena sprzedaży nie zostanie uiszczona w terminie, o którym mowa w § 10 ust. 1, prawo odstąpienia może zostać wykonane w terminie 5 dni roboczych od bezskutecznego upływu terminu zapłaty ceny.</w:t>
      </w:r>
    </w:p>
    <w:p w14:paraId="125A8D3A" w14:textId="77777777" w:rsidR="00DD209D" w:rsidRDefault="00C16C26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Pani/Pana danych osobowych jest Geovita S.A. z siedzibą w Jadwisinie (Administrator), ul. Ogrodowa 31, 05 – 140 Jadwisin gm. Serock. Kontakt z Administratorem jest możliwy poprzez adres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e-mail </w:t>
      </w:r>
      <w:hyperlink r:id="rId10">
        <w:r>
          <w:rPr>
            <w:rStyle w:val="ListLabel18"/>
            <w:rFonts w:eastAsiaTheme="minorHAnsi"/>
            <w:i/>
            <w:iCs/>
            <w:color w:val="000000"/>
          </w:rPr>
          <w:t>biurozarzadu@geovita.pl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lub pisemnie na adres ul. Ogrodowa 31, 05 – 140 Jadwisin gm. Serock. Podane przez Panią/Pana dane osobowe są przetwarzane wyłącznie w celu prowadzenia z Panią/Panem korespondencji i załatwienia sprawy, której ona dotyczy oraz w celu ewentualnego ustalenia lub dochodzenia roszczeń lub obrony przed roszczeniami; podstawą prawną przetwarzania jest uzasadniony interes Administratora (art. 6 ust. 1 lit. f Rozporządzenia ogólnego o ochronie danych osobowych 2016/679 – RODO), polegający na prowadzeniu korespondencji z interesantami i załatwieniu zgłaszanych przez nich spraw. Pani/Pana dane osobowe są przekazywane podmiotom świadczącym na rzecz Administratora usługi związane z realizacją ww. celów, w tym przede wszystkim dostawcom systemów informatycznych oraz podmiotom świadczącym usługi niezbędne do obsługi Państwa sprawy. Pani/Pana dane będą przetwarzane przez okres prowadzenia korespondencji i załatwienia sprawy, której ona dotyczy. Okres przetwarzania może zostać każdorazowo przedłużony o okres przedawnienia roszczeń, jeżeli przetwarzanie Pani/Pana danych osobowych będzie niezbędne dla ustalenia lub dochodzenia ewentualnych roszczeń lub obrony przed takimi roszczeniami przez Administratora. Przysługuje Pani/Panu prawo dostępu do treści danych oraz żądania ich sprostowania, usunięcia, ograniczenia przetwarzania, prawo do przenoszenia danych oraz prawo wniesienia sprzeciwu względem przetwarzania danych. Przysługuje Pani/Panu także prawo wniesienia skargi do organu nadzorczego zajmującego się ochroną danych osobowych, gdy uzna Pani/Pan, że przetwarzanie Pani/Pana danych osobowych narusza przepisy RODO. Przysługuje Pani/Panu także prawo sprzeciwu względem przetwarzania Pani/Pana danych osobowych z przyczyn związanych z Pani/Pana szczególną sytuacją. Dane zostały przez Panią/Pana podane dobrowolnie.</w:t>
      </w:r>
    </w:p>
    <w:p w14:paraId="36E8B7B2" w14:textId="77777777" w:rsidR="00DD209D" w:rsidRDefault="00C16C26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18DC0866" w14:textId="77777777" w:rsidR="00DD209D" w:rsidRDefault="00C16C26">
      <w:pPr>
        <w:spacing w:after="150" w:line="276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Załączniki:</w:t>
      </w:r>
    </w:p>
    <w:p w14:paraId="4C3AF7A3" w14:textId="77777777" w:rsidR="00DD209D" w:rsidRDefault="00C16C26">
      <w:pPr>
        <w:spacing w:after="150" w:line="276" w:lineRule="auto"/>
        <w:jc w:val="both"/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  <w:t>Załącznik nr 1 - formularz ofertowy Piła Płotki.docx</w:t>
      </w:r>
    </w:p>
    <w:p w14:paraId="0D3B061A" w14:textId="77777777" w:rsidR="00DD209D" w:rsidRDefault="00C16C26">
      <w:pPr>
        <w:spacing w:after="150" w:line="276" w:lineRule="auto"/>
        <w:jc w:val="both"/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  <w:t>Załącznik nr 2 - Wzór oświadczenia,</w:t>
      </w:r>
    </w:p>
    <w:p w14:paraId="2C65DDC7" w14:textId="77777777" w:rsidR="00DD209D" w:rsidRDefault="00C16C26">
      <w:pPr>
        <w:spacing w:after="150" w:line="276" w:lineRule="auto"/>
        <w:jc w:val="both"/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18"/>
          <w:szCs w:val="18"/>
          <w:lang w:eastAsia="pl-PL"/>
        </w:rPr>
        <w:t>Załącznik nr 3 - Informacja o ochronie danych osobowych.</w:t>
      </w:r>
    </w:p>
    <w:sectPr w:rsidR="00DD209D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9537" w14:textId="77777777" w:rsidR="00BA0949" w:rsidRDefault="00BA0949">
      <w:pPr>
        <w:spacing w:after="0" w:line="240" w:lineRule="auto"/>
      </w:pPr>
      <w:r>
        <w:separator/>
      </w:r>
    </w:p>
  </w:endnote>
  <w:endnote w:type="continuationSeparator" w:id="0">
    <w:p w14:paraId="22A15558" w14:textId="77777777" w:rsidR="00BA0949" w:rsidRDefault="00BA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576623"/>
      <w:docPartObj>
        <w:docPartGallery w:val="Page Numbers (Bottom of Page)"/>
        <w:docPartUnique/>
      </w:docPartObj>
    </w:sdtPr>
    <w:sdtEndPr/>
    <w:sdtContent>
      <w:p w14:paraId="179A591A" w14:textId="4AA2DF0B" w:rsidR="00DD209D" w:rsidRDefault="00C16C26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F84742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14:paraId="1758ED2D" w14:textId="77777777" w:rsidR="00DD209D" w:rsidRDefault="00DD2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EC8E8" w14:textId="77777777" w:rsidR="00BA0949" w:rsidRDefault="00BA0949">
      <w:pPr>
        <w:spacing w:after="0" w:line="240" w:lineRule="auto"/>
      </w:pPr>
      <w:r>
        <w:separator/>
      </w:r>
    </w:p>
  </w:footnote>
  <w:footnote w:type="continuationSeparator" w:id="0">
    <w:p w14:paraId="4312700D" w14:textId="77777777" w:rsidR="00BA0949" w:rsidRDefault="00BA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DF2"/>
    <w:multiLevelType w:val="multilevel"/>
    <w:tmpl w:val="9D0424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A06185"/>
    <w:multiLevelType w:val="multilevel"/>
    <w:tmpl w:val="0512BC18"/>
    <w:lvl w:ilvl="0">
      <w:start w:val="1"/>
      <w:numFmt w:val="decimal"/>
      <w:lvlText w:val="%1."/>
      <w:lvlJc w:val="left"/>
      <w:pPr>
        <w:ind w:left="492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."/>
      <w:lvlJc w:val="left"/>
      <w:pPr>
        <w:ind w:left="1212" w:hanging="360"/>
      </w:pPr>
      <w:rPr>
        <w:rFonts w:ascii="Helvetica" w:hAnsi="Helvetica" w:cs="Arial"/>
        <w:sz w:val="21"/>
      </w:r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40F963DA"/>
    <w:multiLevelType w:val="multilevel"/>
    <w:tmpl w:val="F69C466C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79A7B76"/>
    <w:multiLevelType w:val="multilevel"/>
    <w:tmpl w:val="79C02C70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04FC"/>
    <w:multiLevelType w:val="multilevel"/>
    <w:tmpl w:val="B0D8F0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2B06CF"/>
    <w:multiLevelType w:val="multilevel"/>
    <w:tmpl w:val="CF207B66"/>
    <w:lvl w:ilvl="0">
      <w:start w:val="1"/>
      <w:numFmt w:val="decimal"/>
      <w:lvlText w:val="%1."/>
      <w:lvlJc w:val="left"/>
      <w:pPr>
        <w:ind w:left="495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B9168B2"/>
    <w:multiLevelType w:val="multilevel"/>
    <w:tmpl w:val="9270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6DB931C1"/>
    <w:multiLevelType w:val="multilevel"/>
    <w:tmpl w:val="FF14650A"/>
    <w:lvl w:ilvl="0">
      <w:start w:val="1"/>
      <w:numFmt w:val="decimal"/>
      <w:lvlText w:val="%1."/>
      <w:lvlJc w:val="left"/>
      <w:pPr>
        <w:ind w:left="630" w:hanging="360"/>
      </w:pPr>
      <w:rPr>
        <w:rFonts w:ascii="Helvetica" w:hAnsi="Helvetica" w:cs="Arial"/>
        <w:b/>
        <w:sz w:val="21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29D500F"/>
    <w:multiLevelType w:val="multilevel"/>
    <w:tmpl w:val="2ECCD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9D"/>
    <w:rsid w:val="00035746"/>
    <w:rsid w:val="004615D2"/>
    <w:rsid w:val="00BA0949"/>
    <w:rsid w:val="00C16C26"/>
    <w:rsid w:val="00DD209D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16AF"/>
  <w15:docId w15:val="{87D7B0C6-2DC9-4B55-8CF0-12A357F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80429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8042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0429C"/>
    <w:rPr>
      <w:color w:val="0000FF"/>
      <w:u w:val="single"/>
    </w:rPr>
  </w:style>
  <w:style w:type="character" w:customStyle="1" w:styleId="highlight-text">
    <w:name w:val="highlight-text"/>
    <w:basedOn w:val="Domylnaczcionkaakapitu"/>
    <w:qFormat/>
    <w:rsid w:val="0080429C"/>
  </w:style>
  <w:style w:type="character" w:customStyle="1" w:styleId="sr-only">
    <w:name w:val="sr-only"/>
    <w:basedOn w:val="Domylnaczcionkaakapitu"/>
    <w:qFormat/>
    <w:rsid w:val="0080429C"/>
  </w:style>
  <w:style w:type="character" w:styleId="Pogrubienie">
    <w:name w:val="Strong"/>
    <w:basedOn w:val="Domylnaczcionkaakapitu"/>
    <w:uiPriority w:val="22"/>
    <w:qFormat/>
    <w:rsid w:val="0080429C"/>
    <w:rPr>
      <w:b/>
      <w:bCs/>
    </w:rPr>
  </w:style>
  <w:style w:type="character" w:customStyle="1" w:styleId="errorrow">
    <w:name w:val="errorrow"/>
    <w:basedOn w:val="Domylnaczcionkaakapitu"/>
    <w:qFormat/>
    <w:rsid w:val="0080429C"/>
  </w:style>
  <w:style w:type="character" w:customStyle="1" w:styleId="NagwekZnak">
    <w:name w:val="Nagłówek Znak"/>
    <w:basedOn w:val="Domylnaczcionkaakapitu"/>
    <w:link w:val="Nagwek"/>
    <w:uiPriority w:val="99"/>
    <w:qFormat/>
    <w:rsid w:val="00387D05"/>
  </w:style>
  <w:style w:type="character" w:customStyle="1" w:styleId="StopkaZnak">
    <w:name w:val="Stopka Znak"/>
    <w:basedOn w:val="Domylnaczcionkaakapitu"/>
    <w:link w:val="Stopka"/>
    <w:uiPriority w:val="99"/>
    <w:qFormat/>
    <w:rsid w:val="00387D05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6179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Helvetica" w:hAnsi="Helvetica" w:cs="Arial"/>
      <w:sz w:val="21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Helvetica" w:hAnsi="Helvetica" w:cs="Arial"/>
      <w:sz w:val="21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ascii="Arial" w:hAnsi="Arial" w:cs="Arial"/>
      <w:sz w:val="21"/>
    </w:rPr>
  </w:style>
  <w:style w:type="character" w:customStyle="1" w:styleId="ListLabel6">
    <w:name w:val="ListLabel 6"/>
    <w:qFormat/>
    <w:rPr>
      <w:rFonts w:ascii="Helvetica" w:hAnsi="Helvetica" w:cs="Arial"/>
      <w:sz w:val="21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ascii="Helvetica" w:hAnsi="Helvetica" w:cs="Arial"/>
      <w:sz w:val="21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ascii="Helvetica" w:hAnsi="Helvetica" w:cs="Arial"/>
      <w:b/>
      <w:sz w:val="21"/>
    </w:rPr>
  </w:style>
  <w:style w:type="character" w:customStyle="1" w:styleId="ListLabel16">
    <w:name w:val="ListLabel 16"/>
    <w:qFormat/>
    <w:rPr>
      <w:rFonts w:ascii="Arial" w:eastAsia="Times New Roman" w:hAnsi="Arial" w:cs="Arial"/>
      <w:color w:val="337AB7"/>
      <w:sz w:val="21"/>
      <w:szCs w:val="21"/>
      <w:shd w:val="clear" w:color="auto" w:fill="FFFFFF"/>
      <w:lang w:eastAsia="pl-PL"/>
    </w:rPr>
  </w:style>
  <w:style w:type="character" w:customStyle="1" w:styleId="ListLabel17">
    <w:name w:val="ListLabel 17"/>
    <w:qFormat/>
    <w:rPr>
      <w:rFonts w:ascii="Arial" w:eastAsia="Times New Roman" w:hAnsi="Arial" w:cs="Arial"/>
      <w:sz w:val="21"/>
      <w:szCs w:val="21"/>
      <w:lang w:eastAsia="pl-PL"/>
    </w:rPr>
  </w:style>
  <w:style w:type="character" w:customStyle="1" w:styleId="ListLabel18">
    <w:name w:val="ListLabel 18"/>
    <w:qFormat/>
    <w:rPr>
      <w:rFonts w:ascii="Arial" w:eastAsia="Times New Roman" w:hAnsi="Arial" w:cs="Arial"/>
      <w:color w:val="666666"/>
      <w:sz w:val="21"/>
      <w:szCs w:val="21"/>
      <w:lang w:eastAsia="pl-P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ascii="Helvetica" w:hAnsi="Helvetica" w:cs="Arial"/>
      <w:sz w:val="21"/>
    </w:rPr>
  </w:style>
  <w:style w:type="character" w:customStyle="1" w:styleId="ListLabel20">
    <w:name w:val="ListLabel 20"/>
    <w:qFormat/>
    <w:rPr>
      <w:rFonts w:ascii="Helvetica" w:hAnsi="Helvetica" w:cs="Arial"/>
      <w:sz w:val="21"/>
    </w:rPr>
  </w:style>
  <w:style w:type="character" w:customStyle="1" w:styleId="ListLabel21">
    <w:name w:val="ListLabel 21"/>
    <w:qFormat/>
    <w:rPr>
      <w:rFonts w:ascii="Helvetica" w:hAnsi="Helvetica" w:cs="Arial"/>
      <w:sz w:val="21"/>
    </w:rPr>
  </w:style>
  <w:style w:type="character" w:customStyle="1" w:styleId="ListLabel22">
    <w:name w:val="ListLabel 22"/>
    <w:qFormat/>
    <w:rPr>
      <w:rFonts w:ascii="Helvetica" w:hAnsi="Helvetica" w:cs="Arial"/>
      <w:sz w:val="21"/>
    </w:rPr>
  </w:style>
  <w:style w:type="character" w:customStyle="1" w:styleId="ListLabel23">
    <w:name w:val="ListLabel 23"/>
    <w:qFormat/>
    <w:rPr>
      <w:rFonts w:ascii="Helvetica" w:hAnsi="Helvetica" w:cs="Arial"/>
      <w:sz w:val="21"/>
    </w:rPr>
  </w:style>
  <w:style w:type="character" w:customStyle="1" w:styleId="ListLabel24">
    <w:name w:val="ListLabel 24"/>
    <w:qFormat/>
    <w:rPr>
      <w:rFonts w:ascii="Helvetica" w:hAnsi="Helvetica" w:cs="Arial"/>
      <w:b/>
      <w:sz w:val="21"/>
    </w:rPr>
  </w:style>
  <w:style w:type="character" w:customStyle="1" w:styleId="ListLabel25">
    <w:name w:val="ListLabel 25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26">
    <w:name w:val="ListLabel 26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27">
    <w:name w:val="ListLabel 27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Arial" w:hAnsi="Arial" w:cs="Arial"/>
      <w:sz w:val="21"/>
    </w:rPr>
  </w:style>
  <w:style w:type="character" w:customStyle="1" w:styleId="ListLabel29">
    <w:name w:val="ListLabel 29"/>
    <w:qFormat/>
    <w:rPr>
      <w:rFonts w:ascii="Helvetica" w:hAnsi="Helvetica" w:cs="Arial"/>
      <w:sz w:val="21"/>
    </w:rPr>
  </w:style>
  <w:style w:type="character" w:customStyle="1" w:styleId="ListLabel30">
    <w:name w:val="ListLabel 30"/>
    <w:qFormat/>
    <w:rPr>
      <w:rFonts w:ascii="Helvetica" w:hAnsi="Helvetica" w:cs="Arial"/>
      <w:sz w:val="21"/>
    </w:rPr>
  </w:style>
  <w:style w:type="character" w:customStyle="1" w:styleId="ListLabel31">
    <w:name w:val="ListLabel 31"/>
    <w:qFormat/>
    <w:rPr>
      <w:rFonts w:ascii="Helvetica" w:hAnsi="Helvetica" w:cs="Arial"/>
      <w:sz w:val="21"/>
    </w:rPr>
  </w:style>
  <w:style w:type="character" w:customStyle="1" w:styleId="ListLabel32">
    <w:name w:val="ListLabel 32"/>
    <w:qFormat/>
    <w:rPr>
      <w:rFonts w:ascii="Arial" w:hAnsi="Arial" w:cs="Arial"/>
      <w:sz w:val="21"/>
    </w:rPr>
  </w:style>
  <w:style w:type="character" w:customStyle="1" w:styleId="ListLabel33">
    <w:name w:val="ListLabel 33"/>
    <w:qFormat/>
    <w:rPr>
      <w:rFonts w:ascii="Helvetica" w:hAnsi="Helvetica" w:cs="Arial"/>
      <w:b/>
      <w:sz w:val="21"/>
    </w:rPr>
  </w:style>
  <w:style w:type="character" w:customStyle="1" w:styleId="ListLabel34">
    <w:name w:val="ListLabel 34"/>
    <w:qFormat/>
    <w:rPr>
      <w:rFonts w:ascii="Arial" w:hAnsi="Arial" w:cs="OpenSymbol"/>
      <w:sz w:val="21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44">
    <w:name w:val="ListLabel 44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45">
    <w:name w:val="ListLabel 45"/>
    <w:qFormat/>
    <w:rPr>
      <w:rFonts w:ascii="Arial" w:eastAsia="Times New Roman" w:hAnsi="Arial" w:cs="Arial"/>
      <w:i/>
      <w:iCs/>
      <w:color w:val="000000"/>
      <w:sz w:val="21"/>
      <w:szCs w:val="21"/>
      <w:lang w:eastAsia="pl-PL"/>
    </w:rPr>
  </w:style>
  <w:style w:type="character" w:customStyle="1" w:styleId="ListLabel46">
    <w:name w:val="ListLabel 46"/>
    <w:qFormat/>
    <w:rPr>
      <w:rFonts w:ascii="Arial" w:hAnsi="Arial" w:cs="Arial"/>
      <w:sz w:val="21"/>
    </w:rPr>
  </w:style>
  <w:style w:type="character" w:customStyle="1" w:styleId="ListLabel47">
    <w:name w:val="ListLabel 47"/>
    <w:qFormat/>
    <w:rPr>
      <w:rFonts w:ascii="Helvetica" w:hAnsi="Helvetica" w:cs="Arial"/>
      <w:sz w:val="21"/>
    </w:rPr>
  </w:style>
  <w:style w:type="character" w:customStyle="1" w:styleId="ListLabel48">
    <w:name w:val="ListLabel 48"/>
    <w:qFormat/>
    <w:rPr>
      <w:rFonts w:ascii="Helvetica" w:hAnsi="Helvetica" w:cs="Arial"/>
      <w:sz w:val="21"/>
    </w:rPr>
  </w:style>
  <w:style w:type="character" w:customStyle="1" w:styleId="ListLabel49">
    <w:name w:val="ListLabel 49"/>
    <w:qFormat/>
    <w:rPr>
      <w:rFonts w:ascii="Helvetica" w:hAnsi="Helvetica" w:cs="Arial"/>
      <w:sz w:val="21"/>
    </w:rPr>
  </w:style>
  <w:style w:type="character" w:customStyle="1" w:styleId="ListLabel50">
    <w:name w:val="ListLabel 50"/>
    <w:qFormat/>
    <w:rPr>
      <w:rFonts w:ascii="Arial" w:hAnsi="Arial" w:cs="Arial"/>
      <w:sz w:val="21"/>
    </w:rPr>
  </w:style>
  <w:style w:type="character" w:customStyle="1" w:styleId="ListLabel51">
    <w:name w:val="ListLabel 51"/>
    <w:qFormat/>
    <w:rPr>
      <w:rFonts w:ascii="Helvetica" w:hAnsi="Helvetica" w:cs="Arial"/>
      <w:b/>
      <w:sz w:val="21"/>
    </w:rPr>
  </w:style>
  <w:style w:type="character" w:customStyle="1" w:styleId="ListLabel52">
    <w:name w:val="ListLabel 52"/>
    <w:qFormat/>
    <w:rPr>
      <w:rFonts w:ascii="Arial" w:hAnsi="Arial" w:cs="OpenSymbol"/>
      <w:sz w:val="21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color w:val="000000"/>
    </w:rPr>
  </w:style>
  <w:style w:type="character" w:customStyle="1" w:styleId="ListLabel62">
    <w:name w:val="ListLabel 62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63">
    <w:name w:val="ListLabel 63"/>
    <w:qFormat/>
    <w:rPr>
      <w:i/>
      <w:iCs/>
      <w:color w:val="000000"/>
    </w:rPr>
  </w:style>
  <w:style w:type="character" w:customStyle="1" w:styleId="ListLabel64">
    <w:name w:val="ListLabel 64"/>
    <w:qFormat/>
    <w:rPr>
      <w:rFonts w:ascii="Arial" w:hAnsi="Arial" w:cs="Arial"/>
      <w:sz w:val="21"/>
    </w:rPr>
  </w:style>
  <w:style w:type="character" w:customStyle="1" w:styleId="ListLabel65">
    <w:name w:val="ListLabel 65"/>
    <w:qFormat/>
    <w:rPr>
      <w:rFonts w:ascii="Helvetica" w:hAnsi="Helvetica" w:cs="Arial"/>
      <w:sz w:val="21"/>
    </w:rPr>
  </w:style>
  <w:style w:type="character" w:customStyle="1" w:styleId="ListLabel66">
    <w:name w:val="ListLabel 66"/>
    <w:qFormat/>
    <w:rPr>
      <w:rFonts w:ascii="Arial" w:hAnsi="Arial" w:cs="Arial"/>
      <w:sz w:val="21"/>
    </w:rPr>
  </w:style>
  <w:style w:type="character" w:customStyle="1" w:styleId="ListLabel67">
    <w:name w:val="ListLabel 67"/>
    <w:qFormat/>
    <w:rPr>
      <w:rFonts w:ascii="Helvetica" w:hAnsi="Helvetica" w:cs="Arial"/>
      <w:sz w:val="21"/>
    </w:rPr>
  </w:style>
  <w:style w:type="character" w:customStyle="1" w:styleId="ListLabel68">
    <w:name w:val="ListLabel 68"/>
    <w:qFormat/>
    <w:rPr>
      <w:rFonts w:ascii="Arial" w:hAnsi="Arial" w:cs="Arial"/>
      <w:sz w:val="21"/>
    </w:rPr>
  </w:style>
  <w:style w:type="character" w:customStyle="1" w:styleId="ListLabel69">
    <w:name w:val="ListLabel 69"/>
    <w:qFormat/>
    <w:rPr>
      <w:rFonts w:ascii="Helvetica" w:hAnsi="Helvetica" w:cs="Arial"/>
      <w:b/>
      <w:sz w:val="21"/>
    </w:rPr>
  </w:style>
  <w:style w:type="character" w:customStyle="1" w:styleId="ListLabel70">
    <w:name w:val="ListLabel 70"/>
    <w:qFormat/>
    <w:rPr>
      <w:rFonts w:ascii="Arial" w:hAnsi="Arial" w:cs="OpenSymbol"/>
      <w:sz w:val="21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color w:val="000000"/>
    </w:rPr>
  </w:style>
  <w:style w:type="character" w:customStyle="1" w:styleId="ListLabel80">
    <w:name w:val="ListLabel 80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81">
    <w:name w:val="ListLabel 81"/>
    <w:qFormat/>
    <w:rPr>
      <w:i/>
      <w:iCs/>
      <w:color w:val="000000"/>
    </w:rPr>
  </w:style>
  <w:style w:type="character" w:customStyle="1" w:styleId="ListLabel82">
    <w:name w:val="ListLabel 82"/>
    <w:qFormat/>
    <w:rPr>
      <w:rFonts w:ascii="Arial" w:hAnsi="Arial" w:cs="Arial"/>
      <w:sz w:val="21"/>
    </w:rPr>
  </w:style>
  <w:style w:type="character" w:customStyle="1" w:styleId="ListLabel83">
    <w:name w:val="ListLabel 83"/>
    <w:qFormat/>
    <w:rPr>
      <w:rFonts w:ascii="Helvetica" w:hAnsi="Helvetica" w:cs="Arial"/>
      <w:sz w:val="21"/>
    </w:rPr>
  </w:style>
  <w:style w:type="character" w:customStyle="1" w:styleId="ListLabel84">
    <w:name w:val="ListLabel 84"/>
    <w:qFormat/>
    <w:rPr>
      <w:rFonts w:ascii="Arial" w:hAnsi="Arial" w:cs="Arial"/>
      <w:sz w:val="21"/>
    </w:rPr>
  </w:style>
  <w:style w:type="character" w:customStyle="1" w:styleId="ListLabel85">
    <w:name w:val="ListLabel 85"/>
    <w:qFormat/>
    <w:rPr>
      <w:rFonts w:ascii="Helvetica" w:hAnsi="Helvetica" w:cs="Arial"/>
      <w:sz w:val="21"/>
    </w:rPr>
  </w:style>
  <w:style w:type="character" w:customStyle="1" w:styleId="ListLabel86">
    <w:name w:val="ListLabel 86"/>
    <w:qFormat/>
    <w:rPr>
      <w:rFonts w:ascii="Arial" w:hAnsi="Arial" w:cs="Arial"/>
      <w:sz w:val="21"/>
    </w:rPr>
  </w:style>
  <w:style w:type="character" w:customStyle="1" w:styleId="ListLabel87">
    <w:name w:val="ListLabel 87"/>
    <w:qFormat/>
    <w:rPr>
      <w:rFonts w:ascii="Helvetica" w:hAnsi="Helvetica" w:cs="Arial"/>
      <w:b/>
      <w:sz w:val="21"/>
    </w:rPr>
  </w:style>
  <w:style w:type="character" w:customStyle="1" w:styleId="ListLabel88">
    <w:name w:val="ListLabel 88"/>
    <w:qFormat/>
    <w:rPr>
      <w:rFonts w:ascii="Arial" w:hAnsi="Arial" w:cs="OpenSymbol"/>
      <w:sz w:val="21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eastAsiaTheme="minorHAnsi"/>
      <w:color w:val="000000"/>
    </w:rPr>
  </w:style>
  <w:style w:type="character" w:customStyle="1" w:styleId="ListLabel98">
    <w:name w:val="ListLabel 98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99">
    <w:name w:val="ListLabel 99"/>
    <w:qFormat/>
    <w:rPr>
      <w:rFonts w:eastAsiaTheme="minorHAnsi"/>
      <w:i/>
      <w:iCs/>
      <w:color w:val="000000"/>
    </w:rPr>
  </w:style>
  <w:style w:type="character" w:customStyle="1" w:styleId="ListLabel100">
    <w:name w:val="ListLabel 100"/>
    <w:qFormat/>
    <w:rPr>
      <w:rFonts w:ascii="Helvetica" w:hAnsi="Helvetica" w:cs="Arial"/>
      <w:sz w:val="21"/>
    </w:rPr>
  </w:style>
  <w:style w:type="character" w:customStyle="1" w:styleId="ListLabel101">
    <w:name w:val="ListLabel 101"/>
    <w:qFormat/>
    <w:rPr>
      <w:rFonts w:ascii="Arial" w:hAnsi="Arial" w:cs="Arial"/>
      <w:sz w:val="21"/>
    </w:rPr>
  </w:style>
  <w:style w:type="character" w:customStyle="1" w:styleId="ListLabel102">
    <w:name w:val="ListLabel 102"/>
    <w:qFormat/>
    <w:rPr>
      <w:rFonts w:ascii="Arial" w:hAnsi="Arial" w:cs="Arial"/>
      <w:sz w:val="21"/>
    </w:rPr>
  </w:style>
  <w:style w:type="character" w:customStyle="1" w:styleId="ListLabel103">
    <w:name w:val="ListLabel 103"/>
    <w:qFormat/>
    <w:rPr>
      <w:rFonts w:ascii="Helvetica" w:hAnsi="Helvetica" w:cs="Arial"/>
      <w:sz w:val="21"/>
    </w:rPr>
  </w:style>
  <w:style w:type="character" w:customStyle="1" w:styleId="ListLabel104">
    <w:name w:val="ListLabel 104"/>
    <w:qFormat/>
    <w:rPr>
      <w:rFonts w:ascii="Arial" w:hAnsi="Arial" w:cs="Arial"/>
      <w:sz w:val="21"/>
    </w:rPr>
  </w:style>
  <w:style w:type="character" w:customStyle="1" w:styleId="ListLabel105">
    <w:name w:val="ListLabel 105"/>
    <w:qFormat/>
    <w:rPr>
      <w:rFonts w:ascii="Helvetica" w:hAnsi="Helvetica" w:cs="Arial"/>
      <w:b/>
      <w:sz w:val="21"/>
    </w:rPr>
  </w:style>
  <w:style w:type="character" w:customStyle="1" w:styleId="ListLabel106">
    <w:name w:val="ListLabel 106"/>
    <w:qFormat/>
    <w:rPr>
      <w:rFonts w:ascii="Arial" w:hAnsi="Arial" w:cs="OpenSymbol"/>
      <w:sz w:val="21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eastAsiaTheme="minorHAnsi"/>
      <w:color w:val="000000"/>
    </w:rPr>
  </w:style>
  <w:style w:type="character" w:customStyle="1" w:styleId="ListLabel116">
    <w:name w:val="ListLabel 116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117">
    <w:name w:val="ListLabel 117"/>
    <w:qFormat/>
    <w:rPr>
      <w:rFonts w:eastAsiaTheme="minorHAnsi"/>
      <w:i/>
      <w:iCs/>
      <w:color w:val="000000"/>
    </w:rPr>
  </w:style>
  <w:style w:type="character" w:customStyle="1" w:styleId="ListLabel118">
    <w:name w:val="ListLabel 118"/>
    <w:qFormat/>
    <w:rPr>
      <w:rFonts w:ascii="Helvetica" w:hAnsi="Helvetica" w:cs="Arial"/>
      <w:sz w:val="21"/>
    </w:rPr>
  </w:style>
  <w:style w:type="character" w:customStyle="1" w:styleId="ListLabel119">
    <w:name w:val="ListLabel 119"/>
    <w:qFormat/>
    <w:rPr>
      <w:rFonts w:ascii="Arial" w:hAnsi="Arial" w:cs="Arial"/>
      <w:sz w:val="21"/>
    </w:rPr>
  </w:style>
  <w:style w:type="character" w:customStyle="1" w:styleId="ListLabel120">
    <w:name w:val="ListLabel 120"/>
    <w:qFormat/>
    <w:rPr>
      <w:rFonts w:ascii="Arial" w:hAnsi="Arial" w:cs="Arial"/>
      <w:sz w:val="21"/>
    </w:rPr>
  </w:style>
  <w:style w:type="character" w:customStyle="1" w:styleId="ListLabel121">
    <w:name w:val="ListLabel 121"/>
    <w:qFormat/>
    <w:rPr>
      <w:rFonts w:ascii="Helvetica" w:hAnsi="Helvetica" w:cs="Arial"/>
      <w:sz w:val="21"/>
    </w:rPr>
  </w:style>
  <w:style w:type="character" w:customStyle="1" w:styleId="ListLabel122">
    <w:name w:val="ListLabel 122"/>
    <w:qFormat/>
    <w:rPr>
      <w:rFonts w:ascii="Arial" w:hAnsi="Arial" w:cs="Arial"/>
      <w:sz w:val="21"/>
    </w:rPr>
  </w:style>
  <w:style w:type="character" w:customStyle="1" w:styleId="ListLabel123">
    <w:name w:val="ListLabel 123"/>
    <w:qFormat/>
    <w:rPr>
      <w:rFonts w:ascii="Helvetica" w:hAnsi="Helvetica" w:cs="Arial"/>
      <w:b/>
      <w:sz w:val="21"/>
    </w:rPr>
  </w:style>
  <w:style w:type="character" w:customStyle="1" w:styleId="ListLabel124">
    <w:name w:val="ListLabel 124"/>
    <w:qFormat/>
    <w:rPr>
      <w:rFonts w:ascii="Arial" w:hAnsi="Arial" w:cs="OpenSymbol"/>
      <w:sz w:val="21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eastAsiaTheme="minorHAnsi"/>
      <w:color w:val="000000"/>
    </w:rPr>
  </w:style>
  <w:style w:type="character" w:customStyle="1" w:styleId="ListLabel134">
    <w:name w:val="ListLabel 134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135">
    <w:name w:val="ListLabel 135"/>
    <w:qFormat/>
    <w:rPr>
      <w:rFonts w:eastAsiaTheme="minorHAnsi"/>
      <w:i/>
      <w:iCs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ctive">
    <w:name w:val="active"/>
    <w:basedOn w:val="Normalny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8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geovi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zarzadu@geovit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zarzadu@geovi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2611</Words>
  <Characters>15671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Dronszczyk</dc:creator>
  <dc:description/>
  <cp:lastModifiedBy>Blaszczak Anna</cp:lastModifiedBy>
  <cp:revision>2</cp:revision>
  <cp:lastPrinted>2022-05-09T11:02:00Z</cp:lastPrinted>
  <dcterms:created xsi:type="dcterms:W3CDTF">2022-05-10T08:06:00Z</dcterms:created>
  <dcterms:modified xsi:type="dcterms:W3CDTF">2022-05-10T08:06:00Z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