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8A" w:rsidRPr="00F1349E" w:rsidRDefault="006C308A" w:rsidP="00743F36">
      <w:pPr>
        <w:pStyle w:val="Tytu"/>
        <w:rPr>
          <w:rStyle w:val="readonlytext"/>
          <w:rFonts w:ascii="Lato" w:hAnsi="Lato"/>
          <w:b w:val="0"/>
          <w:bCs/>
          <w:sz w:val="22"/>
          <w:szCs w:val="22"/>
        </w:rPr>
      </w:pPr>
      <w:r w:rsidRPr="00F1349E">
        <w:rPr>
          <w:rStyle w:val="readonlytext"/>
          <w:rFonts w:ascii="Lato" w:hAnsi="Lato"/>
          <w:bCs/>
          <w:sz w:val="22"/>
          <w:szCs w:val="22"/>
        </w:rPr>
        <w:t>Wyniki konkursu Ministra Spraw Zagranicznych „</w:t>
      </w:r>
      <w:r>
        <w:rPr>
          <w:rStyle w:val="readonlytext"/>
          <w:rFonts w:ascii="Lato" w:hAnsi="Lato"/>
          <w:bCs/>
          <w:sz w:val="22"/>
          <w:szCs w:val="22"/>
        </w:rPr>
        <w:t>Edukacja globalna</w:t>
      </w:r>
      <w:r w:rsidRPr="00F1349E">
        <w:rPr>
          <w:rStyle w:val="readonlytext"/>
          <w:rFonts w:ascii="Lato" w:hAnsi="Lato"/>
          <w:bCs/>
          <w:sz w:val="22"/>
          <w:szCs w:val="22"/>
        </w:rPr>
        <w:t xml:space="preserve"> 2023”</w:t>
      </w:r>
    </w:p>
    <w:p w:rsidR="006C308A" w:rsidRDefault="006C308A" w:rsidP="006C308A">
      <w:pPr>
        <w:tabs>
          <w:tab w:val="num" w:pos="720"/>
        </w:tabs>
        <w:jc w:val="center"/>
        <w:rPr>
          <w:rStyle w:val="readonlytext"/>
          <w:rFonts w:ascii="Lato" w:hAnsi="Lato"/>
          <w:b/>
          <w:bCs/>
          <w:sz w:val="22"/>
          <w:szCs w:val="22"/>
        </w:rPr>
      </w:pPr>
    </w:p>
    <w:p w:rsidR="006C308A" w:rsidRPr="00F1349E" w:rsidRDefault="006C308A" w:rsidP="006C308A">
      <w:pPr>
        <w:tabs>
          <w:tab w:val="num" w:pos="720"/>
        </w:tabs>
        <w:rPr>
          <w:rStyle w:val="readonlytext"/>
          <w:rFonts w:ascii="Lato" w:hAnsi="Lato"/>
          <w:bCs/>
          <w:sz w:val="22"/>
          <w:szCs w:val="22"/>
        </w:rPr>
      </w:pPr>
      <w:r w:rsidRPr="00F430AE">
        <w:rPr>
          <w:rStyle w:val="readonlytext"/>
          <w:rFonts w:ascii="Lato" w:hAnsi="Lato"/>
          <w:bCs/>
          <w:sz w:val="22"/>
          <w:szCs w:val="22"/>
        </w:rPr>
        <w:t>Decyzją Ministra Spraw Zagranicznych dotacje w ramach otwartego konkursu ofert „</w:t>
      </w:r>
      <w:r>
        <w:rPr>
          <w:rStyle w:val="readonlytext"/>
          <w:rFonts w:ascii="Lato" w:hAnsi="Lato"/>
          <w:bCs/>
          <w:sz w:val="22"/>
          <w:szCs w:val="22"/>
        </w:rPr>
        <w:t>Edukacja globalna</w:t>
      </w:r>
      <w:r w:rsidRPr="00F430AE">
        <w:rPr>
          <w:rStyle w:val="readonlytext"/>
          <w:rFonts w:ascii="Lato" w:hAnsi="Lato"/>
          <w:bCs/>
          <w:sz w:val="22"/>
          <w:szCs w:val="22"/>
        </w:rPr>
        <w:t xml:space="preserve"> 2023” zostaną przyznane na realizację </w:t>
      </w:r>
      <w:r>
        <w:rPr>
          <w:rStyle w:val="readonlytext"/>
          <w:rFonts w:ascii="Lato" w:hAnsi="Lato"/>
          <w:bCs/>
          <w:sz w:val="22"/>
          <w:szCs w:val="22"/>
        </w:rPr>
        <w:t>4 projektów</w:t>
      </w:r>
      <w:r w:rsidRPr="00F430AE">
        <w:rPr>
          <w:rStyle w:val="readonlytext"/>
          <w:rFonts w:ascii="Lato" w:hAnsi="Lato"/>
          <w:bCs/>
          <w:sz w:val="22"/>
          <w:szCs w:val="22"/>
        </w:rPr>
        <w:t xml:space="preserve">. Łączna wartość dotacji w 2023 r. wyniesie </w:t>
      </w:r>
      <w:r w:rsidRPr="006C308A">
        <w:rPr>
          <w:rStyle w:val="readonlytext"/>
          <w:rFonts w:ascii="Lato" w:hAnsi="Lato"/>
          <w:b/>
          <w:bCs/>
          <w:sz w:val="22"/>
          <w:szCs w:val="22"/>
        </w:rPr>
        <w:t>463 200,00</w:t>
      </w:r>
      <w:r>
        <w:rPr>
          <w:rStyle w:val="readonlytext"/>
          <w:rFonts w:ascii="Lato" w:hAnsi="Lato"/>
          <w:b/>
          <w:bCs/>
          <w:sz w:val="22"/>
          <w:szCs w:val="22"/>
        </w:rPr>
        <w:t xml:space="preserve"> zł </w:t>
      </w:r>
      <w:r>
        <w:rPr>
          <w:rStyle w:val="readonlytext"/>
          <w:rFonts w:ascii="Lato" w:hAnsi="Lato"/>
          <w:bCs/>
          <w:sz w:val="22"/>
          <w:szCs w:val="22"/>
        </w:rPr>
        <w:t xml:space="preserve">oraz </w:t>
      </w:r>
      <w:r w:rsidRPr="006C308A">
        <w:rPr>
          <w:rFonts w:ascii="Lato" w:hAnsi="Lato"/>
          <w:b/>
          <w:sz w:val="22"/>
          <w:szCs w:val="22"/>
        </w:rPr>
        <w:t>813 210,00</w:t>
      </w:r>
      <w:r>
        <w:rPr>
          <w:rFonts w:ascii="Lato" w:hAnsi="Lato"/>
          <w:b/>
          <w:sz w:val="22"/>
          <w:szCs w:val="22"/>
        </w:rPr>
        <w:t xml:space="preserve"> zł </w:t>
      </w:r>
      <w:r w:rsidRPr="00F1349E">
        <w:rPr>
          <w:rFonts w:ascii="Lato" w:hAnsi="Lato"/>
          <w:b/>
          <w:sz w:val="22"/>
          <w:szCs w:val="22"/>
        </w:rPr>
        <w:t xml:space="preserve">w </w:t>
      </w:r>
      <w:r>
        <w:rPr>
          <w:rFonts w:ascii="Lato" w:hAnsi="Lato"/>
          <w:b/>
          <w:sz w:val="22"/>
          <w:szCs w:val="22"/>
        </w:rPr>
        <w:t xml:space="preserve">roku </w:t>
      </w:r>
      <w:r w:rsidRPr="00F1349E">
        <w:rPr>
          <w:rFonts w:ascii="Lato" w:hAnsi="Lato"/>
          <w:b/>
          <w:sz w:val="22"/>
          <w:szCs w:val="22"/>
        </w:rPr>
        <w:t>2024 r</w:t>
      </w:r>
      <w:r w:rsidRPr="00F1349E">
        <w:rPr>
          <w:rFonts w:ascii="Lato" w:hAnsi="Lato"/>
          <w:sz w:val="22"/>
          <w:szCs w:val="22"/>
        </w:rPr>
        <w:t>.</w:t>
      </w:r>
    </w:p>
    <w:p w:rsidR="006C308A" w:rsidRDefault="006C308A" w:rsidP="006C308A">
      <w:pPr>
        <w:rPr>
          <w:rFonts w:ascii="Lato" w:hAnsi="Lato"/>
          <w:sz w:val="22"/>
          <w:szCs w:val="22"/>
        </w:rPr>
      </w:pPr>
      <w:r w:rsidRPr="006C308A">
        <w:rPr>
          <w:rFonts w:ascii="Lato" w:hAnsi="Lato"/>
          <w:sz w:val="22"/>
          <w:szCs w:val="22"/>
        </w:rPr>
        <w:t>Poniżej lista ofert</w:t>
      </w:r>
      <w:r>
        <w:rPr>
          <w:rFonts w:ascii="Lato" w:hAnsi="Lato"/>
          <w:sz w:val="22"/>
          <w:szCs w:val="22"/>
        </w:rPr>
        <w:t xml:space="preserve">, </w:t>
      </w:r>
      <w:r w:rsidRPr="006C308A">
        <w:rPr>
          <w:rFonts w:ascii="Lato" w:hAnsi="Lato"/>
          <w:sz w:val="22"/>
          <w:szCs w:val="22"/>
        </w:rPr>
        <w:t xml:space="preserve">które decyzją Ministra otrzymały dofinansowanie. </w:t>
      </w:r>
    </w:p>
    <w:p w:rsidR="006C308A" w:rsidRDefault="006C308A" w:rsidP="006C308A">
      <w:pPr>
        <w:rPr>
          <w:rFonts w:ascii="Lato" w:hAnsi="La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sta ofert, które otrzymały dofinansowanie w konkursie Edukacja globalna 2023"/>
        <w:tblDescription w:val="Tabela zawiera numer oferty, nazwę oferenta, nazwe oferty oraz wartość przyznanej dotacji dla modułu I i modułu II oferty"/>
      </w:tblPr>
      <w:tblGrid>
        <w:gridCol w:w="560"/>
        <w:gridCol w:w="1492"/>
        <w:gridCol w:w="1593"/>
        <w:gridCol w:w="2871"/>
        <w:gridCol w:w="1348"/>
        <w:gridCol w:w="1198"/>
      </w:tblGrid>
      <w:tr w:rsidR="006C308A" w:rsidRPr="006C308A" w:rsidTr="002934AF">
        <w:trPr>
          <w:trHeight w:val="288"/>
          <w:tblHeader/>
        </w:trPr>
        <w:tc>
          <w:tcPr>
            <w:tcW w:w="560" w:type="dxa"/>
            <w:hideMark/>
          </w:tcPr>
          <w:p w:rsidR="006C308A" w:rsidRPr="006C308A" w:rsidRDefault="006C308A" w:rsidP="00743F36">
            <w:pPr>
              <w:pStyle w:val="Nagwek1"/>
              <w:rPr>
                <w:rFonts w:eastAsiaTheme="minorHAnsi"/>
                <w:lang w:eastAsia="en-US"/>
              </w:rPr>
            </w:pPr>
            <w:r w:rsidRPr="006C308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1492" w:type="dxa"/>
            <w:hideMark/>
          </w:tcPr>
          <w:p w:rsidR="006C308A" w:rsidRPr="006C308A" w:rsidRDefault="006C308A" w:rsidP="00743F36">
            <w:pPr>
              <w:pStyle w:val="Nagwek1"/>
              <w:rPr>
                <w:rFonts w:eastAsiaTheme="minorHAnsi"/>
                <w:lang w:eastAsia="en-US"/>
              </w:rPr>
            </w:pPr>
            <w:r w:rsidRPr="006C308A">
              <w:rPr>
                <w:rFonts w:eastAsiaTheme="minorHAnsi"/>
                <w:lang w:eastAsia="en-US"/>
              </w:rPr>
              <w:t>Nr oferty</w:t>
            </w:r>
          </w:p>
        </w:tc>
        <w:tc>
          <w:tcPr>
            <w:tcW w:w="1593" w:type="dxa"/>
            <w:hideMark/>
          </w:tcPr>
          <w:p w:rsidR="006C308A" w:rsidRPr="006C308A" w:rsidRDefault="006C308A" w:rsidP="00743F36">
            <w:pPr>
              <w:pStyle w:val="Nagwek1"/>
              <w:rPr>
                <w:rFonts w:eastAsiaTheme="minorHAnsi"/>
                <w:lang w:eastAsia="en-US"/>
              </w:rPr>
            </w:pPr>
            <w:r w:rsidRPr="006C308A">
              <w:rPr>
                <w:rFonts w:eastAsiaTheme="minorHAnsi"/>
                <w:lang w:eastAsia="en-US"/>
              </w:rPr>
              <w:t>Oferent</w:t>
            </w:r>
          </w:p>
        </w:tc>
        <w:tc>
          <w:tcPr>
            <w:tcW w:w="2871" w:type="dxa"/>
            <w:hideMark/>
          </w:tcPr>
          <w:p w:rsidR="006C308A" w:rsidRPr="006C308A" w:rsidRDefault="006C308A" w:rsidP="00743F36">
            <w:pPr>
              <w:pStyle w:val="Nagwek1"/>
              <w:rPr>
                <w:rFonts w:eastAsiaTheme="minorHAnsi"/>
                <w:lang w:eastAsia="en-US"/>
              </w:rPr>
            </w:pPr>
            <w:r w:rsidRPr="006C308A">
              <w:rPr>
                <w:rFonts w:eastAsiaTheme="minorHAnsi"/>
                <w:lang w:eastAsia="en-US"/>
              </w:rPr>
              <w:t>Nazwa projektu</w:t>
            </w:r>
          </w:p>
        </w:tc>
        <w:tc>
          <w:tcPr>
            <w:tcW w:w="1348" w:type="dxa"/>
            <w:hideMark/>
          </w:tcPr>
          <w:p w:rsidR="006C308A" w:rsidRPr="006C308A" w:rsidRDefault="006C308A" w:rsidP="00743F36">
            <w:pPr>
              <w:pStyle w:val="Nagwek1"/>
              <w:rPr>
                <w:rFonts w:eastAsiaTheme="minorHAnsi"/>
                <w:lang w:eastAsia="en-US"/>
              </w:rPr>
            </w:pPr>
            <w:r w:rsidRPr="006C308A">
              <w:rPr>
                <w:rFonts w:eastAsiaTheme="minorHAnsi"/>
                <w:lang w:eastAsia="en-US"/>
              </w:rPr>
              <w:t>Moduł I</w:t>
            </w:r>
          </w:p>
        </w:tc>
        <w:tc>
          <w:tcPr>
            <w:tcW w:w="1198" w:type="dxa"/>
            <w:hideMark/>
          </w:tcPr>
          <w:p w:rsidR="006C308A" w:rsidRPr="006C308A" w:rsidRDefault="006C308A" w:rsidP="00743F36">
            <w:pPr>
              <w:pStyle w:val="Nagwek1"/>
              <w:rPr>
                <w:rFonts w:eastAsiaTheme="minorHAnsi"/>
                <w:lang w:eastAsia="en-US"/>
              </w:rPr>
            </w:pPr>
            <w:r w:rsidRPr="006C308A">
              <w:rPr>
                <w:rFonts w:eastAsiaTheme="minorHAnsi"/>
                <w:lang w:eastAsia="en-US"/>
              </w:rPr>
              <w:t>Moduł II</w:t>
            </w:r>
          </w:p>
        </w:tc>
      </w:tr>
      <w:tr w:rsidR="006C308A" w:rsidRPr="006C308A" w:rsidTr="002934AF">
        <w:trPr>
          <w:trHeight w:val="864"/>
        </w:trPr>
        <w:tc>
          <w:tcPr>
            <w:tcW w:w="560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center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2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DWR/EG 2023/001/2</w:t>
            </w:r>
          </w:p>
        </w:tc>
        <w:tc>
          <w:tcPr>
            <w:tcW w:w="1593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Salezjański Wolontariat Misyjny - Młodzi Światu</w:t>
            </w:r>
          </w:p>
        </w:tc>
        <w:tc>
          <w:tcPr>
            <w:tcW w:w="2871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Uniwersytet przez kontynenty. Program edukacyjny dla studentów w Wioskach Świata – Parku Edukacji Globalnej.</w:t>
            </w:r>
          </w:p>
        </w:tc>
        <w:tc>
          <w:tcPr>
            <w:tcW w:w="134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  88 125,00</w:t>
            </w:r>
          </w:p>
        </w:tc>
        <w:tc>
          <w:tcPr>
            <w:tcW w:w="119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  147 400,00</w:t>
            </w:r>
          </w:p>
        </w:tc>
      </w:tr>
      <w:tr w:rsidR="006C308A" w:rsidRPr="006C308A" w:rsidTr="002934AF">
        <w:trPr>
          <w:trHeight w:val="1728"/>
        </w:trPr>
        <w:tc>
          <w:tcPr>
            <w:tcW w:w="560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center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2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DWR/EG 2023/011/2</w:t>
            </w:r>
          </w:p>
        </w:tc>
        <w:tc>
          <w:tcPr>
            <w:tcW w:w="1593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Fundacja Pomocy Humanitarnej </w:t>
            </w:r>
            <w:proofErr w:type="spellStart"/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Redemptoris</w:t>
            </w:r>
            <w:proofErr w:type="spellEnd"/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Missio</w:t>
            </w:r>
            <w:proofErr w:type="spellEnd"/>
          </w:p>
        </w:tc>
        <w:tc>
          <w:tcPr>
            <w:tcW w:w="2871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Opracowanie i dystrybucja materiałów edukacyjnych do aktywnego uczenia dzieci przedszkolnych i młodzieży szkolnej obejmujących tematykę edukacji globalnej w tym edukacji rozwojowej, antydyskryminacyjnej </w:t>
            </w: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br/>
              <w:t>i międzykulturowej.</w:t>
            </w:r>
          </w:p>
        </w:tc>
        <w:tc>
          <w:tcPr>
            <w:tcW w:w="134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  90 250,00</w:t>
            </w:r>
          </w:p>
        </w:tc>
        <w:tc>
          <w:tcPr>
            <w:tcW w:w="119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  155 710,00</w:t>
            </w:r>
          </w:p>
        </w:tc>
      </w:tr>
      <w:tr w:rsidR="006C308A" w:rsidRPr="006C308A" w:rsidTr="002934AF">
        <w:trPr>
          <w:trHeight w:val="1440"/>
        </w:trPr>
        <w:tc>
          <w:tcPr>
            <w:tcW w:w="560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center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2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DWR/EG 2023/008/2</w:t>
            </w:r>
          </w:p>
        </w:tc>
        <w:tc>
          <w:tcPr>
            <w:tcW w:w="1593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Fundacja Międzynarodowy Instytut Rozwoju Dzieci</w:t>
            </w:r>
          </w:p>
        </w:tc>
        <w:tc>
          <w:tcPr>
            <w:tcW w:w="2871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Wzmocnienie pozycji pedagogów woj. podlaskiego w nauczaniu </w:t>
            </w: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br/>
              <w:t xml:space="preserve">i promowaniu edukacji globalnej: studium przypadku Innowacyjnego i Interaktywnego Centrum Edukacji Globalnej </w:t>
            </w: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br/>
              <w:t>w Łomży.</w:t>
            </w:r>
          </w:p>
        </w:tc>
        <w:tc>
          <w:tcPr>
            <w:tcW w:w="134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  141 700,00</w:t>
            </w:r>
          </w:p>
        </w:tc>
        <w:tc>
          <w:tcPr>
            <w:tcW w:w="119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  240 000,00</w:t>
            </w:r>
          </w:p>
        </w:tc>
      </w:tr>
      <w:tr w:rsidR="006C308A" w:rsidRPr="006C308A" w:rsidTr="002934AF">
        <w:trPr>
          <w:trHeight w:val="864"/>
        </w:trPr>
        <w:tc>
          <w:tcPr>
            <w:tcW w:w="560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center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92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DWR/EG 2023/005/2</w:t>
            </w:r>
          </w:p>
        </w:tc>
        <w:tc>
          <w:tcPr>
            <w:tcW w:w="1593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Małopolska Agencja Rozwoju Regionalnego SA</w:t>
            </w:r>
          </w:p>
        </w:tc>
        <w:tc>
          <w:tcPr>
            <w:tcW w:w="2871" w:type="dxa"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lef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>Nauczyciele dla Zrównoważonego Rozwoju: Wspólna Droga w Przyszłość</w:t>
            </w:r>
          </w:p>
        </w:tc>
        <w:tc>
          <w:tcPr>
            <w:tcW w:w="134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143 125,00   </w:t>
            </w:r>
          </w:p>
        </w:tc>
        <w:tc>
          <w:tcPr>
            <w:tcW w:w="1198" w:type="dxa"/>
            <w:noWrap/>
            <w:hideMark/>
          </w:tcPr>
          <w:p w:rsidR="006C308A" w:rsidRPr="006C308A" w:rsidRDefault="006C308A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  <w:t xml:space="preserve">270 100,00   </w:t>
            </w:r>
          </w:p>
        </w:tc>
      </w:tr>
      <w:tr w:rsidR="00CF108D" w:rsidRPr="006C308A" w:rsidTr="002934AF">
        <w:trPr>
          <w:trHeight w:val="288"/>
        </w:trPr>
        <w:tc>
          <w:tcPr>
            <w:tcW w:w="3645" w:type="dxa"/>
            <w:gridSpan w:val="3"/>
            <w:tcBorders>
              <w:left w:val="nil"/>
              <w:bottom w:val="nil"/>
            </w:tcBorders>
            <w:noWrap/>
            <w:hideMark/>
          </w:tcPr>
          <w:p w:rsidR="00CF108D" w:rsidRPr="006C308A" w:rsidRDefault="00CF108D" w:rsidP="006C308A">
            <w:pPr>
              <w:spacing w:before="0" w:after="200" w:line="276" w:lineRule="auto"/>
              <w:rPr>
                <w:rFonts w:ascii="Lato" w:eastAsiaTheme="minorHAnsi" w:hAnsi="Lato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1" w:type="dxa"/>
            <w:noWrap/>
            <w:hideMark/>
          </w:tcPr>
          <w:p w:rsidR="00CF108D" w:rsidRPr="006C308A" w:rsidRDefault="00CF108D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6C308A">
              <w:rPr>
                <w:rFonts w:ascii="Lato" w:eastAsiaTheme="minorHAnsi" w:hAnsi="Lato" w:cstheme="minorBidi"/>
                <w:b/>
                <w:bCs/>
                <w:sz w:val="18"/>
                <w:szCs w:val="18"/>
                <w:lang w:eastAsia="en-US"/>
              </w:rPr>
              <w:t>w</w:t>
            </w:r>
            <w:proofErr w:type="gramEnd"/>
            <w:r w:rsidRPr="006C308A">
              <w:rPr>
                <w:rFonts w:ascii="Lato" w:eastAsiaTheme="minorHAnsi" w:hAnsi="Lato" w:cstheme="minorBidi"/>
                <w:b/>
                <w:bCs/>
                <w:sz w:val="18"/>
                <w:szCs w:val="18"/>
                <w:lang w:eastAsia="en-US"/>
              </w:rPr>
              <w:t xml:space="preserve"> sumie:</w:t>
            </w:r>
          </w:p>
        </w:tc>
        <w:tc>
          <w:tcPr>
            <w:tcW w:w="1348" w:type="dxa"/>
            <w:noWrap/>
            <w:hideMark/>
          </w:tcPr>
          <w:p w:rsidR="00CF108D" w:rsidRPr="006C308A" w:rsidRDefault="00CF108D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b/>
                <w:bCs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b/>
                <w:bCs/>
                <w:sz w:val="18"/>
                <w:szCs w:val="18"/>
                <w:lang w:eastAsia="en-US"/>
              </w:rPr>
              <w:t xml:space="preserve">  463 200,00</w:t>
            </w:r>
          </w:p>
        </w:tc>
        <w:tc>
          <w:tcPr>
            <w:tcW w:w="1198" w:type="dxa"/>
            <w:noWrap/>
            <w:hideMark/>
          </w:tcPr>
          <w:p w:rsidR="00CF108D" w:rsidRPr="006C308A" w:rsidRDefault="00CF108D" w:rsidP="006C308A">
            <w:pPr>
              <w:spacing w:before="0" w:after="200" w:line="276" w:lineRule="auto"/>
              <w:jc w:val="right"/>
              <w:rPr>
                <w:rFonts w:ascii="Lato" w:eastAsiaTheme="minorHAnsi" w:hAnsi="Lato" w:cstheme="minorBidi"/>
                <w:b/>
                <w:bCs/>
                <w:sz w:val="18"/>
                <w:szCs w:val="18"/>
                <w:lang w:eastAsia="en-US"/>
              </w:rPr>
            </w:pPr>
            <w:r w:rsidRPr="006C308A">
              <w:rPr>
                <w:rFonts w:ascii="Lato" w:eastAsiaTheme="minorHAnsi" w:hAnsi="Lato" w:cstheme="minorBidi"/>
                <w:b/>
                <w:bCs/>
                <w:sz w:val="18"/>
                <w:szCs w:val="18"/>
                <w:lang w:eastAsia="en-US"/>
              </w:rPr>
              <w:t xml:space="preserve">  813 210,00</w:t>
            </w:r>
          </w:p>
        </w:tc>
      </w:tr>
    </w:tbl>
    <w:p w:rsidR="00C9161F" w:rsidRDefault="00C9161F" w:rsidP="00367DE5">
      <w:bookmarkStart w:id="0" w:name="_GoBack"/>
      <w:bookmarkEnd w:id="0"/>
    </w:p>
    <w:sectPr w:rsidR="00C91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FC" w:rsidRDefault="001935FC" w:rsidP="001935FC">
      <w:pPr>
        <w:spacing w:before="0" w:after="0"/>
      </w:pPr>
      <w:r>
        <w:separator/>
      </w:r>
    </w:p>
  </w:endnote>
  <w:endnote w:type="continuationSeparator" w:id="0">
    <w:p w:rsidR="001935FC" w:rsidRDefault="001935FC" w:rsidP="001935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FC" w:rsidRDefault="00193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FC" w:rsidRDefault="00193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FC" w:rsidRDefault="0019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FC" w:rsidRDefault="001935FC" w:rsidP="001935FC">
      <w:pPr>
        <w:spacing w:before="0" w:after="0"/>
      </w:pPr>
      <w:r>
        <w:separator/>
      </w:r>
    </w:p>
  </w:footnote>
  <w:footnote w:type="continuationSeparator" w:id="0">
    <w:p w:rsidR="001935FC" w:rsidRDefault="001935FC" w:rsidP="001935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FC" w:rsidRDefault="00193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FC" w:rsidRDefault="00193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FC" w:rsidRDefault="0019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6AF"/>
    <w:multiLevelType w:val="hybridMultilevel"/>
    <w:tmpl w:val="EAB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EB"/>
    <w:rsid w:val="000B2955"/>
    <w:rsid w:val="00101C2D"/>
    <w:rsid w:val="00121001"/>
    <w:rsid w:val="001935FC"/>
    <w:rsid w:val="001A3EC1"/>
    <w:rsid w:val="00225241"/>
    <w:rsid w:val="002934AF"/>
    <w:rsid w:val="00367DE5"/>
    <w:rsid w:val="003E46A6"/>
    <w:rsid w:val="00664EB3"/>
    <w:rsid w:val="006C308A"/>
    <w:rsid w:val="00743F36"/>
    <w:rsid w:val="009C2CEB"/>
    <w:rsid w:val="00C84817"/>
    <w:rsid w:val="00C9161F"/>
    <w:rsid w:val="00CF108D"/>
    <w:rsid w:val="00D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8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43F36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olor w:val="000000" w:themeColor="text1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3EC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1A3EC1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1A3EC1"/>
    <w:rPr>
      <w:rFonts w:eastAsiaTheme="majorEastAsia" w:cstheme="majorBidi"/>
      <w:b/>
      <w:spacing w:val="-10"/>
      <w:kern w:val="28"/>
      <w:sz w:val="3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43F36"/>
    <w:rPr>
      <w:rFonts w:eastAsiaTheme="majorEastAsia" w:cstheme="majorBidi"/>
      <w:b/>
      <w:color w:val="000000" w:themeColor="text1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3EC1"/>
    <w:rPr>
      <w:rFonts w:eastAsiaTheme="majorEastAsia" w:cstheme="majorBidi"/>
      <w:b/>
      <w:szCs w:val="26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6C308A"/>
    <w:pPr>
      <w:ind w:left="720"/>
      <w:contextualSpacing/>
    </w:pPr>
  </w:style>
  <w:style w:type="character" w:customStyle="1" w:styleId="readonlytext">
    <w:name w:val="readonly_text"/>
    <w:basedOn w:val="Domylnaczcionkaakapitu"/>
    <w:rsid w:val="006C308A"/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6C308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C308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35F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935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5F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1935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2023-11-08T11:54:00Z</dcterms:created>
  <dcterms:modified xsi:type="dcterms:W3CDTF">2023-11-08T12:01:00Z</dcterms:modified>
</cp:coreProperties>
</file>