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D0595" w14:textId="75E284E1" w:rsidR="007C3A28" w:rsidRPr="007C3A28" w:rsidRDefault="007C3A28" w:rsidP="007C3A28">
      <w:pPr>
        <w:pStyle w:val="OZNPROJEKTUwskazaniedatylubwersjiprojektu"/>
      </w:pPr>
      <w:bookmarkStart w:id="0" w:name="_Hlk130478311"/>
      <w:r w:rsidRPr="007C3A28">
        <w:t xml:space="preserve">Projekt z dnia </w:t>
      </w:r>
      <w:r w:rsidR="00AC2512">
        <w:t>22 czerwca</w:t>
      </w:r>
      <w:r w:rsidR="00C2743D">
        <w:t xml:space="preserve"> </w:t>
      </w:r>
      <w:r w:rsidRPr="007C3A28">
        <w:t>2023 r.</w:t>
      </w:r>
    </w:p>
    <w:p w14:paraId="116C02CB" w14:textId="77777777" w:rsidR="007C3A28" w:rsidRPr="007C3A28" w:rsidRDefault="007C3A28" w:rsidP="007C3A28">
      <w:pPr>
        <w:pStyle w:val="OZNRODZAKTUtznustawalubrozporzdzenieiorganwydajcy"/>
      </w:pPr>
    </w:p>
    <w:p w14:paraId="77B3DB2B" w14:textId="77777777" w:rsidR="007C3A28" w:rsidRPr="007C3A28" w:rsidRDefault="007C3A28" w:rsidP="007C3A28">
      <w:pPr>
        <w:pStyle w:val="OZNRODZAKTUtznustawalubrozporzdzenieiorganwydajcy"/>
      </w:pPr>
      <w:r w:rsidRPr="007C3A28">
        <w:t>ROZPORZĄDZENIE</w:t>
      </w:r>
    </w:p>
    <w:p w14:paraId="49EBEE04" w14:textId="77777777" w:rsidR="007C3A28" w:rsidRPr="007C3A28" w:rsidRDefault="007C3A28" w:rsidP="007C3A28">
      <w:pPr>
        <w:pStyle w:val="OZNRODZAKTUtznustawalubrozporzdzenieiorganwydajcy"/>
      </w:pPr>
      <w:r w:rsidRPr="007C3A28">
        <w:t>MINISTRA ROZWOJU i TECHNOLOGII</w:t>
      </w:r>
      <w:r w:rsidRPr="007C3A28">
        <w:rPr>
          <w:rStyle w:val="IGPindeksgrnyipogrubienie"/>
        </w:rPr>
        <w:footnoteReference w:id="1"/>
      </w:r>
      <w:r w:rsidRPr="007C3A28">
        <w:rPr>
          <w:rStyle w:val="IGPindeksgrnyipogrubienie"/>
        </w:rPr>
        <w:t>)</w:t>
      </w:r>
    </w:p>
    <w:p w14:paraId="7B16F0C8" w14:textId="77777777" w:rsidR="007C3A28" w:rsidRPr="007C3A28" w:rsidRDefault="007C3A28" w:rsidP="007C3A28">
      <w:pPr>
        <w:pStyle w:val="DATAAKTUdatauchwalenialubwydaniaaktu"/>
      </w:pPr>
      <w:r w:rsidRPr="007C3A28">
        <w:t xml:space="preserve">z dnia ………………. r. </w:t>
      </w:r>
    </w:p>
    <w:p w14:paraId="79985274" w14:textId="2681FB9E" w:rsidR="00C2743D" w:rsidRDefault="00C2743D" w:rsidP="00C2743D">
      <w:pPr>
        <w:pStyle w:val="TYTUAKTUprzedmiotregulacjiustawylubrozporzdzenia"/>
      </w:pPr>
      <w:r w:rsidRPr="00C2743D">
        <w:t>w sprawie danych udostępnianych właścicielowi budynku lub lokalu</w:t>
      </w:r>
      <w:r w:rsidR="005213D2" w:rsidRPr="00C2743D">
        <w:t xml:space="preserve"> z</w:t>
      </w:r>
      <w:r w:rsidR="005213D2">
        <w:t> </w:t>
      </w:r>
      <w:r w:rsidRPr="00C2743D">
        <w:t>centralnej ewidencji emisyjności budynków oraz informacji, których podanie jest wymagane</w:t>
      </w:r>
      <w:r w:rsidR="005213D2" w:rsidRPr="00C2743D">
        <w:t xml:space="preserve"> w</w:t>
      </w:r>
      <w:r w:rsidR="005213D2">
        <w:t> </w:t>
      </w:r>
      <w:r w:rsidRPr="00C2743D">
        <w:t>celu uzyskania dostępu do tych danych</w:t>
      </w:r>
    </w:p>
    <w:p w14:paraId="7E8474F9" w14:textId="64882F98" w:rsidR="007C3A28" w:rsidRPr="007C3A28" w:rsidRDefault="007C3A28" w:rsidP="007C3A28">
      <w:pPr>
        <w:pStyle w:val="NIEARTTEKSTtekstnieartykuowanynppodstprawnarozplubpreambua"/>
        <w:rPr>
          <w:rStyle w:val="Ppogrubienie"/>
        </w:rPr>
      </w:pPr>
      <w:r w:rsidRPr="007C3A28">
        <w:t>Na podstawie</w:t>
      </w:r>
      <w:r w:rsidR="005213D2">
        <w:t xml:space="preserve"> art. </w:t>
      </w:r>
      <w:r w:rsidRPr="007C3A28">
        <w:t>27e</w:t>
      </w:r>
      <w:r w:rsidR="005213D2">
        <w:t xml:space="preserve"> ust. </w:t>
      </w:r>
      <w:r w:rsidRPr="007C3A28">
        <w:t>2 ustawy z dnia 21 listopada 2008 r. o wspieraniu termomodernizacji i remontów oraz o centralnej ewidencji emisyjności budynków (</w:t>
      </w:r>
      <w:r w:rsidR="005213D2">
        <w:t>Dz. U.</w:t>
      </w:r>
      <w:r w:rsidRPr="007C3A28">
        <w:t xml:space="preserve"> z 2022 r.</w:t>
      </w:r>
      <w:r w:rsidR="005213D2">
        <w:t xml:space="preserve"> poz. </w:t>
      </w:r>
      <w:r w:rsidRPr="007C3A28">
        <w:t>438, 1561, 1576, 196</w:t>
      </w:r>
      <w:r w:rsidR="005213D2" w:rsidRPr="007C3A28">
        <w:t>7</w:t>
      </w:r>
      <w:r w:rsidR="005213D2">
        <w:t xml:space="preserve"> i </w:t>
      </w:r>
      <w:r w:rsidRPr="007C3A28">
        <w:t xml:space="preserve">2456) zarządza się, co następuje: </w:t>
      </w:r>
    </w:p>
    <w:p w14:paraId="3A887615" w14:textId="52E608E8" w:rsidR="007C3A28" w:rsidRPr="007C3A28" w:rsidRDefault="007C3A28" w:rsidP="007C3A28">
      <w:pPr>
        <w:pStyle w:val="ARTartustawynprozporzdzenia"/>
      </w:pPr>
      <w:r w:rsidRPr="007C3A28">
        <w:rPr>
          <w:rStyle w:val="Ppogrubienie"/>
        </w:rPr>
        <w:t xml:space="preserve">§ 1. </w:t>
      </w:r>
      <w:r w:rsidRPr="007C3A28">
        <w:t>Rozporządzenie określa szczegółowy zakres danych udostępnianych właścicielowi budynku lub lokalu z centralnej ewidencji emisyjności budynków, o której mowa</w:t>
      </w:r>
      <w:r w:rsidR="005213D2" w:rsidRPr="007C3A28">
        <w:t xml:space="preserve"> w</w:t>
      </w:r>
      <w:r w:rsidR="005213D2">
        <w:t> art. </w:t>
      </w:r>
      <w:r w:rsidRPr="007C3A28">
        <w:t>27a</w:t>
      </w:r>
      <w:r w:rsidR="005213D2">
        <w:t xml:space="preserve"> ust. </w:t>
      </w:r>
      <w:r w:rsidRPr="007C3A28">
        <w:t>1 ustawy z dnia 21 listopada 2008 r. o wspieraniu termomodernizacji i remontów oraz o centralnej ewidencji emisyjności budynków, zwanej dalej „ewidencją”, oraz informacje, których podanie przez właściciela budynku lub lokalu jest wymagane do udostępnienia poszczególnych danych.</w:t>
      </w:r>
    </w:p>
    <w:p w14:paraId="1EF148DC" w14:textId="36A4EB1F" w:rsidR="005213D2" w:rsidRPr="005213D2" w:rsidRDefault="005213D2" w:rsidP="005213D2">
      <w:pPr>
        <w:pStyle w:val="ARTartustawynprozporzdzenia"/>
      </w:pPr>
      <w:r w:rsidRPr="007C3A28">
        <w:rPr>
          <w:rStyle w:val="Ppogrubienie"/>
        </w:rPr>
        <w:t>§</w:t>
      </w:r>
      <w:r>
        <w:rPr>
          <w:rStyle w:val="Ppogrubienie"/>
        </w:rPr>
        <w:t xml:space="preserve"> 2. </w:t>
      </w:r>
      <w:r w:rsidRPr="005213D2">
        <w:t>Właściciel budynku lub lokalu uwierzytelnia się w</w:t>
      </w:r>
      <w:r>
        <w:t> </w:t>
      </w:r>
      <w:r w:rsidRPr="005213D2">
        <w:t>systemie teleinformatycznym obsługującym ewidencję za pomocą środka identyfikacji elektronicznej wydanego w</w:t>
      </w:r>
      <w:r>
        <w:t> </w:t>
      </w:r>
      <w:r w:rsidRPr="005213D2">
        <w:t>systemie identyfikacji elektronicznej przyłączonym do węzła krajowego identyfikacji elektronicznej, o</w:t>
      </w:r>
      <w:r>
        <w:t> </w:t>
      </w:r>
      <w:r w:rsidRPr="005213D2">
        <w:t>którym mowa w</w:t>
      </w:r>
      <w:r>
        <w:t> art. </w:t>
      </w:r>
      <w:r w:rsidRPr="005213D2">
        <w:t>21a</w:t>
      </w:r>
      <w:r>
        <w:t xml:space="preserve"> ust. </w:t>
      </w:r>
      <w:r w:rsidRPr="005213D2">
        <w:t>1</w:t>
      </w:r>
      <w:r>
        <w:t xml:space="preserve"> pkt </w:t>
      </w:r>
      <w:r w:rsidRPr="005213D2">
        <w:t>2</w:t>
      </w:r>
      <w:r>
        <w:t xml:space="preserve"> lit. </w:t>
      </w:r>
      <w:r w:rsidRPr="005213D2">
        <w:t>a</w:t>
      </w:r>
      <w:r>
        <w:t> </w:t>
      </w:r>
      <w:r w:rsidRPr="005213D2">
        <w:t>ustawy z</w:t>
      </w:r>
      <w:r>
        <w:t> </w:t>
      </w:r>
      <w:r w:rsidRPr="005213D2">
        <w:t>dnia 5</w:t>
      </w:r>
      <w:r>
        <w:t> </w:t>
      </w:r>
      <w:r w:rsidRPr="005213D2">
        <w:t>września 2016</w:t>
      </w:r>
      <w:r>
        <w:t> </w:t>
      </w:r>
      <w:r w:rsidRPr="005213D2">
        <w:t>r. o</w:t>
      </w:r>
      <w:r>
        <w:t> </w:t>
      </w:r>
      <w:r w:rsidRPr="005213D2">
        <w:t>usługach zaufania oraz identyfikacji elektronicznej (Dz.</w:t>
      </w:r>
      <w:r w:rsidR="00EA4554">
        <w:t xml:space="preserve"> </w:t>
      </w:r>
      <w:r w:rsidRPr="005213D2">
        <w:t>U. z</w:t>
      </w:r>
      <w:r>
        <w:t> </w:t>
      </w:r>
      <w:r w:rsidRPr="005213D2">
        <w:t>2021</w:t>
      </w:r>
      <w:r>
        <w:t> </w:t>
      </w:r>
      <w:r w:rsidRPr="005213D2">
        <w:t>r.</w:t>
      </w:r>
      <w:r>
        <w:t xml:space="preserve"> poz. </w:t>
      </w:r>
      <w:r w:rsidRPr="005213D2">
        <w:t>1797), lub podając w</w:t>
      </w:r>
      <w:r>
        <w:t> </w:t>
      </w:r>
      <w:r w:rsidRPr="005213D2">
        <w:t>systemie teleinformatycznym obsługującym ewidencję unikalny identyfikator dokumentu zawarty w</w:t>
      </w:r>
      <w:r>
        <w:t> </w:t>
      </w:r>
      <w:r w:rsidRPr="005213D2">
        <w:t>elektronicznym formularzu inwentaryzacji, o</w:t>
      </w:r>
      <w:r>
        <w:t> </w:t>
      </w:r>
      <w:r w:rsidRPr="005213D2">
        <w:t>którym mowa w</w:t>
      </w:r>
      <w:r>
        <w:t> art. </w:t>
      </w:r>
      <w:r w:rsidRPr="005213D2">
        <w:t>27c</w:t>
      </w:r>
      <w:r>
        <w:t xml:space="preserve"> ust. </w:t>
      </w:r>
      <w:r w:rsidRPr="005213D2">
        <w:t>1</w:t>
      </w:r>
      <w:r>
        <w:t> </w:t>
      </w:r>
      <w:r w:rsidRPr="005213D2">
        <w:t>ustawy z</w:t>
      </w:r>
      <w:r>
        <w:t> </w:t>
      </w:r>
      <w:r w:rsidRPr="005213D2">
        <w:t>dnia 21</w:t>
      </w:r>
      <w:r>
        <w:t> </w:t>
      </w:r>
      <w:r w:rsidRPr="005213D2">
        <w:t>listopada 2008</w:t>
      </w:r>
      <w:r>
        <w:t> </w:t>
      </w:r>
      <w:r w:rsidRPr="005213D2">
        <w:t>r. o</w:t>
      </w:r>
      <w:r>
        <w:t> </w:t>
      </w:r>
      <w:r w:rsidRPr="005213D2">
        <w:t>wspieraniu termomodernizacji i</w:t>
      </w:r>
      <w:r>
        <w:t> </w:t>
      </w:r>
      <w:r w:rsidRPr="005213D2">
        <w:t>remontów oraz o</w:t>
      </w:r>
      <w:r>
        <w:t> </w:t>
      </w:r>
      <w:r w:rsidRPr="005213D2">
        <w:t>centralnej ewidencji emisyjności budynków, oraz adres poczty elektronicznej podany w</w:t>
      </w:r>
      <w:r>
        <w:t> </w:t>
      </w:r>
      <w:r w:rsidRPr="005213D2">
        <w:t>celu przesyłania danych.</w:t>
      </w:r>
    </w:p>
    <w:p w14:paraId="32DFE215" w14:textId="37E96B0A" w:rsidR="005213D2" w:rsidRPr="007C3A28" w:rsidRDefault="005213D2" w:rsidP="005213D2">
      <w:pPr>
        <w:pStyle w:val="ARTartustawynprozporzdzenia"/>
      </w:pPr>
      <w:r w:rsidRPr="007C3A28">
        <w:rPr>
          <w:rStyle w:val="Ppogrubienie"/>
        </w:rPr>
        <w:lastRenderedPageBreak/>
        <w:t xml:space="preserve">§ </w:t>
      </w:r>
      <w:r>
        <w:rPr>
          <w:rStyle w:val="Ppogrubienie"/>
        </w:rPr>
        <w:t>3</w:t>
      </w:r>
      <w:r w:rsidRPr="007C3A28">
        <w:t>. Po uwierzytelnieniu się</w:t>
      </w:r>
      <w:r w:rsidR="00906C7D">
        <w:t>,</w:t>
      </w:r>
      <w:r w:rsidRPr="007C3A28">
        <w:t xml:space="preserve"> na zasadach określonych w</w:t>
      </w:r>
      <w:r>
        <w:t> § </w:t>
      </w:r>
      <w:r w:rsidRPr="005213D2">
        <w:t>2</w:t>
      </w:r>
      <w:r w:rsidR="00906C7D">
        <w:t>,</w:t>
      </w:r>
      <w:r>
        <w:t> </w:t>
      </w:r>
      <w:r w:rsidRPr="007C3A28">
        <w:t>właścicielowi budynku lub lokalu udostępnia się:</w:t>
      </w:r>
    </w:p>
    <w:p w14:paraId="51F0FFFE" w14:textId="77777777" w:rsidR="005213D2" w:rsidRPr="007C3A28" w:rsidRDefault="005213D2" w:rsidP="005213D2">
      <w:pPr>
        <w:pStyle w:val="PKTpunkt"/>
      </w:pPr>
      <w:r w:rsidRPr="007C3A28">
        <w:t>1)</w:t>
      </w:r>
      <w:r w:rsidRPr="007C3A28">
        <w:tab/>
      </w:r>
      <w:r>
        <w:t>d</w:t>
      </w:r>
      <w:r w:rsidRPr="007C3A28">
        <w:t xml:space="preserve">ane </w:t>
      </w:r>
      <w:r>
        <w:t>dotyczące</w:t>
      </w:r>
      <w:r w:rsidRPr="007C3A28">
        <w:t xml:space="preserve">: </w:t>
      </w:r>
    </w:p>
    <w:p w14:paraId="25998E3D" w14:textId="3A402573" w:rsidR="005213D2" w:rsidRPr="007C3A28" w:rsidRDefault="005213D2" w:rsidP="005213D2">
      <w:pPr>
        <w:pStyle w:val="LITlitera"/>
      </w:pPr>
      <w:r w:rsidRPr="007C3A28">
        <w:t>a)</w:t>
      </w:r>
      <w:r>
        <w:tab/>
      </w:r>
      <w:r w:rsidRPr="007C3A28">
        <w:t>budynku lub lokalu</w:t>
      </w:r>
      <w:r>
        <w:t xml:space="preserve"> oraz ich parametrów technicznych</w:t>
      </w:r>
      <w:r w:rsidRPr="007C3A28">
        <w:t>:</w:t>
      </w:r>
    </w:p>
    <w:p w14:paraId="0EF28145" w14:textId="3C8C99D6" w:rsidR="005213D2" w:rsidRPr="00B37D45" w:rsidRDefault="005213D2" w:rsidP="005213D2">
      <w:pPr>
        <w:pStyle w:val="TIRtiret"/>
      </w:pPr>
      <w:r>
        <w:t>–</w:t>
      </w:r>
      <w:r>
        <w:tab/>
        <w:t>adres</w:t>
      </w:r>
      <w:r w:rsidRPr="00B37D45">
        <w:t>,</w:t>
      </w:r>
    </w:p>
    <w:p w14:paraId="0855F602" w14:textId="7DE12B32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liczba kondygnacji,</w:t>
      </w:r>
    </w:p>
    <w:p w14:paraId="64CB5835" w14:textId="2074B762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obwód budynku,</w:t>
      </w:r>
    </w:p>
    <w:p w14:paraId="6803CCE8" w14:textId="35EC05FF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funkcja ogólna,</w:t>
      </w:r>
    </w:p>
    <w:p w14:paraId="74D8D072" w14:textId="61913C8D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rok budowy,</w:t>
      </w:r>
    </w:p>
    <w:p w14:paraId="3CC1A265" w14:textId="30970DF9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średnia wysokość kondygnacji ogrzewanych,</w:t>
      </w:r>
    </w:p>
    <w:p w14:paraId="6B7FD5A1" w14:textId="6F34A0AF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powierzchnia pomieszczeń ogrzewanych,</w:t>
      </w:r>
    </w:p>
    <w:p w14:paraId="223372A2" w14:textId="08066248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stopień ocieplenia ścian zewnętrznych,</w:t>
      </w:r>
    </w:p>
    <w:p w14:paraId="2AC16F1E" w14:textId="071C35E3" w:rsidR="005213D2" w:rsidRPr="00B37D45" w:rsidRDefault="005213D2" w:rsidP="005213D2">
      <w:pPr>
        <w:pStyle w:val="TIRtiret"/>
      </w:pPr>
      <w:r>
        <w:t>–</w:t>
      </w:r>
      <w:r>
        <w:tab/>
        <w:t xml:space="preserve">obliczony współczynnik przenikania ciepła </w:t>
      </w:r>
      <w:r w:rsidRPr="00B37D45">
        <w:t>„U”,</w:t>
      </w:r>
    </w:p>
    <w:p w14:paraId="59D0A990" w14:textId="59EAFF6F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średnia temperatura pomieszczeń ogrzewanych w sezonie grzewczym,</w:t>
      </w:r>
    </w:p>
    <w:p w14:paraId="3505E715" w14:textId="1903CB86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grubość ocieplenia podłogi na gruncie lub stropu nad piwnicą lub garażem,</w:t>
      </w:r>
    </w:p>
    <w:p w14:paraId="3E7EEE71" w14:textId="1F27B599" w:rsidR="005213D2" w:rsidRPr="00B37D45" w:rsidRDefault="005213D2" w:rsidP="005213D2">
      <w:pPr>
        <w:pStyle w:val="TIRtiret"/>
      </w:pPr>
      <w:r>
        <w:t>–</w:t>
      </w:r>
      <w:r>
        <w:tab/>
      </w:r>
      <w:r w:rsidRPr="00B37D45">
        <w:t>grubość ocieplenia stropodachu,</w:t>
      </w:r>
    </w:p>
    <w:p w14:paraId="268E286A" w14:textId="6E3EBBC3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grubość ocieplenia dachu,</w:t>
      </w:r>
    </w:p>
    <w:p w14:paraId="36B1294C" w14:textId="537B16D7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 xml:space="preserve">grubość ocieplenia </w:t>
      </w:r>
      <w:r w:rsidRPr="00B37D45">
        <w:t>ścian zewnętrznych,</w:t>
      </w:r>
    </w:p>
    <w:p w14:paraId="458A2AB1" w14:textId="0E5651FF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kształt budynku;</w:t>
      </w:r>
    </w:p>
    <w:p w14:paraId="60949939" w14:textId="123E2D24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liczba lokali,</w:t>
      </w:r>
    </w:p>
    <w:p w14:paraId="3FC70024" w14:textId="37BC7FB7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typ budynku,</w:t>
      </w:r>
    </w:p>
    <w:p w14:paraId="505D3626" w14:textId="5D8812CE" w:rsidR="005213D2" w:rsidRPr="00B37D45" w:rsidRDefault="005213D2" w:rsidP="005213D2">
      <w:pPr>
        <w:pStyle w:val="TIRtiret"/>
      </w:pPr>
      <w:r>
        <w:t>–</w:t>
      </w:r>
      <w:r>
        <w:tab/>
        <w:t>informacja</w:t>
      </w:r>
      <w:r w:rsidRPr="00B37D45">
        <w:t xml:space="preserve"> o ociepleniu stropów,</w:t>
      </w:r>
    </w:p>
    <w:p w14:paraId="22F33E2D" w14:textId="6863177B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stan instalacji centralnego ogrzewania</w:t>
      </w:r>
      <w:r w:rsidRPr="00B37D45">
        <w:t xml:space="preserve"> oraz centralnej wody użytkowej,</w:t>
      </w:r>
    </w:p>
    <w:p w14:paraId="68A50D2D" w14:textId="22FC88E2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stan stolarki okiennej,</w:t>
      </w:r>
    </w:p>
    <w:p w14:paraId="1EF76678" w14:textId="709FCC5A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stan stolarki drzwi zewnętrznych,</w:t>
      </w:r>
    </w:p>
    <w:p w14:paraId="1422CB62" w14:textId="54CB862C" w:rsidR="005213D2" w:rsidRPr="00B37D45" w:rsidRDefault="005213D2" w:rsidP="005213D2">
      <w:pPr>
        <w:pStyle w:val="TIRtiret"/>
      </w:pPr>
      <w:r>
        <w:t>–</w:t>
      </w:r>
      <w:r>
        <w:tab/>
      </w:r>
      <w:r w:rsidRPr="00617551">
        <w:t>informacja</w:t>
      </w:r>
      <w:r w:rsidRPr="00B37D45">
        <w:t xml:space="preserve"> o wymaganej termomodernizacji budynku,</w:t>
      </w:r>
    </w:p>
    <w:p w14:paraId="15E13483" w14:textId="3E093AF0" w:rsidR="005213D2" w:rsidRDefault="005213D2" w:rsidP="005213D2">
      <w:pPr>
        <w:pStyle w:val="TIRtiret"/>
      </w:pPr>
      <w:r>
        <w:t>–</w:t>
      </w:r>
      <w:r>
        <w:tab/>
        <w:t xml:space="preserve">typ </w:t>
      </w:r>
      <w:r w:rsidR="00BA5033">
        <w:t>wentylacji</w:t>
      </w:r>
      <w:bookmarkStart w:id="3" w:name="_GoBack"/>
      <w:bookmarkEnd w:id="3"/>
      <w:r w:rsidRPr="00B37D45">
        <w:t>;</w:t>
      </w:r>
    </w:p>
    <w:p w14:paraId="7BA84B1F" w14:textId="017D4DE0" w:rsidR="005213D2" w:rsidRPr="007C3A28" w:rsidRDefault="005213D2" w:rsidP="005213D2">
      <w:pPr>
        <w:pStyle w:val="LITlitera"/>
      </w:pPr>
      <w:r w:rsidRPr="007C3A28">
        <w:t>b)</w:t>
      </w:r>
      <w:bookmarkStart w:id="4" w:name="_Hlk134554267"/>
      <w:r>
        <w:tab/>
        <w:t>informacji o </w:t>
      </w:r>
      <w:r w:rsidRPr="007C3A28">
        <w:t xml:space="preserve">źródłach </w:t>
      </w:r>
      <w:r>
        <w:t xml:space="preserve">ciepła, energii elektrycznej oraz źródła </w:t>
      </w:r>
      <w:r w:rsidRPr="007C3A28">
        <w:t xml:space="preserve">spalania paliw </w:t>
      </w:r>
      <w:bookmarkEnd w:id="4"/>
      <w:r w:rsidRPr="007C3A28">
        <w:t>wykorzystywanych w budynku lub lokalu:</w:t>
      </w:r>
    </w:p>
    <w:p w14:paraId="0256D3AF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 xml:space="preserve">rodzaj, </w:t>
      </w:r>
    </w:p>
    <w:p w14:paraId="580397F2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 xml:space="preserve">nominalna moc cieplna lub elektryczna, </w:t>
      </w:r>
    </w:p>
    <w:p w14:paraId="1CE901AD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 xml:space="preserve">rodzaj paliwa i jego roczne zużycie, </w:t>
      </w:r>
    </w:p>
    <w:p w14:paraId="31F1FD66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 xml:space="preserve">rok montażu, </w:t>
      </w:r>
    </w:p>
    <w:p w14:paraId="2B930AB2" w14:textId="77777777" w:rsidR="005213D2" w:rsidRPr="007C3A28" w:rsidRDefault="005213D2" w:rsidP="005213D2">
      <w:pPr>
        <w:pStyle w:val="TIRtiret"/>
      </w:pPr>
      <w:r w:rsidRPr="007C3A28">
        <w:lastRenderedPageBreak/>
        <w:t>–</w:t>
      </w:r>
      <w:r w:rsidRPr="007C3A28">
        <w:tab/>
        <w:t xml:space="preserve">rok produkcji, </w:t>
      </w:r>
    </w:p>
    <w:p w14:paraId="430E23EF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>przeznaczenie</w:t>
      </w:r>
      <w:r>
        <w:t xml:space="preserve"> </w:t>
      </w:r>
      <w:r w:rsidRPr="00617551">
        <w:t>(charakter produkowanego ciepła),</w:t>
      </w:r>
      <w:r w:rsidRPr="007C3A28">
        <w:t xml:space="preserve"> </w:t>
      </w:r>
    </w:p>
    <w:p w14:paraId="1085566D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 xml:space="preserve">potwierdzenie spełnienia wymagań standardów niskoemisyjnych, </w:t>
      </w:r>
    </w:p>
    <w:p w14:paraId="66515BD4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>klasa kotła na paliwo stałe</w:t>
      </w:r>
      <w:r>
        <w:t xml:space="preserve"> lub innego urządzenia grzewczego</w:t>
      </w:r>
      <w:r w:rsidRPr="007C3A28">
        <w:t>,</w:t>
      </w:r>
    </w:p>
    <w:p w14:paraId="5A3CB1C0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 xml:space="preserve">sposób podawania paliwa w kotle na paliwo stałe, </w:t>
      </w:r>
    </w:p>
    <w:p w14:paraId="657BF581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>sprawność przy mocy nominalnej kotła na paliwo stałe</w:t>
      </w:r>
      <w:r>
        <w:t xml:space="preserve"> </w:t>
      </w:r>
      <w:r w:rsidRPr="00AC4B75">
        <w:t>lub innego urządzenia grzewczego</w:t>
      </w:r>
      <w:r w:rsidRPr="007C3A28">
        <w:t xml:space="preserve">, </w:t>
      </w:r>
    </w:p>
    <w:p w14:paraId="5F863F23" w14:textId="77777777" w:rsidR="005213D2" w:rsidRPr="007C3A28" w:rsidRDefault="005213D2" w:rsidP="005213D2">
      <w:pPr>
        <w:pStyle w:val="TIRtiret"/>
      </w:pPr>
      <w:r w:rsidRPr="007C3A28">
        <w:t>–</w:t>
      </w:r>
      <w:r w:rsidRPr="007C3A28">
        <w:tab/>
        <w:t>urządzenie odpylające i jego sprawność w kotle na paliwo stałe</w:t>
      </w:r>
      <w:r>
        <w:t xml:space="preserve"> </w:t>
      </w:r>
      <w:r w:rsidRPr="00AC4B75">
        <w:t>lub innego urządzenia grzewczego</w:t>
      </w:r>
      <w:r w:rsidRPr="007C3A28">
        <w:t xml:space="preserve">, </w:t>
      </w:r>
    </w:p>
    <w:p w14:paraId="3C31036C" w14:textId="090DE4E0" w:rsidR="005213D2" w:rsidRDefault="005213D2" w:rsidP="005213D2">
      <w:pPr>
        <w:pStyle w:val="TIRtiret"/>
      </w:pPr>
      <w:r w:rsidRPr="007C3A28">
        <w:t>–</w:t>
      </w:r>
      <w:r w:rsidRPr="007C3A28">
        <w:tab/>
        <w:t>źródło danych (tabliczka znamionowa, dokumentacja techniczno</w:t>
      </w:r>
      <w:r w:rsidRPr="007C3A28">
        <w:softHyphen/>
      </w:r>
      <w:r>
        <w:softHyphen/>
      </w:r>
      <w:r>
        <w:softHyphen/>
      </w:r>
      <w:r>
        <w:noBreakHyphen/>
      </w:r>
      <w:r w:rsidRPr="007C3A28">
        <w:t>ruchowa lub inne)</w:t>
      </w:r>
      <w:r>
        <w:t>,</w:t>
      </w:r>
    </w:p>
    <w:p w14:paraId="3F5D1AAE" w14:textId="67338817" w:rsidR="005213D2" w:rsidRPr="007C3A28" w:rsidRDefault="005213D2" w:rsidP="005213D2">
      <w:pPr>
        <w:pStyle w:val="TIRtiret"/>
      </w:pPr>
      <w:r>
        <w:softHyphen/>
      </w:r>
      <w:r>
        <w:softHyphen/>
      </w:r>
      <w:r w:rsidR="00800673" w:rsidRPr="007C3A28">
        <w:t>–</w:t>
      </w:r>
      <w:r>
        <w:tab/>
      </w:r>
      <w:r w:rsidRPr="00617551">
        <w:t>planowana wymiana źródła ciepła</w:t>
      </w:r>
      <w:r w:rsidRPr="007C3A28">
        <w:t>;</w:t>
      </w:r>
    </w:p>
    <w:p w14:paraId="71D553E2" w14:textId="530E36D4" w:rsidR="005213D2" w:rsidRPr="007C3A28" w:rsidRDefault="005213D2" w:rsidP="005213D2">
      <w:pPr>
        <w:pStyle w:val="PKTpunkt"/>
      </w:pPr>
      <w:r>
        <w:t>2</w:t>
      </w:r>
      <w:r w:rsidRPr="007C3A28">
        <w:t>)</w:t>
      </w:r>
      <w:r w:rsidRPr="007C3A28">
        <w:tab/>
        <w:t>dan</w:t>
      </w:r>
      <w:r>
        <w:t>e o wynikach przeprowadzonej kontroli lub czynności, o których mowa w art. 27a ust. 2 lid. d</w:t>
      </w:r>
      <w:r w:rsidRPr="005213D2">
        <w:t xml:space="preserve"> </w:t>
      </w:r>
      <w:r w:rsidRPr="007C3A28">
        <w:t>ustawy z dnia 21 listopada 2008 r. o wspieraniu termomodernizacji i remontów oraz o centralnej ewidencji emisyjności budynkó</w:t>
      </w:r>
      <w:r>
        <w:t xml:space="preserve">w, </w:t>
      </w:r>
      <w:r w:rsidRPr="007C3A28">
        <w:t xml:space="preserve">osobie wprowadzającej </w:t>
      </w:r>
      <w:r>
        <w:t xml:space="preserve">te </w:t>
      </w:r>
      <w:r w:rsidRPr="007C3A28">
        <w:t>dane i informacje do ewidencji</w:t>
      </w:r>
      <w:r>
        <w:t xml:space="preserve"> oraz datę wprowadzenia tych danych do ewidencji.</w:t>
      </w:r>
    </w:p>
    <w:p w14:paraId="4E51C462" w14:textId="0B14E423" w:rsidR="007C3A28" w:rsidRPr="007C3A28" w:rsidRDefault="007C3A28" w:rsidP="007C3A28">
      <w:pPr>
        <w:pStyle w:val="ARTartustawynprozporzdzenia"/>
      </w:pPr>
      <w:r w:rsidRPr="007C3A28">
        <w:rPr>
          <w:rStyle w:val="Ppogrubienie"/>
        </w:rPr>
        <w:t xml:space="preserve">§ 4. </w:t>
      </w:r>
      <w:r w:rsidRPr="007C3A28">
        <w:t xml:space="preserve">Rozporządzenie wchodzi w życie </w:t>
      </w:r>
      <w:r w:rsidR="00A75511">
        <w:t>1 sierpnia 2023 r</w:t>
      </w:r>
      <w:r w:rsidRPr="007C3A28">
        <w:t xml:space="preserve">. </w:t>
      </w:r>
    </w:p>
    <w:p w14:paraId="31E7D14C" w14:textId="77777777" w:rsidR="007C3A28" w:rsidRPr="007C3A28" w:rsidRDefault="007C3A28" w:rsidP="007C3A28">
      <w:pPr>
        <w:pStyle w:val="ARTartustawynprozporzdzenia"/>
      </w:pPr>
    </w:p>
    <w:p w14:paraId="25552774" w14:textId="77777777" w:rsidR="007C3A28" w:rsidRPr="007C3A28" w:rsidRDefault="007C3A28" w:rsidP="007C3A28">
      <w:pPr>
        <w:pStyle w:val="NAZORGWYDnazwaorganuwydajcegoprojektowanyakt"/>
      </w:pPr>
      <w:r w:rsidRPr="007C3A28">
        <w:t xml:space="preserve">MINISTER ROZWOJU </w:t>
      </w:r>
    </w:p>
    <w:p w14:paraId="4ED7549F" w14:textId="77777777" w:rsidR="007C3A28" w:rsidRPr="007C3A28" w:rsidRDefault="007C3A28" w:rsidP="007C3A28">
      <w:pPr>
        <w:pStyle w:val="NAZORGWYDnazwaorganuwydajcegoprojektowanyakt"/>
      </w:pPr>
      <w:r w:rsidRPr="007C3A28">
        <w:t>i TECHNOLOGII</w:t>
      </w:r>
    </w:p>
    <w:bookmarkEnd w:id="0"/>
    <w:p w14:paraId="35D63C8B" w14:textId="77777777" w:rsidR="007C3A28" w:rsidRPr="007C3A28" w:rsidRDefault="007C3A28" w:rsidP="007C3A28">
      <w:pPr>
        <w:pStyle w:val="NAZORGWYDnazwaorganuwydajcegoprojektowanyakt"/>
      </w:pPr>
    </w:p>
    <w:p w14:paraId="494EFA38" w14:textId="77777777" w:rsidR="00212887" w:rsidRPr="001E362D" w:rsidRDefault="00212887" w:rsidP="00212887">
      <w:pPr>
        <w:pStyle w:val="OZNPARAFYADNOTACJE"/>
      </w:pPr>
      <w:r w:rsidRPr="001E362D">
        <w:t>ZA ZGODNOŚĆ POD WZGLĘDEM PRAWNYM,</w:t>
      </w:r>
    </w:p>
    <w:p w14:paraId="75E2198C" w14:textId="7654A45D" w:rsidR="00212887" w:rsidRPr="001E362D" w:rsidRDefault="00212887" w:rsidP="00212887">
      <w:pPr>
        <w:pStyle w:val="OZNPARAFYADNOTACJE"/>
      </w:pPr>
      <w:r w:rsidRPr="001E362D">
        <w:t>LEGISLACYJNYM</w:t>
      </w:r>
      <w:r w:rsidR="005213D2" w:rsidRPr="001E362D">
        <w:t xml:space="preserve"> I</w:t>
      </w:r>
      <w:r w:rsidR="005213D2">
        <w:t> </w:t>
      </w:r>
      <w:r w:rsidRPr="001E362D">
        <w:t xml:space="preserve">REDAKCYJNYM </w:t>
      </w:r>
    </w:p>
    <w:p w14:paraId="7DFAFC94" w14:textId="0E301DBD" w:rsidR="00212887" w:rsidRPr="001E362D" w:rsidRDefault="00AC2512" w:rsidP="00212887">
      <w:pPr>
        <w:pStyle w:val="OZNPARAFYADNOTACJE"/>
      </w:pPr>
      <w:r>
        <w:t>Aneta Mijal</w:t>
      </w:r>
    </w:p>
    <w:p w14:paraId="20B8A930" w14:textId="77777777" w:rsidR="00212887" w:rsidRPr="001E362D" w:rsidRDefault="00212887" w:rsidP="00212887">
      <w:pPr>
        <w:pStyle w:val="OZNPARAFYADNOTACJE"/>
      </w:pPr>
      <w:r w:rsidRPr="001E362D">
        <w:t>Dyrektor Departamentu Prawnego</w:t>
      </w:r>
    </w:p>
    <w:p w14:paraId="673F4DCF" w14:textId="37988971" w:rsidR="00212887" w:rsidRPr="001E362D" w:rsidRDefault="00212887" w:rsidP="00212887">
      <w:pPr>
        <w:pStyle w:val="OZNPARAFYADNOTACJE"/>
      </w:pPr>
      <w:r w:rsidRPr="001E362D">
        <w:t xml:space="preserve">w </w:t>
      </w:r>
      <w:r w:rsidR="00AC2512">
        <w:t>Ministerstwie Rozwoju i Technologii</w:t>
      </w:r>
    </w:p>
    <w:p w14:paraId="0298E0F5" w14:textId="77777777" w:rsidR="00212887" w:rsidRPr="001E362D" w:rsidRDefault="00212887" w:rsidP="00212887">
      <w:pPr>
        <w:pStyle w:val="OZNPARAFYADNOTACJE"/>
      </w:pPr>
      <w:r w:rsidRPr="001E362D">
        <w:t>/podpisano elektronicznie/</w:t>
      </w:r>
    </w:p>
    <w:p w14:paraId="76DD5FBC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EE71D" w14:textId="77777777" w:rsidR="007C3A28" w:rsidRDefault="007C3A28">
      <w:r>
        <w:separator/>
      </w:r>
    </w:p>
  </w:endnote>
  <w:endnote w:type="continuationSeparator" w:id="0">
    <w:p w14:paraId="03CBA18F" w14:textId="77777777" w:rsidR="007C3A28" w:rsidRDefault="007C3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E94D4" w14:textId="77777777" w:rsidR="007C3A28" w:rsidRDefault="007C3A28">
      <w:r>
        <w:separator/>
      </w:r>
    </w:p>
  </w:footnote>
  <w:footnote w:type="continuationSeparator" w:id="0">
    <w:p w14:paraId="7A25772A" w14:textId="77777777" w:rsidR="007C3A28" w:rsidRDefault="007C3A28">
      <w:r>
        <w:continuationSeparator/>
      </w:r>
    </w:p>
  </w:footnote>
  <w:footnote w:id="1">
    <w:p w14:paraId="52EDA1E8" w14:textId="46B9A34D" w:rsidR="007C3A28" w:rsidRDefault="007C3A28" w:rsidP="007C3A28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bookmarkStart w:id="1" w:name="_Hlk125451590"/>
      <w:r>
        <w:t xml:space="preserve">Minister Rozwoju i Technologii kieruje działem administracji rządowej </w:t>
      </w:r>
      <w:bookmarkStart w:id="2" w:name="_Hlk135032561"/>
      <w:r>
        <w:t>–</w:t>
      </w:r>
      <w:bookmarkEnd w:id="2"/>
      <w:r>
        <w:t xml:space="preserve"> budownictwo, planowanie i zagospodarowanie przestrzenne oraz mieszkalnictwo, na podstawie § 1 ust. 2 pkt 1 rozporządzenia Prezesa Rady Ministrów z dnia 15 kwietnia 2022 r. w sprawie szczegółowego zakresu działania Ministra Rozwoju i Technologii (Dz. U. poz. 838).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C1830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28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2887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319B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13D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0CF3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3A28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067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5C4B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06C7D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2255"/>
    <w:rsid w:val="00A638DA"/>
    <w:rsid w:val="00A65B41"/>
    <w:rsid w:val="00A65E00"/>
    <w:rsid w:val="00A66A78"/>
    <w:rsid w:val="00A7436E"/>
    <w:rsid w:val="00A74E96"/>
    <w:rsid w:val="00A75511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251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033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2743D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C7C8E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554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3A3E9"/>
  <w15:docId w15:val="{CFC19148-314A-4FAB-B702-E6532AA2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319B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319B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31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89D4B6-2DA9-4A2F-8F55-7087DC03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22</TotalTime>
  <Pages>3</Pages>
  <Words>549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14</cp:revision>
  <cp:lastPrinted>2012-04-23T06:39:00Z</cp:lastPrinted>
  <dcterms:created xsi:type="dcterms:W3CDTF">2023-03-28T12:43:00Z</dcterms:created>
  <dcterms:modified xsi:type="dcterms:W3CDTF">2023-06-21T18:26:00Z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